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E585563">
      <w:pPr>
        <w:rPr>
          <w:rFonts w:ascii="仿宋_GB2312" w:hAnsi="仿宋_GB2312" w:eastAsia="仿宋_GB2312" w:cs="仿宋_GB2312"/>
          <w:color w:val="000000" w:themeColor="text1"/>
          <w:sz w:val="36"/>
          <w:szCs w:val="36"/>
          <w14:textFill>
            <w14:solidFill>
              <w14:schemeClr w14:val="tx1"/>
            </w14:solidFill>
          </w14:textFill>
        </w:rPr>
      </w:pPr>
    </w:p>
    <w:p w14:paraId="7DD0966C">
      <w:pPr>
        <w:rPr>
          <w:rFonts w:ascii="仿宋_GB2312" w:hAnsi="仿宋_GB2312" w:eastAsia="仿宋_GB2312" w:cs="仿宋_GB2312"/>
          <w:color w:val="000000" w:themeColor="text1"/>
          <w:sz w:val="36"/>
          <w:szCs w:val="36"/>
          <w14:textFill>
            <w14:solidFill>
              <w14:schemeClr w14:val="tx1"/>
            </w14:solidFill>
          </w14:textFill>
        </w:rPr>
      </w:pPr>
    </w:p>
    <w:p w14:paraId="462796CF">
      <w:pPr>
        <w:rPr>
          <w:rFonts w:ascii="宋体" w:hAnsi="宋体" w:cs="仿宋_GB2312"/>
          <w:color w:val="000000" w:themeColor="text1"/>
          <w:sz w:val="36"/>
          <w:szCs w:val="36"/>
          <w14:textFill>
            <w14:solidFill>
              <w14:schemeClr w14:val="tx1"/>
            </w14:solidFill>
          </w14:textFill>
        </w:rPr>
      </w:pPr>
    </w:p>
    <w:p w14:paraId="77D15A7D">
      <w:pPr>
        <w:adjustRightInd w:val="0"/>
        <w:snapToGrid w:val="0"/>
        <w:jc w:val="center"/>
        <w:outlineLvl w:val="0"/>
        <w:rPr>
          <w:rFonts w:ascii="宋体" w:hAns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建设项目环境影响报告表</w:t>
      </w:r>
    </w:p>
    <w:p w14:paraId="35895EB4">
      <w:pPr>
        <w:adjustRightInd w:val="0"/>
        <w:snapToGrid w:val="0"/>
        <w:spacing w:before="192" w:beforeLines="80"/>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（污染影响类）</w:t>
      </w:r>
    </w:p>
    <w:p w14:paraId="7202EB71">
      <w:pPr>
        <w:rPr>
          <w:color w:val="000000" w:themeColor="text1"/>
          <w14:textFill>
            <w14:solidFill>
              <w14:schemeClr w14:val="tx1"/>
            </w14:solidFill>
          </w14:textFill>
        </w:rPr>
      </w:pPr>
    </w:p>
    <w:p w14:paraId="750F35E6">
      <w:pPr>
        <w:rPr>
          <w:color w:val="000000" w:themeColor="text1"/>
          <w14:textFill>
            <w14:solidFill>
              <w14:schemeClr w14:val="tx1"/>
            </w14:solidFill>
          </w14:textFill>
        </w:rPr>
      </w:pPr>
    </w:p>
    <w:p w14:paraId="6393AF77">
      <w:pPr>
        <w:jc w:val="center"/>
        <w:rPr>
          <w:rFonts w:eastAsia="仿宋"/>
          <w:color w:val="000000" w:themeColor="text1"/>
          <w:sz w:val="52"/>
          <w:szCs w:val="52"/>
          <w14:textFill>
            <w14:solidFill>
              <w14:schemeClr w14:val="tx1"/>
            </w14:solidFill>
          </w14:textFill>
        </w:rPr>
      </w:pPr>
    </w:p>
    <w:p w14:paraId="33BF4C43">
      <w:pPr>
        <w:rPr>
          <w:rFonts w:eastAsia="仿宋"/>
          <w:color w:val="000000" w:themeColor="text1"/>
          <w:sz w:val="44"/>
          <w:szCs w:val="44"/>
          <w14:textFill>
            <w14:solidFill>
              <w14:schemeClr w14:val="tx1"/>
            </w14:solidFill>
          </w14:textFill>
        </w:rPr>
      </w:pPr>
    </w:p>
    <w:p w14:paraId="4CDD6C9F">
      <w:pPr>
        <w:rPr>
          <w:rFonts w:eastAsia="仿宋"/>
          <w:color w:val="000000" w:themeColor="text1"/>
          <w:sz w:val="44"/>
          <w:szCs w:val="44"/>
          <w14:textFill>
            <w14:solidFill>
              <w14:schemeClr w14:val="tx1"/>
            </w14:solidFill>
          </w14:textFill>
        </w:rPr>
      </w:pPr>
    </w:p>
    <w:p w14:paraId="659CF823">
      <w:pPr>
        <w:rPr>
          <w:rFonts w:eastAsia="仿宋"/>
          <w:color w:val="000000" w:themeColor="text1"/>
          <w:sz w:val="44"/>
          <w:szCs w:val="44"/>
          <w14:textFill>
            <w14:solidFill>
              <w14:schemeClr w14:val="tx1"/>
            </w14:solidFill>
          </w14:textFill>
        </w:rPr>
      </w:pPr>
    </w:p>
    <w:p w14:paraId="51E83187">
      <w:pPr>
        <w:rPr>
          <w:rFonts w:eastAsia="仿宋"/>
          <w:color w:val="000000" w:themeColor="text1"/>
          <w:sz w:val="44"/>
          <w:szCs w:val="44"/>
          <w14:textFill>
            <w14:solidFill>
              <w14:schemeClr w14:val="tx1"/>
            </w14:solidFill>
          </w14:textFill>
        </w:rPr>
      </w:pPr>
    </w:p>
    <w:tbl>
      <w:tblPr>
        <w:tblStyle w:val="28"/>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7074"/>
      </w:tblGrid>
      <w:tr w14:paraId="6BFB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14:paraId="72483D67">
            <w:pPr>
              <w:spacing w:line="240" w:lineRule="auto"/>
              <w:jc w:val="center"/>
              <w:rPr>
                <w:rFonts w:eastAsia="仿宋"/>
                <w:color w:val="auto"/>
                <w:sz w:val="36"/>
                <w:szCs w:val="36"/>
              </w:rPr>
            </w:pPr>
            <w:r>
              <w:rPr>
                <w:rFonts w:eastAsia="仿宋"/>
                <w:color w:val="auto"/>
                <w:sz w:val="36"/>
                <w:szCs w:val="36"/>
              </w:rPr>
              <w:t>项目名称：</w:t>
            </w:r>
          </w:p>
        </w:tc>
        <w:tc>
          <w:tcPr>
            <w:tcW w:w="7074" w:type="dxa"/>
            <w:tcBorders>
              <w:top w:val="nil"/>
              <w:left w:val="nil"/>
              <w:bottom w:val="single" w:color="auto" w:sz="4" w:space="0"/>
              <w:right w:val="nil"/>
            </w:tcBorders>
            <w:vAlign w:val="center"/>
          </w:tcPr>
          <w:p w14:paraId="0F45C789">
            <w:pPr>
              <w:spacing w:line="240" w:lineRule="auto"/>
              <w:jc w:val="center"/>
              <w:rPr>
                <w:rFonts w:eastAsia="仿宋"/>
                <w:color w:val="auto"/>
                <w:sz w:val="36"/>
                <w:szCs w:val="36"/>
              </w:rPr>
            </w:pPr>
            <w:r>
              <w:rPr>
                <w:rFonts w:ascii="Times New Roman" w:hAnsi="Times New Roman" w:eastAsia="仿宋" w:cs="Times New Roman"/>
                <w:color w:val="auto"/>
                <w:sz w:val="36"/>
                <w:szCs w:val="36"/>
                <w:lang w:val="en-US" w:eastAsia="zh-CN"/>
              </w:rPr>
              <w:t>江阴市宝瑞塑业有限公司整厂搬迁项</w:t>
            </w:r>
            <w:r>
              <w:rPr>
                <w:rFonts w:hint="eastAsia" w:ascii="Times New Roman" w:hAnsi="Times New Roman" w:eastAsia="仿宋" w:cs="Times New Roman"/>
                <w:color w:val="auto"/>
                <w:sz w:val="36"/>
                <w:szCs w:val="36"/>
                <w:lang w:val="en-US" w:eastAsia="zh-CN"/>
              </w:rPr>
              <w:t>目</w:t>
            </w:r>
          </w:p>
        </w:tc>
      </w:tr>
      <w:tr w14:paraId="6480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14:paraId="6731D26B">
            <w:pPr>
              <w:spacing w:line="240" w:lineRule="auto"/>
              <w:jc w:val="center"/>
              <w:rPr>
                <w:rFonts w:eastAsia="仿宋"/>
                <w:color w:val="auto"/>
                <w:sz w:val="36"/>
                <w:szCs w:val="36"/>
              </w:rPr>
            </w:pPr>
            <w:r>
              <w:rPr>
                <w:rFonts w:hint="eastAsia" w:eastAsia="仿宋"/>
                <w:color w:val="auto"/>
                <w:sz w:val="36"/>
                <w:szCs w:val="36"/>
              </w:rPr>
              <w:t>建设单位</w:t>
            </w:r>
            <w:r>
              <w:rPr>
                <w:rFonts w:eastAsia="仿宋"/>
                <w:color w:val="auto"/>
                <w:sz w:val="36"/>
                <w:szCs w:val="36"/>
              </w:rPr>
              <w:t>：</w:t>
            </w:r>
          </w:p>
        </w:tc>
        <w:tc>
          <w:tcPr>
            <w:tcW w:w="7074" w:type="dxa"/>
            <w:tcBorders>
              <w:top w:val="single" w:color="auto" w:sz="4" w:space="0"/>
              <w:left w:val="nil"/>
              <w:bottom w:val="single" w:color="auto" w:sz="4" w:space="0"/>
              <w:right w:val="nil"/>
            </w:tcBorders>
            <w:vAlign w:val="center"/>
          </w:tcPr>
          <w:p w14:paraId="24EB5E31">
            <w:pPr>
              <w:spacing w:line="240" w:lineRule="auto"/>
              <w:jc w:val="center"/>
              <w:rPr>
                <w:rFonts w:eastAsia="仿宋"/>
                <w:color w:val="auto"/>
                <w:sz w:val="36"/>
                <w:szCs w:val="36"/>
              </w:rPr>
            </w:pPr>
            <w:r>
              <w:rPr>
                <w:rFonts w:ascii="Times New Roman" w:hAnsi="Times New Roman" w:eastAsia="仿宋" w:cs="Times New Roman"/>
                <w:color w:val="auto"/>
                <w:sz w:val="36"/>
                <w:szCs w:val="36"/>
                <w:lang w:val="en-US" w:eastAsia="zh-CN"/>
              </w:rPr>
              <w:t>江阴市宝瑞塑业有限公司</w:t>
            </w:r>
          </w:p>
        </w:tc>
      </w:tr>
      <w:tr w14:paraId="2ADB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14:paraId="0346CF81">
            <w:pPr>
              <w:spacing w:line="240" w:lineRule="auto"/>
              <w:jc w:val="center"/>
              <w:rPr>
                <w:rFonts w:eastAsia="仿宋"/>
                <w:color w:val="auto"/>
                <w:sz w:val="36"/>
                <w:szCs w:val="36"/>
              </w:rPr>
            </w:pPr>
            <w:r>
              <w:rPr>
                <w:rFonts w:eastAsia="仿宋"/>
                <w:color w:val="auto"/>
                <w:sz w:val="36"/>
                <w:szCs w:val="36"/>
              </w:rPr>
              <w:t>编制日期：</w:t>
            </w:r>
          </w:p>
        </w:tc>
        <w:tc>
          <w:tcPr>
            <w:tcW w:w="7074" w:type="dxa"/>
            <w:tcBorders>
              <w:top w:val="single" w:color="auto" w:sz="4" w:space="0"/>
              <w:left w:val="nil"/>
              <w:bottom w:val="single" w:color="auto" w:sz="4" w:space="0"/>
              <w:right w:val="nil"/>
            </w:tcBorders>
            <w:vAlign w:val="center"/>
          </w:tcPr>
          <w:p w14:paraId="2E270584">
            <w:pPr>
              <w:spacing w:line="240" w:lineRule="auto"/>
              <w:jc w:val="center"/>
              <w:rPr>
                <w:rFonts w:hint="default" w:eastAsia="仿宋"/>
                <w:color w:val="auto"/>
                <w:sz w:val="44"/>
                <w:szCs w:val="44"/>
                <w:lang w:val="en-US" w:eastAsia="zh-CN"/>
              </w:rPr>
            </w:pPr>
            <w:r>
              <w:rPr>
                <w:rFonts w:hint="eastAsia" w:ascii="Times New Roman" w:hAnsi="Times New Roman" w:eastAsia="仿宋" w:cs="Times New Roman"/>
                <w:color w:val="auto"/>
                <w:sz w:val="36"/>
                <w:szCs w:val="36"/>
                <w:lang w:val="en-US" w:eastAsia="zh-CN"/>
              </w:rPr>
              <w:t>2025年12月</w:t>
            </w:r>
          </w:p>
        </w:tc>
      </w:tr>
    </w:tbl>
    <w:p w14:paraId="417B7C8F">
      <w:pPr>
        <w:rPr>
          <w:rFonts w:eastAsia="仿宋"/>
          <w:color w:val="000000" w:themeColor="text1"/>
          <w:sz w:val="44"/>
          <w:szCs w:val="44"/>
          <w14:textFill>
            <w14:solidFill>
              <w14:schemeClr w14:val="tx1"/>
            </w14:solidFill>
          </w14:textFill>
        </w:rPr>
      </w:pPr>
    </w:p>
    <w:p w14:paraId="2A80E2F2">
      <w:pPr>
        <w:rPr>
          <w:rFonts w:eastAsia="仿宋"/>
          <w:color w:val="000000" w:themeColor="text1"/>
          <w:sz w:val="44"/>
          <w:szCs w:val="44"/>
          <w14:textFill>
            <w14:solidFill>
              <w14:schemeClr w14:val="tx1"/>
            </w14:solidFill>
          </w14:textFill>
        </w:rPr>
      </w:pPr>
    </w:p>
    <w:p w14:paraId="0DC3C335">
      <w:pPr>
        <w:adjustRightInd w:val="0"/>
        <w:snapToGrid w:val="0"/>
        <w:spacing w:line="288" w:lineRule="auto"/>
        <w:rPr>
          <w:rFonts w:ascii="宋体" w:hAnsi="宋体"/>
          <w:color w:val="000000" w:themeColor="text1"/>
          <w:sz w:val="36"/>
          <w:szCs w:val="36"/>
          <w14:textFill>
            <w14:solidFill>
              <w14:schemeClr w14:val="tx1"/>
            </w14:solidFill>
          </w14:textFill>
        </w:rPr>
      </w:pPr>
    </w:p>
    <w:p w14:paraId="2A2488EB">
      <w:pPr>
        <w:adjustRightInd w:val="0"/>
        <w:snapToGrid w:val="0"/>
        <w:spacing w:line="288" w:lineRule="auto"/>
        <w:jc w:val="center"/>
        <w:rPr>
          <w:rFonts w:ascii="宋体" w:hAnsi="宋体"/>
          <w:color w:val="000000" w:themeColor="text1"/>
          <w:sz w:val="36"/>
          <w:szCs w:val="36"/>
          <w14:textFill>
            <w14:solidFill>
              <w14:schemeClr w14:val="tx1"/>
            </w14:solidFill>
          </w14:textFill>
        </w:rPr>
      </w:pPr>
    </w:p>
    <w:p w14:paraId="56A56FD8">
      <w:pPr>
        <w:adjustRightInd w:val="0"/>
        <w:snapToGrid w:val="0"/>
        <w:spacing w:line="288" w:lineRule="auto"/>
        <w:jc w:val="center"/>
        <w:rPr>
          <w:rFonts w:ascii="宋体" w:hAnsi="宋体"/>
          <w:color w:val="000000" w:themeColor="text1"/>
          <w:sz w:val="36"/>
          <w:szCs w:val="36"/>
          <w14:textFill>
            <w14:solidFill>
              <w14:schemeClr w14:val="tx1"/>
            </w14:solidFill>
          </w14:textFill>
        </w:rPr>
      </w:pPr>
    </w:p>
    <w:p w14:paraId="23C08E75">
      <w:pPr>
        <w:adjustRightInd w:val="0"/>
        <w:snapToGrid w:val="0"/>
        <w:spacing w:line="288" w:lineRule="auto"/>
        <w:jc w:val="center"/>
        <w:rPr>
          <w:rFonts w:ascii="宋体" w:hAnsi="宋体"/>
          <w:color w:val="000000" w:themeColor="text1"/>
          <w:sz w:val="36"/>
          <w:szCs w:val="36"/>
          <w14:textFill>
            <w14:solidFill>
              <w14:schemeClr w14:val="tx1"/>
            </w14:solidFill>
          </w14:textFill>
        </w:rPr>
      </w:pPr>
    </w:p>
    <w:p w14:paraId="2D25E1F1">
      <w:pPr>
        <w:adjustRightInd w:val="0"/>
        <w:snapToGrid w:val="0"/>
        <w:spacing w:line="288" w:lineRule="auto"/>
        <w:jc w:val="center"/>
        <w:rPr>
          <w:rFonts w:ascii="宋体" w:hAnsi="宋体"/>
          <w:color w:val="000000" w:themeColor="text1"/>
          <w:sz w:val="36"/>
          <w:szCs w:val="36"/>
          <w14:textFill>
            <w14:solidFill>
              <w14:schemeClr w14:val="tx1"/>
            </w14:solidFill>
          </w14:textFill>
        </w:rPr>
      </w:pPr>
    </w:p>
    <w:p w14:paraId="2159A050">
      <w:pPr>
        <w:adjustRightInd w:val="0"/>
        <w:snapToGrid w:val="0"/>
        <w:spacing w:line="288" w:lineRule="auto"/>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中华人民共和国生态环境部制</w:t>
      </w:r>
    </w:p>
    <w:p w14:paraId="0667D4AA">
      <w:pPr>
        <w:adjustRightInd w:val="0"/>
        <w:snapToGrid w:val="0"/>
        <w:spacing w:line="288" w:lineRule="auto"/>
        <w:ind w:firstLine="1040"/>
        <w:rPr>
          <w:rFonts w:ascii="仿宋_GB2312" w:eastAsia="仿宋_GB2312"/>
          <w:color w:val="000000" w:themeColor="text1"/>
          <w:sz w:val="36"/>
          <w:szCs w:val="36"/>
          <w:highlight w:val="yellow"/>
          <w14:textFill>
            <w14:solidFill>
              <w14:schemeClr w14:val="tx1"/>
            </w14:solidFill>
          </w14:textFill>
        </w:rPr>
        <w:sectPr>
          <w:footerReference r:id="rId3" w:type="default"/>
          <w:footerReference r:id="rId4" w:type="even"/>
          <w:pgSz w:w="11906" w:h="16838"/>
          <w:pgMar w:top="1440" w:right="1080" w:bottom="1440" w:left="1080" w:header="851" w:footer="1077" w:gutter="0"/>
          <w:pgBorders>
            <w:top w:val="none" w:sz="0" w:space="0"/>
            <w:left w:val="none" w:sz="0" w:space="0"/>
            <w:bottom w:val="none" w:sz="0" w:space="0"/>
            <w:right w:val="none" w:sz="0" w:space="0"/>
          </w:pgBorders>
          <w:pgNumType w:start="3"/>
          <w:cols w:space="720" w:num="1"/>
          <w:docGrid w:linePitch="312" w:charSpace="0"/>
        </w:sectPr>
      </w:pPr>
    </w:p>
    <w:p w14:paraId="585628B1">
      <w:pPr>
        <w:spacing w:line="360" w:lineRule="auto"/>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一、建设项目基本情况</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6"/>
        <w:gridCol w:w="2110"/>
        <w:gridCol w:w="1843"/>
        <w:gridCol w:w="2856"/>
      </w:tblGrid>
      <w:tr w14:paraId="52CB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6" w:type="dxa"/>
            <w:tcMar>
              <w:top w:w="16" w:type="dxa"/>
              <w:left w:w="16" w:type="dxa"/>
              <w:right w:w="16" w:type="dxa"/>
            </w:tcMar>
            <w:vAlign w:val="center"/>
          </w:tcPr>
          <w:p w14:paraId="7C63EB35">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建设项目名称</w:t>
            </w:r>
          </w:p>
        </w:tc>
        <w:tc>
          <w:tcPr>
            <w:tcW w:w="6809" w:type="dxa"/>
            <w:gridSpan w:val="3"/>
            <w:vAlign w:val="center"/>
          </w:tcPr>
          <w:p w14:paraId="20435973">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江阴市宝瑞塑业有限公司整厂搬迁项目</w:t>
            </w:r>
          </w:p>
        </w:tc>
      </w:tr>
      <w:tr w14:paraId="6C79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6" w:type="dxa"/>
            <w:tcMar>
              <w:top w:w="16" w:type="dxa"/>
              <w:left w:w="16" w:type="dxa"/>
              <w:right w:w="16" w:type="dxa"/>
            </w:tcMar>
            <w:vAlign w:val="center"/>
          </w:tcPr>
          <w:p w14:paraId="5E649C7C">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项目代码</w:t>
            </w:r>
          </w:p>
        </w:tc>
        <w:tc>
          <w:tcPr>
            <w:tcW w:w="6809" w:type="dxa"/>
            <w:gridSpan w:val="3"/>
            <w:vAlign w:val="center"/>
          </w:tcPr>
          <w:p w14:paraId="54D4381B">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2511-320264-89-03-590905</w:t>
            </w:r>
          </w:p>
        </w:tc>
      </w:tr>
      <w:tr w14:paraId="2B3A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6" w:type="dxa"/>
            <w:tcMar>
              <w:top w:w="16" w:type="dxa"/>
              <w:left w:w="16" w:type="dxa"/>
              <w:right w:w="16" w:type="dxa"/>
            </w:tcMar>
            <w:vAlign w:val="center"/>
          </w:tcPr>
          <w:p w14:paraId="05D99178">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建设单位联系人</w:t>
            </w:r>
          </w:p>
        </w:tc>
        <w:tc>
          <w:tcPr>
            <w:tcW w:w="2110" w:type="dxa"/>
            <w:vAlign w:val="center"/>
          </w:tcPr>
          <w:p w14:paraId="06AE4931">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卞</w:t>
            </w:r>
            <w:r>
              <w:rPr>
                <w:rFonts w:hint="eastAsia" w:cs="Times New Roman"/>
                <w:color w:val="000000" w:themeColor="text1"/>
                <w:szCs w:val="21"/>
                <w:lang w:val="en-US" w:eastAsia="zh-CN"/>
                <w14:textFill>
                  <w14:solidFill>
                    <w14:schemeClr w14:val="tx1"/>
                  </w14:solidFill>
                </w14:textFill>
              </w:rPr>
              <w:t>***</w:t>
            </w:r>
          </w:p>
        </w:tc>
        <w:tc>
          <w:tcPr>
            <w:tcW w:w="1843" w:type="dxa"/>
            <w:vAlign w:val="center"/>
          </w:tcPr>
          <w:p w14:paraId="673A90CD">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联系方式</w:t>
            </w:r>
          </w:p>
        </w:tc>
        <w:tc>
          <w:tcPr>
            <w:tcW w:w="2856" w:type="dxa"/>
            <w:vAlign w:val="center"/>
          </w:tcPr>
          <w:p w14:paraId="4CD1E48F">
            <w:pPr>
              <w:adjustRightInd w:val="0"/>
              <w:snapToGrid w:val="0"/>
              <w:jc w:val="center"/>
              <w:rPr>
                <w:rFonts w:hint="default" w:ascii="Times New Roman" w:hAnsi="Times New Roman" w:eastAsia="宋体" w:cs="Times New Roman"/>
                <w:color w:val="000000" w:themeColor="text1"/>
                <w:szCs w:val="21"/>
                <w:lang w:val="en-US"/>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13814</w:t>
            </w:r>
            <w:r>
              <w:rPr>
                <w:rFonts w:hint="eastAsia" w:cs="Times New Roman"/>
                <w:color w:val="000000" w:themeColor="text1"/>
                <w:szCs w:val="21"/>
                <w:lang w:val="en-US" w:eastAsia="zh-CN"/>
                <w14:textFill>
                  <w14:solidFill>
                    <w14:schemeClr w14:val="tx1"/>
                  </w14:solidFill>
                </w14:textFill>
              </w:rPr>
              <w:t>******</w:t>
            </w:r>
          </w:p>
        </w:tc>
      </w:tr>
      <w:tr w14:paraId="0295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6" w:type="dxa"/>
            <w:tcMar>
              <w:top w:w="16" w:type="dxa"/>
              <w:left w:w="16" w:type="dxa"/>
              <w:right w:w="16" w:type="dxa"/>
            </w:tcMar>
            <w:vAlign w:val="center"/>
          </w:tcPr>
          <w:p w14:paraId="70A4B667">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建设地点</w:t>
            </w:r>
          </w:p>
        </w:tc>
        <w:tc>
          <w:tcPr>
            <w:tcW w:w="6809" w:type="dxa"/>
            <w:gridSpan w:val="3"/>
            <w:vAlign w:val="center"/>
          </w:tcPr>
          <w:p w14:paraId="79F68D3E">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江苏省无锡市江阴市月城镇月翔路15号</w:t>
            </w:r>
          </w:p>
        </w:tc>
      </w:tr>
      <w:tr w14:paraId="24B3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6" w:type="dxa"/>
            <w:tcMar>
              <w:top w:w="16" w:type="dxa"/>
              <w:left w:w="16" w:type="dxa"/>
              <w:right w:w="16" w:type="dxa"/>
            </w:tcMar>
            <w:vAlign w:val="center"/>
          </w:tcPr>
          <w:p w14:paraId="3C3ED014">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地理坐标</w:t>
            </w:r>
          </w:p>
        </w:tc>
        <w:tc>
          <w:tcPr>
            <w:tcW w:w="6809" w:type="dxa"/>
            <w:gridSpan w:val="3"/>
            <w:vAlign w:val="center"/>
          </w:tcPr>
          <w:p w14:paraId="50C15A58">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w:t>
            </w:r>
            <w:r>
              <w:rPr>
                <w:rFonts w:hint="default" w:ascii="Times New Roman" w:hAnsi="Times New Roman" w:eastAsia="宋体" w:cs="Times New Roman"/>
                <w:color w:val="000000" w:themeColor="text1"/>
                <w:szCs w:val="21"/>
                <w:u w:val="single"/>
                <w14:textFill>
                  <w14:solidFill>
                    <w14:schemeClr w14:val="tx1"/>
                  </w14:solidFill>
                </w14:textFill>
              </w:rPr>
              <w:t>120</w:t>
            </w:r>
            <w:r>
              <w:rPr>
                <w:rFonts w:hint="default" w:ascii="Times New Roman" w:hAnsi="Times New Roman" w:eastAsia="宋体" w:cs="Times New Roman"/>
                <w:color w:val="000000" w:themeColor="text1"/>
                <w:szCs w:val="21"/>
                <w14:textFill>
                  <w14:solidFill>
                    <w14:schemeClr w14:val="tx1"/>
                  </w14:solidFill>
                </w14:textFill>
              </w:rPr>
              <w:t>度</w:t>
            </w:r>
            <w:r>
              <w:rPr>
                <w:rFonts w:hint="default" w:ascii="Times New Roman" w:hAnsi="Times New Roman" w:eastAsia="宋体" w:cs="Times New Roman"/>
                <w:color w:val="000000" w:themeColor="text1"/>
                <w:szCs w:val="21"/>
                <w:u w:val="single"/>
                <w14:textFill>
                  <w14:solidFill>
                    <w14:schemeClr w14:val="tx1"/>
                  </w14:solidFill>
                </w14:textFill>
              </w:rPr>
              <w:t>14</w:t>
            </w:r>
            <w:r>
              <w:rPr>
                <w:rFonts w:hint="default" w:ascii="Times New Roman" w:hAnsi="Times New Roman" w:eastAsia="宋体" w:cs="Times New Roman"/>
                <w:color w:val="000000" w:themeColor="text1"/>
                <w:szCs w:val="21"/>
                <w14:textFill>
                  <w14:solidFill>
                    <w14:schemeClr w14:val="tx1"/>
                  </w14:solidFill>
                </w14:textFill>
              </w:rPr>
              <w:t>分</w:t>
            </w:r>
            <w:r>
              <w:rPr>
                <w:rFonts w:hint="default" w:ascii="Times New Roman" w:hAnsi="Times New Roman" w:eastAsia="宋体" w:cs="Times New Roman"/>
                <w:color w:val="000000" w:themeColor="text1"/>
                <w:szCs w:val="21"/>
                <w:u w:val="single"/>
                <w:lang w:val="en-US" w:eastAsia="zh-CN"/>
                <w14:textFill>
                  <w14:solidFill>
                    <w14:schemeClr w14:val="tx1"/>
                  </w14:solidFill>
                </w14:textFill>
              </w:rPr>
              <w:t>36</w:t>
            </w:r>
            <w:r>
              <w:rPr>
                <w:rFonts w:hint="default" w:ascii="Times New Roman" w:hAnsi="Times New Roman" w:eastAsia="宋体" w:cs="Times New Roman"/>
                <w:color w:val="000000" w:themeColor="text1"/>
                <w:szCs w:val="21"/>
                <w:u w:val="single"/>
                <w14:textFill>
                  <w14:solidFill>
                    <w14:schemeClr w14:val="tx1"/>
                  </w14:solidFill>
                </w14:textFill>
              </w:rPr>
              <w:t>.</w:t>
            </w:r>
            <w:r>
              <w:rPr>
                <w:rFonts w:hint="default" w:ascii="Times New Roman" w:hAnsi="Times New Roman" w:eastAsia="宋体" w:cs="Times New Roman"/>
                <w:color w:val="000000" w:themeColor="text1"/>
                <w:szCs w:val="21"/>
                <w:u w:val="single"/>
                <w:lang w:val="en-US" w:eastAsia="zh-CN"/>
                <w14:textFill>
                  <w14:solidFill>
                    <w14:schemeClr w14:val="tx1"/>
                  </w14:solidFill>
                </w14:textFill>
              </w:rPr>
              <w:t>919</w:t>
            </w:r>
            <w:r>
              <w:rPr>
                <w:rFonts w:hint="default" w:ascii="Times New Roman" w:hAnsi="Times New Roman" w:eastAsia="宋体" w:cs="Times New Roman"/>
                <w:color w:val="000000" w:themeColor="text1"/>
                <w:szCs w:val="21"/>
                <w14:textFill>
                  <w14:solidFill>
                    <w14:schemeClr w14:val="tx1"/>
                  </w14:solidFill>
                </w14:textFill>
              </w:rPr>
              <w:t>秒，</w:t>
            </w:r>
            <w:r>
              <w:rPr>
                <w:rFonts w:hint="default" w:ascii="Times New Roman" w:hAnsi="Times New Roman" w:eastAsia="宋体" w:cs="Times New Roman"/>
                <w:color w:val="000000" w:themeColor="text1"/>
                <w:szCs w:val="21"/>
                <w:u w:val="single"/>
                <w14:textFill>
                  <w14:solidFill>
                    <w14:schemeClr w14:val="tx1"/>
                  </w14:solidFill>
                </w14:textFill>
              </w:rPr>
              <w:t>31</w:t>
            </w:r>
            <w:r>
              <w:rPr>
                <w:rFonts w:hint="default" w:ascii="Times New Roman" w:hAnsi="Times New Roman" w:eastAsia="宋体" w:cs="Times New Roman"/>
                <w:color w:val="000000" w:themeColor="text1"/>
                <w:szCs w:val="21"/>
                <w14:textFill>
                  <w14:solidFill>
                    <w14:schemeClr w14:val="tx1"/>
                  </w14:solidFill>
                </w14:textFill>
              </w:rPr>
              <w:t>度</w:t>
            </w:r>
            <w:r>
              <w:rPr>
                <w:rFonts w:hint="default" w:ascii="Times New Roman" w:hAnsi="Times New Roman" w:eastAsia="宋体" w:cs="Times New Roman"/>
                <w:color w:val="000000" w:themeColor="text1"/>
                <w:szCs w:val="21"/>
                <w:u w:val="single"/>
                <w14:textFill>
                  <w14:solidFill>
                    <w14:schemeClr w14:val="tx1"/>
                  </w14:solidFill>
                </w14:textFill>
              </w:rPr>
              <w:t>48</w:t>
            </w:r>
            <w:r>
              <w:rPr>
                <w:rFonts w:hint="default" w:ascii="Times New Roman" w:hAnsi="Times New Roman" w:eastAsia="宋体" w:cs="Times New Roman"/>
                <w:color w:val="000000" w:themeColor="text1"/>
                <w:szCs w:val="21"/>
                <w14:textFill>
                  <w14:solidFill>
                    <w14:schemeClr w14:val="tx1"/>
                  </w14:solidFill>
                </w14:textFill>
              </w:rPr>
              <w:t>分</w:t>
            </w:r>
            <w:r>
              <w:rPr>
                <w:rFonts w:hint="default" w:ascii="Times New Roman" w:hAnsi="Times New Roman" w:eastAsia="宋体" w:cs="Times New Roman"/>
                <w:color w:val="000000" w:themeColor="text1"/>
                <w:szCs w:val="21"/>
                <w:u w:val="single"/>
                <w:lang w:val="en-US" w:eastAsia="zh-CN"/>
                <w14:textFill>
                  <w14:solidFill>
                    <w14:schemeClr w14:val="tx1"/>
                  </w14:solidFill>
                </w14:textFill>
              </w:rPr>
              <w:t>39</w:t>
            </w:r>
            <w:r>
              <w:rPr>
                <w:rFonts w:hint="default" w:ascii="Times New Roman" w:hAnsi="Times New Roman" w:eastAsia="宋体" w:cs="Times New Roman"/>
                <w:color w:val="000000" w:themeColor="text1"/>
                <w:szCs w:val="21"/>
                <w:u w:val="single"/>
                <w14:textFill>
                  <w14:solidFill>
                    <w14:schemeClr w14:val="tx1"/>
                  </w14:solidFill>
                </w14:textFill>
              </w:rPr>
              <w:t>.</w:t>
            </w:r>
            <w:r>
              <w:rPr>
                <w:rFonts w:hint="default" w:ascii="Times New Roman" w:hAnsi="Times New Roman" w:eastAsia="宋体" w:cs="Times New Roman"/>
                <w:color w:val="000000" w:themeColor="text1"/>
                <w:szCs w:val="21"/>
                <w:u w:val="single"/>
                <w:lang w:val="en-US" w:eastAsia="zh-CN"/>
                <w14:textFill>
                  <w14:solidFill>
                    <w14:schemeClr w14:val="tx1"/>
                  </w14:solidFill>
                </w14:textFill>
              </w:rPr>
              <w:t>270</w:t>
            </w:r>
            <w:r>
              <w:rPr>
                <w:rFonts w:hint="default" w:ascii="Times New Roman" w:hAnsi="Times New Roman" w:eastAsia="宋体" w:cs="Times New Roman"/>
                <w:color w:val="000000" w:themeColor="text1"/>
                <w:szCs w:val="21"/>
                <w14:textFill>
                  <w14:solidFill>
                    <w14:schemeClr w14:val="tx1"/>
                  </w14:solidFill>
                </w14:textFill>
              </w:rPr>
              <w:t>秒）</w:t>
            </w:r>
          </w:p>
        </w:tc>
      </w:tr>
      <w:tr w14:paraId="7C0F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6" w:type="dxa"/>
            <w:tcMar>
              <w:top w:w="16" w:type="dxa"/>
              <w:left w:w="16" w:type="dxa"/>
              <w:right w:w="16" w:type="dxa"/>
            </w:tcMar>
            <w:vAlign w:val="center"/>
          </w:tcPr>
          <w:p w14:paraId="21B0FDE9">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国民经济</w:t>
            </w:r>
          </w:p>
          <w:p w14:paraId="1E09A59E">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行业类别</w:t>
            </w:r>
          </w:p>
        </w:tc>
        <w:tc>
          <w:tcPr>
            <w:tcW w:w="2110" w:type="dxa"/>
            <w:vAlign w:val="center"/>
          </w:tcPr>
          <w:p w14:paraId="73236D4C">
            <w:pPr>
              <w:adjustRightInd w:val="0"/>
              <w:snapToGrid w:val="0"/>
              <w:rPr>
                <w:rFonts w:hint="default" w:ascii="Times New Roman" w:hAnsi="Times New Roman" w:eastAsia="宋体" w:cs="Times New Roman"/>
                <w:bCs/>
                <w:snapToGrid w:val="0"/>
                <w:color w:val="000000" w:themeColor="text1"/>
                <w:kern w:val="0"/>
                <w:szCs w:val="21"/>
                <w:lang w:eastAsia="zh-CN"/>
                <w14:textFill>
                  <w14:solidFill>
                    <w14:schemeClr w14:val="tx1"/>
                  </w14:solidFill>
                </w14:textFill>
              </w:rPr>
            </w:pPr>
            <w:r>
              <w:rPr>
                <w:rFonts w:hint="default" w:ascii="Times New Roman" w:hAnsi="Times New Roman" w:eastAsia="宋体" w:cs="Times New Roman"/>
                <w:bCs/>
                <w:snapToGrid w:val="0"/>
                <w:color w:val="000000" w:themeColor="text1"/>
                <w:kern w:val="0"/>
                <w:szCs w:val="21"/>
                <w14:textFill>
                  <w14:solidFill>
                    <w14:schemeClr w14:val="tx1"/>
                  </w14:solidFill>
                </w14:textFill>
              </w:rPr>
              <w:t>日用塑料制品制造</w:t>
            </w:r>
            <w:r>
              <w:rPr>
                <w:rFonts w:hint="default" w:ascii="Times New Roman" w:hAnsi="Times New Roman" w:eastAsia="宋体" w:cs="Times New Roman"/>
                <w:bCs/>
                <w:snapToGrid w:val="0"/>
                <w:color w:val="000000" w:themeColor="text1"/>
                <w:kern w:val="0"/>
                <w:szCs w:val="21"/>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Cs w:val="21"/>
                <w:lang w:val="en-US" w:eastAsia="zh-CN"/>
                <w14:textFill>
                  <w14:solidFill>
                    <w14:schemeClr w14:val="tx1"/>
                  </w14:solidFill>
                </w14:textFill>
              </w:rPr>
              <w:t>C2927</w:t>
            </w:r>
            <w:r>
              <w:rPr>
                <w:rFonts w:hint="default" w:ascii="Times New Roman" w:hAnsi="Times New Roman" w:eastAsia="宋体" w:cs="Times New Roman"/>
                <w:bCs/>
                <w:snapToGrid w:val="0"/>
                <w:color w:val="000000" w:themeColor="text1"/>
                <w:kern w:val="0"/>
                <w:szCs w:val="21"/>
                <w:lang w:eastAsia="zh-CN"/>
                <w14:textFill>
                  <w14:solidFill>
                    <w14:schemeClr w14:val="tx1"/>
                  </w14:solidFill>
                </w14:textFill>
              </w:rPr>
              <w:t>）</w:t>
            </w:r>
          </w:p>
        </w:tc>
        <w:tc>
          <w:tcPr>
            <w:tcW w:w="1843" w:type="dxa"/>
            <w:vAlign w:val="center"/>
          </w:tcPr>
          <w:p w14:paraId="3124E0B7">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bookmarkStart w:id="0" w:name="_Hlk49843745"/>
            <w:r>
              <w:rPr>
                <w:rFonts w:hint="default" w:ascii="Times New Roman" w:hAnsi="Times New Roman" w:eastAsia="宋体" w:cs="Times New Roman"/>
                <w:color w:val="000000" w:themeColor="text1"/>
                <w:szCs w:val="21"/>
                <w14:textFill>
                  <w14:solidFill>
                    <w14:schemeClr w14:val="tx1"/>
                  </w14:solidFill>
                </w14:textFill>
              </w:rPr>
              <w:t>建设项目</w:t>
            </w:r>
          </w:p>
          <w:p w14:paraId="6ECD99BB">
            <w:pPr>
              <w:adjustRightInd w:val="0"/>
              <w:snapToGrid w:val="0"/>
              <w:jc w:val="center"/>
              <w:rPr>
                <w:rFonts w:hint="default" w:ascii="Times New Roman" w:hAnsi="Times New Roman" w:eastAsia="宋体" w:cs="Times New Roman"/>
                <w:color w:val="000000" w:themeColor="text1"/>
                <w:szCs w:val="21"/>
                <w:highlight w:val="yellow"/>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行业类别</w:t>
            </w:r>
            <w:bookmarkEnd w:id="0"/>
          </w:p>
        </w:tc>
        <w:tc>
          <w:tcPr>
            <w:tcW w:w="2856" w:type="dxa"/>
            <w:vAlign w:val="center"/>
          </w:tcPr>
          <w:p w14:paraId="608F7F30">
            <w:pPr>
              <w:keepNext w:val="0"/>
              <w:keepLines w:val="0"/>
              <w:widowControl/>
              <w:suppressLineNumbers w:val="0"/>
              <w:jc w:val="both"/>
              <w:rPr>
                <w:rFonts w:hint="default" w:ascii="Times New Roman" w:hAnsi="Times New Roman" w:eastAsia="宋体" w:cs="Times New Roman"/>
                <w:color w:val="000000" w:themeColor="text1"/>
                <w:szCs w:val="21"/>
                <w:highlight w:val="yellow"/>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二十六、橡胶和塑料制品业29-5</w:t>
            </w:r>
            <w:r>
              <w:rPr>
                <w:rFonts w:hint="default" w:ascii="Times New Roman" w:hAnsi="Times New Roman" w:eastAsia="宋体" w:cs="Times New Roman"/>
                <w:color w:val="000000" w:themeColor="text1"/>
                <w:szCs w:val="21"/>
                <w:lang w:val="en-US" w:eastAsia="zh-CN"/>
                <w14:textFill>
                  <w14:solidFill>
                    <w14:schemeClr w14:val="tx1"/>
                  </w14:solidFill>
                </w14:textFill>
              </w:rPr>
              <w:t>3</w:t>
            </w:r>
            <w:r>
              <w:rPr>
                <w:rFonts w:hint="default" w:ascii="Times New Roman" w:hAnsi="Times New Roman" w:eastAsia="宋体" w:cs="Times New Roman"/>
                <w:color w:val="000000" w:themeColor="text1"/>
                <w:szCs w:val="21"/>
                <w14:textFill>
                  <w14:solidFill>
                    <w14:schemeClr w14:val="tx1"/>
                  </w14:solidFill>
                </w14:textFill>
              </w:rPr>
              <w:t>、</w:t>
            </w:r>
            <w:r>
              <w:rPr>
                <w:rFonts w:hint="default" w:ascii="Times New Roman" w:hAnsi="Times New Roman" w:eastAsia="宋体" w:cs="Times New Roman"/>
                <w:color w:val="000000" w:themeColor="text1"/>
                <w:szCs w:val="21"/>
                <w:lang w:val="en-US" w:eastAsia="zh-CN"/>
                <w14:textFill>
                  <w14:solidFill>
                    <w14:schemeClr w14:val="tx1"/>
                  </w14:solidFill>
                </w14:textFill>
              </w:rPr>
              <w:t>塑料制品业</w:t>
            </w:r>
            <w:r>
              <w:rPr>
                <w:rFonts w:hint="default" w:ascii="Times New Roman" w:hAnsi="Times New Roman" w:eastAsia="宋体" w:cs="Times New Roman"/>
                <w:color w:val="000000" w:themeColor="text1"/>
                <w:szCs w:val="21"/>
                <w14:textFill>
                  <w14:solidFill>
                    <w14:schemeClr w14:val="tx1"/>
                  </w14:solidFill>
                </w14:textFill>
              </w:rPr>
              <w:t>29</w:t>
            </w:r>
            <w:r>
              <w:rPr>
                <w:rFonts w:hint="default" w:ascii="Times New Roman" w:hAnsi="Times New Roman" w:eastAsia="宋体" w:cs="Times New Roman"/>
                <w:color w:val="000000" w:themeColor="text1"/>
                <w:szCs w:val="21"/>
                <w:lang w:val="en-US" w:eastAsia="zh-CN"/>
                <w14:textFill>
                  <w14:solidFill>
                    <w14:schemeClr w14:val="tx1"/>
                  </w14:solidFill>
                </w14:textFill>
              </w:rPr>
              <w:t>2</w:t>
            </w:r>
            <w:r>
              <w:rPr>
                <w:rFonts w:hint="default" w:ascii="Times New Roman" w:hAnsi="Times New Roman" w:eastAsia="宋体" w:cs="Times New Roman"/>
                <w:color w:val="000000" w:themeColor="text1"/>
                <w:szCs w:val="21"/>
                <w14:textFill>
                  <w14:solidFill>
                    <w14:schemeClr w14:val="tx1"/>
                  </w14:solidFill>
                </w14:textFill>
              </w:rPr>
              <w:t>-其他</w:t>
            </w:r>
          </w:p>
        </w:tc>
      </w:tr>
      <w:tr w14:paraId="3F27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6" w:type="dxa"/>
            <w:tcMar>
              <w:top w:w="16" w:type="dxa"/>
              <w:left w:w="16" w:type="dxa"/>
              <w:right w:w="16" w:type="dxa"/>
            </w:tcMar>
            <w:vAlign w:val="center"/>
          </w:tcPr>
          <w:p w14:paraId="6DA8A8E0">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建设性质</w:t>
            </w:r>
          </w:p>
        </w:tc>
        <w:tc>
          <w:tcPr>
            <w:tcW w:w="2110" w:type="dxa"/>
            <w:vAlign w:val="center"/>
          </w:tcPr>
          <w:p w14:paraId="7A639394">
            <w:pPr>
              <w:adjustRightInd w:val="0"/>
              <w:snapToGrid w:val="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☑新建（迁建）</w:t>
            </w:r>
          </w:p>
          <w:p w14:paraId="59219EDB">
            <w:pPr>
              <w:adjustRightInd w:val="0"/>
              <w:snapToGrid w:val="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□改建</w:t>
            </w:r>
          </w:p>
          <w:p w14:paraId="79D82EC4">
            <w:pPr>
              <w:adjustRightInd w:val="0"/>
              <w:snapToGrid w:val="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□扩建</w:t>
            </w:r>
          </w:p>
          <w:p w14:paraId="75871507">
            <w:pPr>
              <w:adjustRightInd w:val="0"/>
              <w:snapToGrid w:val="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□技术改造</w:t>
            </w:r>
          </w:p>
        </w:tc>
        <w:tc>
          <w:tcPr>
            <w:tcW w:w="1843" w:type="dxa"/>
            <w:vAlign w:val="center"/>
          </w:tcPr>
          <w:p w14:paraId="5A3EA940">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建设项目</w:t>
            </w:r>
          </w:p>
          <w:p w14:paraId="30EFD1E5">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申报情形</w:t>
            </w:r>
          </w:p>
        </w:tc>
        <w:tc>
          <w:tcPr>
            <w:tcW w:w="2856" w:type="dxa"/>
            <w:vAlign w:val="center"/>
          </w:tcPr>
          <w:p w14:paraId="7B540944">
            <w:pPr>
              <w:adjustRightInd w:val="0"/>
              <w:snapToGrid w:val="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☑首次申报项目</w:t>
            </w:r>
          </w:p>
          <w:p w14:paraId="61F4760E">
            <w:pPr>
              <w:adjustRightInd w:val="0"/>
              <w:snapToGrid w:val="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□不予批准后再次申报项目</w:t>
            </w:r>
          </w:p>
          <w:p w14:paraId="7A61D6C4">
            <w:pPr>
              <w:adjustRightInd w:val="0"/>
              <w:snapToGrid w:val="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□超五年重新审核项目</w:t>
            </w:r>
          </w:p>
          <w:p w14:paraId="16791BAF">
            <w:pPr>
              <w:adjustRightInd w:val="0"/>
              <w:snapToGrid w:val="0"/>
              <w:jc w:val="left"/>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□重大变动重新报批项目</w:t>
            </w:r>
          </w:p>
        </w:tc>
      </w:tr>
      <w:tr w14:paraId="32D6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6" w:type="dxa"/>
            <w:tcMar>
              <w:top w:w="16" w:type="dxa"/>
              <w:left w:w="16" w:type="dxa"/>
              <w:right w:w="16" w:type="dxa"/>
            </w:tcMar>
            <w:vAlign w:val="center"/>
          </w:tcPr>
          <w:p w14:paraId="75E6E80B">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项目审批（核准/备案）部门</w:t>
            </w:r>
          </w:p>
        </w:tc>
        <w:tc>
          <w:tcPr>
            <w:tcW w:w="2110" w:type="dxa"/>
            <w:shd w:val="clear" w:color="auto" w:fill="auto"/>
            <w:vAlign w:val="center"/>
          </w:tcPr>
          <w:p w14:paraId="3660D9F8">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江阴市月城镇人民政府</w:t>
            </w:r>
          </w:p>
        </w:tc>
        <w:tc>
          <w:tcPr>
            <w:tcW w:w="1843" w:type="dxa"/>
            <w:shd w:val="clear" w:color="auto" w:fill="auto"/>
            <w:vAlign w:val="center"/>
          </w:tcPr>
          <w:p w14:paraId="3C96CF31">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项目审批（核准/</w:t>
            </w:r>
          </w:p>
          <w:p w14:paraId="00976B50">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备案）文号</w:t>
            </w:r>
          </w:p>
        </w:tc>
        <w:tc>
          <w:tcPr>
            <w:tcW w:w="2856" w:type="dxa"/>
            <w:shd w:val="clear" w:color="auto" w:fill="auto"/>
            <w:vAlign w:val="center"/>
          </w:tcPr>
          <w:p w14:paraId="4BFC8DBD">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江阴月城备〔2025〕79号</w:t>
            </w:r>
          </w:p>
        </w:tc>
      </w:tr>
      <w:tr w14:paraId="42FD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6" w:type="dxa"/>
            <w:tcMar>
              <w:top w:w="16" w:type="dxa"/>
              <w:left w:w="16" w:type="dxa"/>
              <w:right w:w="16" w:type="dxa"/>
            </w:tcMar>
            <w:vAlign w:val="center"/>
          </w:tcPr>
          <w:p w14:paraId="68764050">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总投资（万元）</w:t>
            </w:r>
          </w:p>
        </w:tc>
        <w:tc>
          <w:tcPr>
            <w:tcW w:w="2110" w:type="dxa"/>
            <w:shd w:val="clear" w:color="auto" w:fill="auto"/>
            <w:vAlign w:val="center"/>
          </w:tcPr>
          <w:p w14:paraId="1B8E20A5">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300</w:t>
            </w:r>
          </w:p>
        </w:tc>
        <w:tc>
          <w:tcPr>
            <w:tcW w:w="1843" w:type="dxa"/>
            <w:shd w:val="clear" w:color="auto" w:fill="auto"/>
            <w:tcMar>
              <w:top w:w="16" w:type="dxa"/>
              <w:left w:w="16" w:type="dxa"/>
              <w:right w:w="16" w:type="dxa"/>
            </w:tcMar>
            <w:vAlign w:val="center"/>
          </w:tcPr>
          <w:p w14:paraId="36871CC7">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环保投资（万元）</w:t>
            </w:r>
          </w:p>
        </w:tc>
        <w:tc>
          <w:tcPr>
            <w:tcW w:w="2856" w:type="dxa"/>
            <w:shd w:val="clear" w:color="auto" w:fill="auto"/>
            <w:vAlign w:val="center"/>
          </w:tcPr>
          <w:p w14:paraId="7867D907">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20</w:t>
            </w:r>
          </w:p>
        </w:tc>
      </w:tr>
      <w:tr w14:paraId="0177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6" w:type="dxa"/>
            <w:tcMar>
              <w:top w:w="16" w:type="dxa"/>
              <w:left w:w="16" w:type="dxa"/>
              <w:right w:w="16" w:type="dxa"/>
            </w:tcMar>
            <w:vAlign w:val="center"/>
          </w:tcPr>
          <w:p w14:paraId="20995069">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环保投资占比（%）</w:t>
            </w:r>
          </w:p>
        </w:tc>
        <w:tc>
          <w:tcPr>
            <w:tcW w:w="2110" w:type="dxa"/>
            <w:shd w:val="clear" w:color="auto" w:fill="auto"/>
            <w:vAlign w:val="center"/>
          </w:tcPr>
          <w:p w14:paraId="34AE8671">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6.7</w:t>
            </w:r>
          </w:p>
        </w:tc>
        <w:tc>
          <w:tcPr>
            <w:tcW w:w="1843" w:type="dxa"/>
            <w:shd w:val="clear" w:color="auto" w:fill="auto"/>
            <w:tcMar>
              <w:top w:w="16" w:type="dxa"/>
              <w:left w:w="16" w:type="dxa"/>
              <w:right w:w="16" w:type="dxa"/>
            </w:tcMar>
            <w:vAlign w:val="center"/>
          </w:tcPr>
          <w:p w14:paraId="26685CAB">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施工工期</w:t>
            </w:r>
          </w:p>
        </w:tc>
        <w:tc>
          <w:tcPr>
            <w:tcW w:w="2856" w:type="dxa"/>
            <w:shd w:val="clear" w:color="auto" w:fill="auto"/>
            <w:vAlign w:val="center"/>
          </w:tcPr>
          <w:p w14:paraId="0CB7C7C4">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6个月</w:t>
            </w:r>
          </w:p>
        </w:tc>
      </w:tr>
      <w:tr w14:paraId="7025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96" w:type="dxa"/>
            <w:tcMar>
              <w:top w:w="16" w:type="dxa"/>
              <w:left w:w="16" w:type="dxa"/>
              <w:right w:w="16" w:type="dxa"/>
            </w:tcMar>
            <w:vAlign w:val="center"/>
          </w:tcPr>
          <w:p w14:paraId="5EB00715">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是否开工建设</w:t>
            </w:r>
          </w:p>
        </w:tc>
        <w:tc>
          <w:tcPr>
            <w:tcW w:w="2110" w:type="dxa"/>
            <w:vAlign w:val="center"/>
          </w:tcPr>
          <w:p w14:paraId="220CA7B1">
            <w:pPr>
              <w:adjustRightInd w:val="0"/>
              <w:snapToGrid w:val="0"/>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napToGrid w:val="0"/>
                <w:color w:val="000000" w:themeColor="text1"/>
                <w:kern w:val="0"/>
                <w:szCs w:val="21"/>
                <w14:textFill>
                  <w14:solidFill>
                    <w14:schemeClr w14:val="tx1"/>
                  </w14:solidFill>
                </w14:textFill>
              </w:rPr>
              <w:t>☑</w:t>
            </w:r>
            <w:r>
              <w:rPr>
                <w:rFonts w:hint="default" w:ascii="Times New Roman" w:hAnsi="Times New Roman" w:eastAsia="宋体" w:cs="Times New Roman"/>
                <w:color w:val="000000" w:themeColor="text1"/>
                <w:szCs w:val="21"/>
                <w14:textFill>
                  <w14:solidFill>
                    <w14:schemeClr w14:val="tx1"/>
                  </w14:solidFill>
                </w14:textFill>
              </w:rPr>
              <w:t>否</w:t>
            </w:r>
          </w:p>
          <w:p w14:paraId="5A8A084B">
            <w:pPr>
              <w:adjustRightInd w:val="0"/>
              <w:snapToGrid w:val="0"/>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□是：</w:t>
            </w:r>
            <w:r>
              <w:rPr>
                <w:rFonts w:hint="default" w:ascii="Times New Roman" w:hAnsi="Times New Roman" w:eastAsia="宋体" w:cs="Times New Roman"/>
                <w:color w:val="000000" w:themeColor="text1"/>
                <w:szCs w:val="21"/>
                <w:u w:val="single"/>
                <w14:textFill>
                  <w14:solidFill>
                    <w14:schemeClr w14:val="tx1"/>
                  </w14:solidFill>
                </w14:textFill>
              </w:rPr>
              <w:t xml:space="preserve">             </w:t>
            </w:r>
          </w:p>
        </w:tc>
        <w:tc>
          <w:tcPr>
            <w:tcW w:w="1843" w:type="dxa"/>
            <w:tcMar>
              <w:top w:w="16" w:type="dxa"/>
              <w:left w:w="16" w:type="dxa"/>
              <w:right w:w="16" w:type="dxa"/>
            </w:tcMar>
            <w:vAlign w:val="center"/>
          </w:tcPr>
          <w:p w14:paraId="7C6CFAA9">
            <w:pPr>
              <w:adjustRightInd w:val="0"/>
              <w:snapToGrid w:val="0"/>
              <w:jc w:val="center"/>
              <w:rPr>
                <w:rFonts w:hint="default" w:ascii="Times New Roman" w:hAnsi="Times New Roman" w:eastAsia="宋体" w:cs="Times New Roman"/>
                <w:color w:val="000000" w:themeColor="text1"/>
                <w:spacing w:val="-6"/>
                <w:szCs w:val="21"/>
                <w14:textFill>
                  <w14:solidFill>
                    <w14:schemeClr w14:val="tx1"/>
                  </w14:solidFill>
                </w14:textFill>
              </w:rPr>
            </w:pPr>
            <w:r>
              <w:rPr>
                <w:rFonts w:hint="default" w:ascii="Times New Roman" w:hAnsi="Times New Roman" w:eastAsia="宋体" w:cs="Times New Roman"/>
                <w:color w:val="000000" w:themeColor="text1"/>
                <w:spacing w:val="-6"/>
                <w:szCs w:val="21"/>
                <w14:textFill>
                  <w14:solidFill>
                    <w14:schemeClr w14:val="tx1"/>
                  </w14:solidFill>
                </w14:textFill>
              </w:rPr>
              <w:t>用地（用海）</w:t>
            </w:r>
          </w:p>
          <w:p w14:paraId="7BD9284A">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pacing w:val="-6"/>
                <w:szCs w:val="21"/>
                <w14:textFill>
                  <w14:solidFill>
                    <w14:schemeClr w14:val="tx1"/>
                  </w14:solidFill>
                </w14:textFill>
              </w:rPr>
              <w:t>面积（m</w:t>
            </w:r>
            <w:r>
              <w:rPr>
                <w:rFonts w:hint="default" w:ascii="Times New Roman" w:hAnsi="Times New Roman" w:eastAsia="宋体" w:cs="Times New Roman"/>
                <w:color w:val="000000" w:themeColor="text1"/>
                <w:spacing w:val="-6"/>
                <w:szCs w:val="21"/>
                <w:vertAlign w:val="superscript"/>
                <w14:textFill>
                  <w14:solidFill>
                    <w14:schemeClr w14:val="tx1"/>
                  </w14:solidFill>
                </w14:textFill>
              </w:rPr>
              <w:t>2</w:t>
            </w:r>
            <w:r>
              <w:rPr>
                <w:rFonts w:hint="default" w:ascii="Times New Roman" w:hAnsi="Times New Roman" w:eastAsia="宋体" w:cs="Times New Roman"/>
                <w:color w:val="000000" w:themeColor="text1"/>
                <w:spacing w:val="-6"/>
                <w:szCs w:val="21"/>
                <w14:textFill>
                  <w14:solidFill>
                    <w14:schemeClr w14:val="tx1"/>
                  </w14:solidFill>
                </w14:textFill>
              </w:rPr>
              <w:t>）</w:t>
            </w:r>
          </w:p>
        </w:tc>
        <w:tc>
          <w:tcPr>
            <w:tcW w:w="2856" w:type="dxa"/>
            <w:vAlign w:val="center"/>
          </w:tcPr>
          <w:p w14:paraId="54EBABAC">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1000</w:t>
            </w:r>
          </w:p>
        </w:tc>
      </w:tr>
      <w:tr w14:paraId="1C52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6" w:type="dxa"/>
            <w:vAlign w:val="center"/>
          </w:tcPr>
          <w:p w14:paraId="74EA10A5">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专项评价设置情况</w:t>
            </w:r>
          </w:p>
        </w:tc>
        <w:tc>
          <w:tcPr>
            <w:tcW w:w="6809" w:type="dxa"/>
            <w:gridSpan w:val="3"/>
            <w:vAlign w:val="center"/>
          </w:tcPr>
          <w:p w14:paraId="528D9322">
            <w:pPr>
              <w:adjustRightInd w:val="0"/>
              <w:snapToGrid w:val="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对照专项评</w:t>
            </w:r>
            <w:r>
              <w:rPr>
                <w:rFonts w:hint="default" w:ascii="Times New Roman" w:hAnsi="Times New Roman" w:eastAsia="宋体" w:cs="Times New Roman"/>
                <w:color w:val="000000" w:themeColor="text1"/>
                <w:sz w:val="21"/>
                <w:szCs w:val="21"/>
                <w14:textFill>
                  <w14:solidFill>
                    <w14:schemeClr w14:val="tx1"/>
                  </w14:solidFill>
                </w14:textFill>
              </w:rPr>
              <w:t>价具体设置原则，本项目需设置专项评价，具体见表1-1。</w:t>
            </w:r>
          </w:p>
          <w:p w14:paraId="7863E989">
            <w:pPr>
              <w:widowControl/>
              <w:spacing w:line="24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表1-1</w:t>
            </w:r>
            <w:r>
              <w:rPr>
                <w:rFonts w:hint="default" w:ascii="Times New Roman" w:hAnsi="Times New Roman" w:eastAsia="宋体" w:cs="Times New Roman"/>
                <w:b/>
                <w:bCs/>
                <w:color w:val="auto"/>
                <w:kern w:val="0"/>
                <w:sz w:val="21"/>
                <w:szCs w:val="21"/>
                <w:lang w:bidi="ar"/>
              </w:rPr>
              <w:t>专项评价设置原则表</w:t>
            </w:r>
          </w:p>
          <w:tbl>
            <w:tblPr>
              <w:tblStyle w:val="27"/>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08"/>
              <w:gridCol w:w="3148"/>
              <w:gridCol w:w="2218"/>
              <w:gridCol w:w="415"/>
            </w:tblGrid>
            <w:tr w14:paraId="28DAB5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3" w:type="pct"/>
                  <w:vAlign w:val="center"/>
                </w:tcPr>
                <w:p w14:paraId="2C032555">
                  <w:pPr>
                    <w:snapToGrid w:val="0"/>
                    <w:spacing w:line="260" w:lineRule="exact"/>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专项评价的类别</w:t>
                  </w:r>
                </w:p>
              </w:tc>
              <w:tc>
                <w:tcPr>
                  <w:tcW w:w="2388" w:type="pct"/>
                  <w:vAlign w:val="center"/>
                </w:tcPr>
                <w:p w14:paraId="0FBBEB66">
                  <w:pPr>
                    <w:snapToGrid w:val="0"/>
                    <w:spacing w:line="260" w:lineRule="exact"/>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设置原则</w:t>
                  </w:r>
                </w:p>
              </w:tc>
              <w:tc>
                <w:tcPr>
                  <w:tcW w:w="1682" w:type="pct"/>
                  <w:vAlign w:val="center"/>
                </w:tcPr>
                <w:p w14:paraId="37426067">
                  <w:pPr>
                    <w:snapToGrid w:val="0"/>
                    <w:spacing w:line="260" w:lineRule="exact"/>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项目情况</w:t>
                  </w:r>
                </w:p>
              </w:tc>
              <w:tc>
                <w:tcPr>
                  <w:tcW w:w="315" w:type="pct"/>
                  <w:vAlign w:val="center"/>
                </w:tcPr>
                <w:p w14:paraId="087919AD">
                  <w:pPr>
                    <w:snapToGrid w:val="0"/>
                    <w:spacing w:line="260" w:lineRule="exact"/>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设置情况</w:t>
                  </w:r>
                </w:p>
              </w:tc>
            </w:tr>
            <w:tr w14:paraId="779B8F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613" w:type="pct"/>
                  <w:vAlign w:val="center"/>
                </w:tcPr>
                <w:p w14:paraId="6973A26F">
                  <w:pPr>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大气</w:t>
                  </w:r>
                </w:p>
              </w:tc>
              <w:tc>
                <w:tcPr>
                  <w:tcW w:w="2388" w:type="pct"/>
                  <w:vAlign w:val="center"/>
                </w:tcPr>
                <w:p w14:paraId="142B6FB7">
                  <w:pPr>
                    <w:pStyle w:val="134"/>
                    <w:rPr>
                      <w:rFonts w:hint="default" w:ascii="Times New Roman" w:hAnsi="Times New Roman" w:eastAsia="宋体" w:cs="Times New Roman"/>
                      <w:color w:val="auto"/>
                    </w:rPr>
                  </w:pPr>
                  <w:r>
                    <w:rPr>
                      <w:rFonts w:hint="default" w:ascii="Times New Roman" w:hAnsi="Times New Roman" w:eastAsia="宋体" w:cs="Times New Roman"/>
                      <w:color w:val="auto"/>
                    </w:rPr>
                    <w:t>排放废气含有毒有害污染物1、二噁英、苯并[a]芘、氰化物、氯气且厂界外500米范围内有环境空气保护目标2的建设项目。</w:t>
                  </w:r>
                </w:p>
              </w:tc>
              <w:tc>
                <w:tcPr>
                  <w:tcW w:w="1682" w:type="pct"/>
                  <w:vAlign w:val="center"/>
                </w:tcPr>
                <w:p w14:paraId="61698ED4">
                  <w:pPr>
                    <w:wordWrap w:val="0"/>
                    <w:adjustRightInd w:val="0"/>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zh-TW"/>
                    </w:rPr>
                    <w:t>本项目排放废气不涉及有毒有害污染物、二噁英、苯并[a]芘、氰化物、氯气。</w:t>
                  </w:r>
                </w:p>
              </w:tc>
              <w:tc>
                <w:tcPr>
                  <w:tcW w:w="315" w:type="pct"/>
                  <w:vAlign w:val="center"/>
                </w:tcPr>
                <w:p w14:paraId="29994291">
                  <w:pPr>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无</w:t>
                  </w:r>
                </w:p>
              </w:tc>
            </w:tr>
            <w:tr w14:paraId="3385B5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613" w:type="pct"/>
                  <w:vAlign w:val="center"/>
                </w:tcPr>
                <w:p w14:paraId="25DF6DD1">
                  <w:pPr>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地表水</w:t>
                  </w:r>
                </w:p>
              </w:tc>
              <w:tc>
                <w:tcPr>
                  <w:tcW w:w="2388" w:type="pct"/>
                  <w:vAlign w:val="center"/>
                </w:tcPr>
                <w:p w14:paraId="0784B0FD">
                  <w:pPr>
                    <w:pStyle w:val="134"/>
                    <w:rPr>
                      <w:rFonts w:hint="default" w:ascii="Times New Roman" w:hAnsi="Times New Roman" w:eastAsia="宋体" w:cs="Times New Roman"/>
                      <w:color w:val="auto"/>
                    </w:rPr>
                  </w:pPr>
                  <w:r>
                    <w:rPr>
                      <w:rFonts w:hint="default" w:ascii="Times New Roman" w:hAnsi="Times New Roman" w:eastAsia="宋体" w:cs="Times New Roman"/>
                      <w:color w:val="auto"/>
                    </w:rPr>
                    <w:t>新增工业废水直排建设项目（槽罐车外送污水处理厂的除外）；新增废水直排的污水集中处理厂。</w:t>
                  </w:r>
                </w:p>
              </w:tc>
              <w:tc>
                <w:tcPr>
                  <w:tcW w:w="1682" w:type="pct"/>
                  <w:vAlign w:val="center"/>
                </w:tcPr>
                <w:p w14:paraId="08868705">
                  <w:pPr>
                    <w:wordWrap w:val="0"/>
                    <w:adjustRightInd w:val="0"/>
                    <w:snapToGrid w:val="0"/>
                    <w:spacing w:line="260" w:lineRule="exact"/>
                    <w:jc w:val="center"/>
                    <w:rPr>
                      <w:rFonts w:hint="default" w:ascii="Times New Roman" w:hAnsi="Times New Roman" w:eastAsia="宋体" w:cs="Times New Roman"/>
                      <w:color w:val="auto"/>
                      <w:kern w:val="0"/>
                      <w:lang w:val="zh-TW" w:bidi="ar"/>
                    </w:rPr>
                  </w:pPr>
                  <w:r>
                    <w:rPr>
                      <w:rFonts w:hint="default" w:ascii="Times New Roman" w:hAnsi="Times New Roman" w:eastAsia="宋体" w:cs="Times New Roman"/>
                      <w:color w:val="auto"/>
                      <w:lang w:val="zh-TW"/>
                    </w:rPr>
                    <w:t>本</w:t>
                  </w:r>
                  <w:r>
                    <w:rPr>
                      <w:rFonts w:hint="default" w:ascii="Times New Roman" w:hAnsi="Times New Roman" w:eastAsia="宋体" w:cs="Times New Roman"/>
                      <w:color w:val="auto"/>
                      <w:kern w:val="0"/>
                      <w:lang w:val="zh-TW" w:bidi="ar"/>
                    </w:rPr>
                    <w:t>项目无生产废水排放，</w:t>
                  </w:r>
                </w:p>
                <w:p w14:paraId="2BF68BA2">
                  <w:pPr>
                    <w:wordWrap w:val="0"/>
                    <w:adjustRightInd w:val="0"/>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lang w:bidi="ar"/>
                    </w:rPr>
                    <w:t>生活污水经预处理后通过管网接入</w:t>
                  </w:r>
                  <w:r>
                    <w:rPr>
                      <w:rFonts w:hint="default" w:ascii="Times New Roman" w:hAnsi="Times New Roman" w:eastAsia="宋体" w:cs="Times New Roman"/>
                      <w:color w:val="auto"/>
                      <w:sz w:val="21"/>
                      <w:lang w:bidi="ar"/>
                    </w:rPr>
                    <w:t>江阴市月城综合污水处理有限公司</w:t>
                  </w:r>
                  <w:r>
                    <w:rPr>
                      <w:rFonts w:hint="default" w:ascii="Times New Roman" w:hAnsi="Times New Roman" w:eastAsia="宋体" w:cs="Times New Roman"/>
                      <w:color w:val="auto"/>
                      <w:kern w:val="0"/>
                      <w:lang w:bidi="ar"/>
                    </w:rPr>
                    <w:t>。</w:t>
                  </w:r>
                </w:p>
              </w:tc>
              <w:tc>
                <w:tcPr>
                  <w:tcW w:w="315" w:type="pct"/>
                  <w:vAlign w:val="center"/>
                </w:tcPr>
                <w:p w14:paraId="2C577DE6">
                  <w:pPr>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无</w:t>
                  </w:r>
                </w:p>
              </w:tc>
            </w:tr>
            <w:tr w14:paraId="5F87EA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613" w:type="pct"/>
                  <w:vAlign w:val="center"/>
                </w:tcPr>
                <w:p w14:paraId="2B890F29">
                  <w:pPr>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环境风险</w:t>
                  </w:r>
                </w:p>
              </w:tc>
              <w:tc>
                <w:tcPr>
                  <w:tcW w:w="2388" w:type="pct"/>
                  <w:vAlign w:val="center"/>
                </w:tcPr>
                <w:p w14:paraId="4417569C">
                  <w:pPr>
                    <w:pStyle w:val="134"/>
                    <w:rPr>
                      <w:rFonts w:hint="default" w:ascii="Times New Roman" w:hAnsi="Times New Roman" w:eastAsia="宋体" w:cs="Times New Roman"/>
                      <w:color w:val="auto"/>
                    </w:rPr>
                  </w:pPr>
                  <w:r>
                    <w:rPr>
                      <w:rFonts w:hint="default" w:ascii="Times New Roman" w:hAnsi="Times New Roman" w:eastAsia="宋体" w:cs="Times New Roman"/>
                      <w:color w:val="auto"/>
                    </w:rPr>
                    <w:t>有毒有害和易燃易爆危险物质存储量超过临界量3的建设项目。</w:t>
                  </w:r>
                </w:p>
              </w:tc>
              <w:tc>
                <w:tcPr>
                  <w:tcW w:w="1682" w:type="pct"/>
                  <w:vAlign w:val="center"/>
                </w:tcPr>
                <w:p w14:paraId="4E6279C9">
                  <w:pPr>
                    <w:wordWrap w:val="0"/>
                    <w:adjustRightInd w:val="0"/>
                    <w:snapToGrid w:val="0"/>
                    <w:spacing w:line="260" w:lineRule="exact"/>
                    <w:jc w:val="center"/>
                    <w:rPr>
                      <w:rFonts w:hint="default" w:ascii="Times New Roman" w:hAnsi="Times New Roman" w:eastAsia="宋体" w:cs="Times New Roman"/>
                      <w:color w:val="auto"/>
                      <w:lang w:val="zh-TW"/>
                    </w:rPr>
                  </w:pPr>
                  <w:r>
                    <w:rPr>
                      <w:rFonts w:hint="default" w:ascii="Times New Roman" w:hAnsi="Times New Roman" w:eastAsia="宋体" w:cs="Times New Roman"/>
                      <w:color w:val="auto"/>
                    </w:rPr>
                    <w:t>本项目有毒有害和易燃易爆危险物质存储量均不超过临界量，不需设置环境风险专项</w:t>
                  </w:r>
                </w:p>
              </w:tc>
              <w:tc>
                <w:tcPr>
                  <w:tcW w:w="315" w:type="pct"/>
                  <w:vAlign w:val="center"/>
                </w:tcPr>
                <w:p w14:paraId="32E6E910">
                  <w:pPr>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无</w:t>
                  </w:r>
                </w:p>
              </w:tc>
            </w:tr>
            <w:tr w14:paraId="63BEF8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613" w:type="pct"/>
                  <w:vAlign w:val="center"/>
                </w:tcPr>
                <w:p w14:paraId="7C4A419A">
                  <w:pPr>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生态</w:t>
                  </w:r>
                </w:p>
              </w:tc>
              <w:tc>
                <w:tcPr>
                  <w:tcW w:w="2388" w:type="pct"/>
                  <w:vAlign w:val="center"/>
                </w:tcPr>
                <w:p w14:paraId="47C3B3EB">
                  <w:pPr>
                    <w:pStyle w:val="134"/>
                    <w:rPr>
                      <w:rFonts w:hint="default" w:ascii="Times New Roman" w:hAnsi="Times New Roman" w:eastAsia="宋体" w:cs="Times New Roman"/>
                      <w:color w:val="auto"/>
                    </w:rPr>
                  </w:pPr>
                  <w:r>
                    <w:rPr>
                      <w:rFonts w:hint="default" w:ascii="Times New Roman" w:hAnsi="Times New Roman" w:eastAsia="宋体" w:cs="Times New Roman"/>
                      <w:color w:val="auto"/>
                    </w:rPr>
                    <w:t>取水口下游500米范围内有重要水生生物的自然产卵场、索饵场、越冬场和洄游通道的新增河道取水的污染类建设项目。</w:t>
                  </w:r>
                </w:p>
              </w:tc>
              <w:tc>
                <w:tcPr>
                  <w:tcW w:w="1682" w:type="pct"/>
                  <w:vAlign w:val="center"/>
                </w:tcPr>
                <w:p w14:paraId="39DA2BB1">
                  <w:pPr>
                    <w:wordWrap w:val="0"/>
                    <w:adjustRightInd w:val="0"/>
                    <w:snapToGrid w:val="0"/>
                    <w:spacing w:line="260" w:lineRule="exact"/>
                    <w:jc w:val="center"/>
                    <w:rPr>
                      <w:rFonts w:hint="default" w:ascii="Times New Roman" w:hAnsi="Times New Roman" w:eastAsia="宋体" w:cs="Times New Roman"/>
                      <w:color w:val="auto"/>
                      <w:lang w:val="zh-TW"/>
                    </w:rPr>
                  </w:pPr>
                  <w:r>
                    <w:rPr>
                      <w:rFonts w:hint="default" w:ascii="Times New Roman" w:hAnsi="Times New Roman" w:eastAsia="宋体" w:cs="Times New Roman"/>
                      <w:color w:val="auto"/>
                      <w:lang w:val="zh-TW"/>
                    </w:rPr>
                    <w:t>本项目不属于新增河道取水项目</w:t>
                  </w:r>
                </w:p>
              </w:tc>
              <w:tc>
                <w:tcPr>
                  <w:tcW w:w="315" w:type="pct"/>
                  <w:vAlign w:val="center"/>
                </w:tcPr>
                <w:p w14:paraId="01CAFFAB">
                  <w:pPr>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无</w:t>
                  </w:r>
                </w:p>
              </w:tc>
            </w:tr>
            <w:tr w14:paraId="57BCA2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613" w:type="pct"/>
                  <w:vAlign w:val="center"/>
                </w:tcPr>
                <w:p w14:paraId="305D5961">
                  <w:pPr>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海洋</w:t>
                  </w:r>
                </w:p>
              </w:tc>
              <w:tc>
                <w:tcPr>
                  <w:tcW w:w="2388" w:type="pct"/>
                  <w:vAlign w:val="center"/>
                </w:tcPr>
                <w:p w14:paraId="083A9FBB">
                  <w:pPr>
                    <w:pStyle w:val="134"/>
                    <w:rPr>
                      <w:rFonts w:hint="default" w:ascii="Times New Roman" w:hAnsi="Times New Roman" w:eastAsia="宋体" w:cs="Times New Roman"/>
                      <w:color w:val="auto"/>
                    </w:rPr>
                  </w:pPr>
                  <w:r>
                    <w:rPr>
                      <w:rFonts w:hint="default" w:ascii="Times New Roman" w:hAnsi="Times New Roman" w:eastAsia="宋体" w:cs="Times New Roman"/>
                      <w:color w:val="auto"/>
                    </w:rPr>
                    <w:t>直接向海排放污染物的海洋工程建设项目。</w:t>
                  </w:r>
                </w:p>
              </w:tc>
              <w:tc>
                <w:tcPr>
                  <w:tcW w:w="1682" w:type="pct"/>
                  <w:vAlign w:val="center"/>
                </w:tcPr>
                <w:p w14:paraId="4C0E72F8">
                  <w:pPr>
                    <w:wordWrap w:val="0"/>
                    <w:adjustRightInd w:val="0"/>
                    <w:snapToGrid w:val="0"/>
                    <w:spacing w:line="260" w:lineRule="exact"/>
                    <w:rPr>
                      <w:rFonts w:hint="default" w:ascii="Times New Roman" w:hAnsi="Times New Roman" w:eastAsia="宋体" w:cs="Times New Roman"/>
                      <w:color w:val="auto"/>
                      <w:lang w:val="zh-TW"/>
                    </w:rPr>
                  </w:pPr>
                  <w:r>
                    <w:rPr>
                      <w:rFonts w:hint="default" w:ascii="Times New Roman" w:hAnsi="Times New Roman" w:eastAsia="宋体" w:cs="Times New Roman"/>
                      <w:color w:val="auto"/>
                      <w:lang w:val="zh-TW"/>
                    </w:rPr>
                    <w:t>本项目不属于海洋工程建设项目</w:t>
                  </w:r>
                </w:p>
              </w:tc>
              <w:tc>
                <w:tcPr>
                  <w:tcW w:w="315" w:type="pct"/>
                  <w:vAlign w:val="center"/>
                </w:tcPr>
                <w:p w14:paraId="615D6A1C">
                  <w:pPr>
                    <w:snapToGrid w:val="0"/>
                    <w:spacing w:line="26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无</w:t>
                  </w:r>
                </w:p>
              </w:tc>
            </w:tr>
          </w:tbl>
          <w:p w14:paraId="7AA33819">
            <w:pPr>
              <w:autoSpaceDE w:val="0"/>
              <w:autoSpaceDN w:val="0"/>
              <w:adjustRightInd w:val="0"/>
              <w:snapToGrid w:val="0"/>
              <w:spacing w:line="240" w:lineRule="auto"/>
              <w:ind w:firstLine="360" w:firstLineChars="20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注：1、废气中有毒有害污染物指纳入《有毒有害大气污染物名录》的污染物（不包括无排放标准的污染物）。</w:t>
            </w:r>
          </w:p>
          <w:p w14:paraId="62AC1EED">
            <w:pPr>
              <w:autoSpaceDE w:val="0"/>
              <w:autoSpaceDN w:val="0"/>
              <w:adjustRightInd w:val="0"/>
              <w:snapToGrid w:val="0"/>
              <w:spacing w:line="240" w:lineRule="auto"/>
              <w:ind w:firstLine="360" w:firstLineChars="20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2、环境空气保护目标指自然保护区、风景名胜区、居住区、文化区和农村地区中人群较集中的区域。</w:t>
            </w:r>
          </w:p>
          <w:p w14:paraId="0DE75E4A">
            <w:pPr>
              <w:pStyle w:val="10"/>
              <w:rPr>
                <w:rFonts w:hint="default" w:ascii="Times New Roman" w:hAnsi="Times New Roman" w:eastAsia="宋体" w:cs="Times New Roman"/>
              </w:rPr>
            </w:pPr>
            <w:r>
              <w:rPr>
                <w:rFonts w:hint="default" w:ascii="Times New Roman" w:hAnsi="Times New Roman" w:eastAsia="宋体" w:cs="Times New Roman"/>
                <w:color w:val="auto"/>
                <w:sz w:val="18"/>
                <w:szCs w:val="18"/>
              </w:rPr>
              <w:t>3、临界量及其计算方法可参考《建设项目环境风险评价技术导则》（HJ169）附录B、附录C。</w:t>
            </w:r>
          </w:p>
        </w:tc>
      </w:tr>
      <w:tr w14:paraId="6648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6" w:type="dxa"/>
            <w:vAlign w:val="center"/>
          </w:tcPr>
          <w:p w14:paraId="2192D7AD">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规划情况</w:t>
            </w:r>
          </w:p>
        </w:tc>
        <w:tc>
          <w:tcPr>
            <w:tcW w:w="6809" w:type="dxa"/>
            <w:gridSpan w:val="3"/>
            <w:vAlign w:val="center"/>
          </w:tcPr>
          <w:p w14:paraId="054B654B">
            <w:pPr>
              <w:spacing w:line="360" w:lineRule="auto"/>
              <w:rPr>
                <w:rFonts w:hint="default" w:ascii="Times New Roman" w:hAnsi="Times New Roman" w:eastAsia="宋体" w:cs="Times New Roman"/>
                <w:snapToGrid w:val="0"/>
                <w:color w:val="000000" w:themeColor="text1"/>
                <w:kern w:val="0"/>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规划名称：</w:t>
            </w:r>
            <w: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t>《江阴市月城镇工业园区详细规划及城市设计》</w:t>
            </w:r>
          </w:p>
          <w:p w14:paraId="1C0D372B">
            <w:pPr>
              <w:spacing w:line="360" w:lineRule="auto"/>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审批机关：江阴市人民政府</w:t>
            </w:r>
          </w:p>
          <w:p w14:paraId="1968D88C">
            <w:pPr>
              <w:spacing w:line="360" w:lineRule="auto"/>
              <w:rPr>
                <w:rFonts w:hint="default" w:ascii="Times New Roman" w:hAnsi="Times New Roman" w:eastAsia="宋体" w:cs="Times New Roman"/>
                <w:snapToGrid w:val="0"/>
                <w:color w:val="000000" w:themeColor="text1"/>
                <w:kern w:val="0"/>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审批文号：</w:t>
            </w:r>
            <w: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t>澄</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政</w:t>
            </w:r>
            <w: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t>复[2023]30号</w:t>
            </w:r>
          </w:p>
        </w:tc>
      </w:tr>
      <w:tr w14:paraId="0499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6" w:type="dxa"/>
            <w:vAlign w:val="center"/>
          </w:tcPr>
          <w:p w14:paraId="7C8E3966">
            <w:pPr>
              <w:adjustRightInd w:val="0"/>
              <w:snapToGrid w:val="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规划环境影响</w:t>
            </w:r>
          </w:p>
          <w:p w14:paraId="773CEB4C">
            <w:pPr>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评价情况</w:t>
            </w:r>
          </w:p>
        </w:tc>
        <w:tc>
          <w:tcPr>
            <w:tcW w:w="6809" w:type="dxa"/>
            <w:gridSpan w:val="3"/>
            <w:vAlign w:val="center"/>
          </w:tcPr>
          <w:p w14:paraId="771BBC84">
            <w:pPr>
              <w:spacing w:line="360" w:lineRule="auto"/>
              <w:rPr>
                <w:rFonts w:hint="default" w:ascii="Times New Roman" w:hAnsi="Times New Roman" w:eastAsia="宋体" w:cs="Times New Roman"/>
                <w:snapToGrid w:val="0"/>
                <w:color w:val="000000" w:themeColor="text1"/>
                <w:kern w:val="0"/>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规划环境影响评价文件名称</w:t>
            </w:r>
            <w: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t>：《江阴市月城镇工业园区开发建设规划（2022-2035年）环境影响报告书》</w:t>
            </w:r>
          </w:p>
          <w:p w14:paraId="74E10F1E">
            <w:pPr>
              <w:spacing w:line="360" w:lineRule="auto"/>
              <w:rPr>
                <w:rFonts w:hint="default" w:ascii="Times New Roman" w:hAnsi="Times New Roman" w:eastAsia="宋体" w:cs="Times New Roman"/>
                <w:snapToGrid w:val="0"/>
                <w:color w:val="000000" w:themeColor="text1"/>
                <w:kern w:val="0"/>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审查文件名称及文号</w:t>
            </w:r>
            <w: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t>：</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《关于江阴市</w:t>
            </w:r>
            <w: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t>月城镇工业园区开发建设规划（2022-2035年）</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环境影响报告书的审查意见》（</w:t>
            </w:r>
            <w: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t>澄环发[2024]50号</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w:t>
            </w:r>
          </w:p>
          <w:p w14:paraId="138C3352">
            <w:pPr>
              <w:spacing w:line="360" w:lineRule="auto"/>
              <w:rPr>
                <w:rFonts w:hint="default" w:ascii="Times New Roman" w:hAnsi="Times New Roman" w:eastAsia="宋体" w:cs="Times New Roman"/>
                <w:snapToGrid w:val="0"/>
                <w:color w:val="000000" w:themeColor="text1"/>
                <w:kern w:val="0"/>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审查机关</w:t>
            </w:r>
            <w: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t>：无锡市江阴生态环境局</w:t>
            </w:r>
          </w:p>
        </w:tc>
      </w:tr>
      <w:tr w14:paraId="0F4A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6" w:type="dxa"/>
            <w:vAlign w:val="center"/>
          </w:tcPr>
          <w:p w14:paraId="102EF97B">
            <w:pPr>
              <w:autoSpaceDE w:val="0"/>
              <w:autoSpaceDN w:val="0"/>
              <w:adjustRightInd w:val="0"/>
              <w:snapToGrid w:val="0"/>
              <w:jc w:val="center"/>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规划及规划环境影响评价符合性分析</w:t>
            </w:r>
          </w:p>
        </w:tc>
        <w:tc>
          <w:tcPr>
            <w:tcW w:w="6809" w:type="dxa"/>
            <w:gridSpan w:val="3"/>
            <w:vAlign w:val="center"/>
          </w:tcPr>
          <w:p w14:paraId="0673D75E">
            <w:pPr>
              <w:spacing w:line="360" w:lineRule="auto"/>
              <w:rPr>
                <w:b/>
                <w:bCs/>
                <w:color w:val="000000" w:themeColor="text1"/>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1、</w:t>
            </w:r>
            <w:r>
              <w:rPr>
                <w:rFonts w:hint="eastAsia"/>
                <w:b/>
                <w:bCs/>
                <w:color w:val="000000" w:themeColor="text1"/>
                <w14:textFill>
                  <w14:solidFill>
                    <w14:schemeClr w14:val="tx1"/>
                  </w14:solidFill>
                </w14:textFill>
              </w:rPr>
              <w:t>规划范围</w:t>
            </w:r>
          </w:p>
          <w:p w14:paraId="60F29A3F">
            <w:pPr>
              <w:pStyle w:val="135"/>
              <w:ind w:firstLine="496"/>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本项目位于江苏省无锡市江阴市月城镇月翔路15号，根据《</w:t>
            </w:r>
            <w:r>
              <w:rPr>
                <w:rFonts w:hint="eastAsia" w:ascii="Times New Roman" w:hAnsi="Times New Roman" w:eastAsia="宋体" w:cs="Times New Roman"/>
                <w:color w:val="auto"/>
                <w:szCs w:val="24"/>
                <w:lang w:val="en-US" w:eastAsia="zh-CN"/>
              </w:rPr>
              <w:t>《江阴市月城镇控制性详细规划（2012-2030）》</w:t>
            </w:r>
            <w:r>
              <w:rPr>
                <w:rFonts w:hint="default" w:ascii="Times New Roman" w:hAnsi="Times New Roman" w:eastAsia="宋体" w:cs="Times New Roman"/>
                <w:color w:val="auto"/>
                <w:szCs w:val="24"/>
              </w:rPr>
              <w:t>，本项目地块为工业用地，符合用地规划。</w:t>
            </w:r>
          </w:p>
          <w:p w14:paraId="56143F46">
            <w:pPr>
              <w:pStyle w:val="135"/>
              <w:ind w:firstLine="496"/>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根据《关于印发&lt;江阴市镇（街）工业园区四至范围&gt;的通知》（澄工改办〔2022〕1号），江阴市月城镇工业园区四至范围：</w:t>
            </w:r>
          </w:p>
          <w:p w14:paraId="1BFD7E2F">
            <w:pPr>
              <w:pStyle w:val="135"/>
              <w:ind w:firstLine="496"/>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重点工业园区：东至盐泰锡常铁路，西至海港大道、锡澄运河，南至江阴大道、月城东路、南环路，北至环山河、新锡澄运河、冯泾河。经核实企业所在地块在重点工业园区范围内</w:t>
            </w:r>
            <w:r>
              <w:rPr>
                <w:rFonts w:hint="default" w:ascii="Times New Roman" w:hAnsi="Times New Roman" w:eastAsia="宋体" w:cs="Times New Roman"/>
                <w:color w:val="auto"/>
                <w:szCs w:val="24"/>
                <w:lang w:eastAsia="zh-CN"/>
              </w:rPr>
              <w:t>。</w:t>
            </w:r>
          </w:p>
          <w:p w14:paraId="29A9CEBE">
            <w:pPr>
              <w:spacing w:line="360" w:lineRule="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2、产业定位及发展模式</w:t>
            </w:r>
          </w:p>
          <w:p w14:paraId="3A15CAFB">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default" w:ascii="Times New Roman" w:hAnsi="Times New Roman" w:eastAsia="宋体" w:cs="Times New Roman"/>
                <w:color w:val="auto"/>
                <w:szCs w:val="24"/>
              </w:rPr>
            </w:pPr>
            <w:r>
              <w:rPr>
                <w:rFonts w:hint="eastAsia" w:ascii="Times New Roman" w:hAnsi="Times New Roman" w:eastAsia="宋体" w:cs="Times New Roman"/>
                <w:color w:val="auto"/>
                <w:spacing w:val="4"/>
                <w:kern w:val="2"/>
                <w:sz w:val="21"/>
                <w:szCs w:val="24"/>
                <w:lang w:val="en-US" w:eastAsia="zh-CN" w:bidi="ar-SA"/>
              </w:rPr>
              <w:t>根据</w:t>
            </w:r>
            <w:r>
              <w:rPr>
                <w:rFonts w:hint="default" w:ascii="Times New Roman" w:hAnsi="Times New Roman" w:eastAsia="宋体" w:cs="Times New Roman"/>
                <w:color w:val="auto"/>
                <w:spacing w:val="4"/>
                <w:kern w:val="2"/>
                <w:sz w:val="21"/>
                <w:szCs w:val="24"/>
                <w:lang w:val="en-US" w:eastAsia="zh-CN" w:bidi="ar-SA"/>
              </w:rPr>
              <w:t>《江阴市月城镇工业园区开发建设规划（2022-2035年）环境影响报告书》</w:t>
            </w:r>
            <w:r>
              <w:rPr>
                <w:rFonts w:hint="eastAsia" w:ascii="Times New Roman" w:hAnsi="Times New Roman" w:eastAsia="宋体" w:cs="Times New Roman"/>
                <w:color w:val="auto"/>
                <w:spacing w:val="4"/>
                <w:kern w:val="2"/>
                <w:sz w:val="21"/>
                <w:szCs w:val="24"/>
                <w:lang w:val="en-US" w:eastAsia="zh-CN" w:bidi="ar-SA"/>
              </w:rPr>
              <w:t>，</w:t>
            </w:r>
            <w:r>
              <w:rPr>
                <w:rFonts w:hint="default" w:ascii="Times New Roman" w:hAnsi="Times New Roman" w:eastAsia="宋体" w:cs="Times New Roman"/>
                <w:color w:val="auto"/>
                <w:spacing w:val="4"/>
                <w:kern w:val="2"/>
                <w:sz w:val="21"/>
                <w:szCs w:val="24"/>
                <w:lang w:val="en-US" w:eastAsia="zh-CN" w:bidi="ar-SA"/>
              </w:rPr>
              <w:t>月城工业园区以传统产业为主导，培育新兴产业的发展模式。智能包装印刷优先以智能包装印刷、新型包装材料项目等为主重点在品牌打造、技术研发、绿色环保和创意设计的方向延伸高端智能装备优先发展交通装备及配套、高端金属材料及制品和智能机械装备及零部件等项目；新能源材料及装备优先发展新能源汽车组件、光伏设备及配件、氢能源配套设</w:t>
            </w:r>
            <w:r>
              <w:rPr>
                <w:rFonts w:hint="default" w:ascii="Times New Roman" w:hAnsi="Times New Roman" w:eastAsia="宋体" w:cs="Times New Roman"/>
                <w:color w:val="auto"/>
                <w:szCs w:val="24"/>
              </w:rPr>
              <w:t>备等项目。本项目从事</w:t>
            </w:r>
            <w:r>
              <w:rPr>
                <w:rFonts w:hint="default" w:ascii="Times New Roman" w:hAnsi="Times New Roman" w:eastAsia="宋体" w:cs="Times New Roman"/>
                <w:color w:val="auto"/>
                <w:szCs w:val="24"/>
                <w:lang w:val="en-US" w:eastAsia="zh-CN"/>
              </w:rPr>
              <w:t>塑料</w:t>
            </w:r>
            <w:r>
              <w:rPr>
                <w:rFonts w:hint="eastAsia" w:ascii="Times New Roman" w:hAnsi="Times New Roman" w:cs="Times New Roman"/>
                <w:color w:val="auto"/>
                <w:szCs w:val="24"/>
                <w:lang w:val="en-US" w:eastAsia="zh-CN"/>
              </w:rPr>
              <w:t>制品</w:t>
            </w:r>
            <w:r>
              <w:rPr>
                <w:rFonts w:hint="default" w:ascii="Times New Roman" w:hAnsi="Times New Roman" w:eastAsia="宋体" w:cs="Times New Roman"/>
                <w:color w:val="auto"/>
                <w:szCs w:val="24"/>
                <w:lang w:val="en-US" w:eastAsia="zh-CN"/>
              </w:rPr>
              <w:t>的生产</w:t>
            </w:r>
            <w:r>
              <w:rPr>
                <w:rFonts w:hint="default" w:ascii="Times New Roman" w:hAnsi="Times New Roman" w:eastAsia="宋体" w:cs="Times New Roman"/>
                <w:color w:val="auto"/>
                <w:szCs w:val="24"/>
              </w:rPr>
              <w:t>，不违背月城工业园区的产业定位。</w:t>
            </w:r>
          </w:p>
          <w:p w14:paraId="343C84A9">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3、土地利用规划</w:t>
            </w:r>
          </w:p>
          <w:p w14:paraId="6D5F835B">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月城工业园区规划工矿用地面积285.65公顷，占规划区总用地面积的59.69%。二类工业用地面积281.32公顷，占规划区总用地面积的58.78%。新型工业用地面积4.33公顷，占规划区总用地面积的0.91%。</w:t>
            </w:r>
          </w:p>
          <w:p w14:paraId="00D033E6">
            <w:pPr>
              <w:spacing w:line="360" w:lineRule="auto"/>
              <w:ind w:firstLine="420" w:firstLineChars="200"/>
              <w:rPr>
                <w:rFonts w:hint="eastAsia" w:cs="Times New Roman"/>
                <w:b/>
                <w:bCs/>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本项目租赁</w:t>
            </w:r>
            <w:r>
              <w:rPr>
                <w:rFonts w:hint="eastAsia" w:ascii="Times New Roman" w:hAnsi="Times New Roman" w:eastAsia="宋体" w:cs="Times New Roman"/>
                <w:color w:val="000000" w:themeColor="text1"/>
                <w:szCs w:val="21"/>
                <w:lang w:val="en-US" w:eastAsia="zh-CN"/>
                <w14:textFill>
                  <w14:solidFill>
                    <w14:schemeClr w14:val="tx1"/>
                  </w14:solidFill>
                </w14:textFill>
              </w:rPr>
              <w:t>江阴市昊远包装材料有限公司</w:t>
            </w:r>
            <w:r>
              <w:rPr>
                <w:rFonts w:hint="eastAsia"/>
                <w:color w:val="000000" w:themeColor="text1"/>
                <w14:textFill>
                  <w14:solidFill>
                    <w14:schemeClr w14:val="tx1"/>
                  </w14:solidFill>
                </w14:textFill>
              </w:rPr>
              <w:t>位于</w:t>
            </w:r>
            <w:r>
              <w:rPr>
                <w:rFonts w:hint="default" w:ascii="Times New Roman" w:hAnsi="Times New Roman" w:eastAsia="宋体" w:cs="Times New Roman"/>
                <w:color w:val="000000" w:themeColor="text1"/>
                <w:szCs w:val="21"/>
                <w:lang w:val="en-US" w:eastAsia="zh-CN"/>
                <w14:textFill>
                  <w14:solidFill>
                    <w14:schemeClr w14:val="tx1"/>
                  </w14:solidFill>
                </w14:textFill>
              </w:rPr>
              <w:t>江阴市月城镇月翔路15号</w:t>
            </w:r>
            <w:r>
              <w:rPr>
                <w:rFonts w:hint="eastAsia" w:cs="Times New Roman"/>
                <w:color w:val="000000" w:themeColor="text1"/>
                <w:szCs w:val="21"/>
                <w:lang w:val="en-US" w:eastAsia="zh-CN"/>
                <w14:textFill>
                  <w14:solidFill>
                    <w14:schemeClr w14:val="tx1"/>
                  </w14:solidFill>
                </w14:textFill>
              </w:rPr>
              <w:t>的</w:t>
            </w:r>
            <w:r>
              <w:rPr>
                <w:rFonts w:hint="eastAsia"/>
                <w:color w:val="000000" w:themeColor="text1"/>
                <w14:textFill>
                  <w14:solidFill>
                    <w14:schemeClr w14:val="tx1"/>
                  </w14:solidFill>
                </w14:textFill>
              </w:rPr>
              <w:t>厂房进行建设，位于月城工业园区内，根据项目建设地土地证</w:t>
            </w:r>
            <w:r>
              <w:rPr>
                <w:rFonts w:hint="eastAsia"/>
                <w:color w:val="000000" w:themeColor="text1"/>
                <w:lang w:val="en-US" w:eastAsia="zh-CN"/>
                <w14:textFill>
                  <w14:solidFill>
                    <w14:schemeClr w14:val="tx1"/>
                  </w14:solidFill>
                </w14:textFill>
              </w:rPr>
              <w:t>澄土集用（2007）第146号</w:t>
            </w:r>
            <w:r>
              <w:rPr>
                <w:rFonts w:hint="eastAsia"/>
                <w:color w:val="000000" w:themeColor="text1"/>
                <w14:textFill>
                  <w14:solidFill>
                    <w14:schemeClr w14:val="tx1"/>
                  </w14:solidFill>
                </w14:textFill>
              </w:rPr>
              <w:t>，本项目所在地块为工业用地，用地符合规划。</w:t>
            </w:r>
          </w:p>
          <w:p w14:paraId="22CC7673">
            <w:pPr>
              <w:spacing w:line="360" w:lineRule="auto"/>
              <w:rPr>
                <w:rFonts w:hint="default" w:ascii="Times New Roman" w:hAnsi="Times New Roman" w:eastAsia="宋体" w:cs="Times New Roman"/>
                <w:b/>
                <w:bCs/>
                <w:color w:val="000000" w:themeColor="text1"/>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4</w:t>
            </w:r>
            <w:r>
              <w:rPr>
                <w:rFonts w:hint="default" w:ascii="Times New Roman" w:hAnsi="Times New Roman" w:eastAsia="宋体" w:cs="Times New Roman"/>
                <w:b/>
                <w:bCs/>
                <w:color w:val="000000" w:themeColor="text1"/>
                <w14:textFill>
                  <w14:solidFill>
                    <w14:schemeClr w14:val="tx1"/>
                  </w14:solidFill>
                </w14:textFill>
              </w:rPr>
              <w:t>、基础设施建设规划</w:t>
            </w:r>
          </w:p>
          <w:p w14:paraId="5D899818">
            <w:pPr>
              <w:spacing w:line="360" w:lineRule="auto"/>
              <w:ind w:firstLine="422" w:firstLineChars="20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（1）给水</w:t>
            </w:r>
          </w:p>
          <w:p w14:paraId="410F6534">
            <w:pPr>
              <w:spacing w:line="360"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月城工业园区规划自来水以长江作为常规水源，由月城给水泵站供给，规划区内自来水供水由锡澄路DN800接入。完善规划区配水干管系统，规划主干管沿水韵路、月东路、北环路、月冯路给水主管相接，形成环网，管径为DN300~DN600毫米以确保供水安全。新建地区的给水支管由规划区给水主干管接入，随道路一起建设，支管管径为DN150~DN300毫米。</w:t>
            </w:r>
          </w:p>
          <w:p w14:paraId="6EA3D88D">
            <w:pPr>
              <w:spacing w:line="360"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本项目所在区域已覆盖给水管网，自来水已接通。</w:t>
            </w:r>
          </w:p>
          <w:p w14:paraId="171CFDC2">
            <w:pPr>
              <w:spacing w:line="360" w:lineRule="auto"/>
              <w:ind w:firstLine="422" w:firstLineChars="20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（2）排水</w:t>
            </w:r>
          </w:p>
          <w:p w14:paraId="71EEE779">
            <w:pPr>
              <w:spacing w:line="360"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月城工业园区污水管网采用枝状管网。规划提升月城污水厂，位于月冯路西侧、创新河南侧，规划期处理规模2.0万m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/d，规划区内的污水由主收集管道进入月城污水处理厂统一处理。</w:t>
            </w:r>
          </w:p>
          <w:p w14:paraId="0B645986">
            <w:pPr>
              <w:spacing w:line="360"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本项目所在区域已接通污水管网，具备接管条件。</w:t>
            </w:r>
          </w:p>
          <w:p w14:paraId="5AB95BF3">
            <w:pPr>
              <w:spacing w:line="360" w:lineRule="auto"/>
              <w:ind w:firstLine="422" w:firstLineChars="20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（3）电力</w:t>
            </w:r>
          </w:p>
          <w:p w14:paraId="4C130668">
            <w:pPr>
              <w:spacing w:line="360"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月城工业园区和秦望山产业园规划区内中压主干网应组成双电源“手拉手”双环网接线开环运行模式，远景期间，可根据实际需要发展为井字形接线。区内中压配网建设采用高压配电源和10kV开闭所结合方式组织网络。根据实际需要安排不同高压变电站之间经各开闭所形成多路10kV环网电力线路，开环运行。</w:t>
            </w:r>
          </w:p>
          <w:p w14:paraId="283A365B">
            <w:pPr>
              <w:spacing w:line="360"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本项目所在区域已布设市政电网，供电具有保障。</w:t>
            </w:r>
          </w:p>
          <w:p w14:paraId="3022E6DC">
            <w:pPr>
              <w:spacing w:line="360" w:lineRule="auto"/>
              <w:ind w:firstLine="422" w:firstLineChars="200"/>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（4）供热</w:t>
            </w:r>
          </w:p>
          <w:p w14:paraId="318EC596">
            <w:pPr>
              <w:spacing w:line="360"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按照《江阴市热电联产规划（2022-2025）》，月城镇属于澄北供热片区，主要热源为江阴苏龙热电有限公司，兴澄特种钢铁有限公司自备热电厂、光大环保能源（江阴）有限公司、秦望山一般工业固废焚烧处置热电项目现名“江阴市一般工业固废资源化热电联产项目一期实施主体为“江阴市华锐绿色能源有限公司为辅助热源点其中华锐绿能公司、光大公司使用生物质能燃料供热，属于绿色能源，按照清洁生产要求，月城镇工业园区、秦望山工业园内新改扩建热能需求用户要求使用绿色热能。</w:t>
            </w:r>
          </w:p>
          <w:p w14:paraId="786466B2">
            <w:pPr>
              <w:spacing w:line="360" w:lineRule="auto"/>
              <w:rPr>
                <w:rFonts w:hint="eastAsia" w:cs="Times New Roman"/>
                <w:b/>
                <w:bCs/>
                <w:color w:val="000000" w:themeColor="text1"/>
                <w:lang w:val="en-US" w:eastAsia="zh-CN"/>
                <w14:textFill>
                  <w14:solidFill>
                    <w14:schemeClr w14:val="tx1"/>
                  </w14:solidFill>
                </w14:textFill>
              </w:rPr>
            </w:pPr>
          </w:p>
          <w:p w14:paraId="137BCBEC">
            <w:pPr>
              <w:spacing w:before="120" w:beforeLines="50" w:line="360" w:lineRule="auto"/>
              <w:rPr>
                <w:color w:val="000000" w:themeColor="text1"/>
                <w14:textFill>
                  <w14:solidFill>
                    <w14:schemeClr w14:val="tx1"/>
                  </w14:solidFill>
                </w14:textFill>
              </w:rPr>
            </w:pPr>
          </w:p>
        </w:tc>
      </w:tr>
      <w:tr w14:paraId="7E04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6" w:type="dxa"/>
            <w:vAlign w:val="center"/>
          </w:tcPr>
          <w:p w14:paraId="47BA4FE8">
            <w:pPr>
              <w:autoSpaceDE w:val="0"/>
              <w:autoSpaceDN w:val="0"/>
              <w:adjustRightInd w:val="0"/>
              <w:snapToGrid w:val="0"/>
              <w:jc w:val="center"/>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其他相符性分析</w:t>
            </w:r>
          </w:p>
        </w:tc>
        <w:tc>
          <w:tcPr>
            <w:tcW w:w="6809" w:type="dxa"/>
            <w:gridSpan w:val="3"/>
            <w:vAlign w:val="center"/>
          </w:tcPr>
          <w:p w14:paraId="7D109806">
            <w:pPr>
              <w:autoSpaceDE w:val="0"/>
              <w:autoSpaceDN w:val="0"/>
              <w:spacing w:line="360" w:lineRule="auto"/>
              <w:rPr>
                <w:b/>
                <w:color w:val="000000" w:themeColor="text1"/>
                <w:kern w:val="0"/>
                <w:szCs w:val="21"/>
                <w14:textFill>
                  <w14:solidFill>
                    <w14:schemeClr w14:val="tx1"/>
                  </w14:solidFill>
                </w14:textFill>
              </w:rPr>
            </w:pPr>
            <w:r>
              <w:rPr>
                <w:rFonts w:hint="eastAsia"/>
                <w:b/>
                <w:color w:val="000000" w:themeColor="text1"/>
                <w:kern w:val="0"/>
                <w:szCs w:val="21"/>
                <w:lang w:val="en-US" w:eastAsia="zh-CN"/>
                <w14:textFill>
                  <w14:solidFill>
                    <w14:schemeClr w14:val="tx1"/>
                  </w14:solidFill>
                </w14:textFill>
              </w:rPr>
              <w:t>1</w:t>
            </w:r>
            <w:r>
              <w:rPr>
                <w:rFonts w:hint="eastAsia"/>
                <w:b/>
                <w:color w:val="000000" w:themeColor="text1"/>
                <w:kern w:val="0"/>
                <w:szCs w:val="21"/>
                <w14:textFill>
                  <w14:solidFill>
                    <w14:schemeClr w14:val="tx1"/>
                  </w14:solidFill>
                </w14:textFill>
              </w:rPr>
              <w:t>、</w:t>
            </w:r>
            <w:r>
              <w:rPr>
                <w:rFonts w:hint="eastAsia" w:ascii="宋体" w:hAnsi="宋体" w:cs="宋体"/>
                <w:b/>
                <w:color w:val="000000" w:themeColor="text1"/>
                <w:kern w:val="0"/>
                <w:szCs w:val="21"/>
                <w14:textFill>
                  <w14:solidFill>
                    <w14:schemeClr w14:val="tx1"/>
                  </w14:solidFill>
                </w14:textFill>
              </w:rPr>
              <w:t>“</w:t>
            </w:r>
            <w:r>
              <w:rPr>
                <w:b/>
                <w:color w:val="000000" w:themeColor="text1"/>
                <w:kern w:val="0"/>
                <w:szCs w:val="21"/>
                <w14:textFill>
                  <w14:solidFill>
                    <w14:schemeClr w14:val="tx1"/>
                  </w14:solidFill>
                </w14:textFill>
              </w:rPr>
              <w:t>三线一单</w:t>
            </w:r>
            <w:r>
              <w:rPr>
                <w:rFonts w:hint="eastAsia" w:ascii="宋体" w:hAnsi="宋体" w:cs="宋体"/>
                <w:b/>
                <w:color w:val="000000" w:themeColor="text1"/>
                <w:kern w:val="0"/>
                <w:szCs w:val="21"/>
                <w14:textFill>
                  <w14:solidFill>
                    <w14:schemeClr w14:val="tx1"/>
                  </w14:solidFill>
                </w14:textFill>
              </w:rPr>
              <w:t>”</w:t>
            </w:r>
            <w:r>
              <w:rPr>
                <w:b/>
                <w:color w:val="000000" w:themeColor="text1"/>
                <w:kern w:val="0"/>
                <w:szCs w:val="21"/>
                <w14:textFill>
                  <w14:solidFill>
                    <w14:schemeClr w14:val="tx1"/>
                  </w14:solidFill>
                </w14:textFill>
              </w:rPr>
              <w:t>相符性分析</w:t>
            </w:r>
          </w:p>
          <w:p w14:paraId="67066318">
            <w:pPr>
              <w:autoSpaceDE w:val="0"/>
              <w:autoSpaceDN w:val="0"/>
              <w:spacing w:line="360" w:lineRule="auto"/>
              <w:ind w:firstLine="422" w:firstLineChars="200"/>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（1）生态</w:t>
            </w:r>
            <w:r>
              <w:rPr>
                <w:rFonts w:hint="eastAsia" w:cs="Times New Roman"/>
                <w:b/>
                <w:bCs/>
                <w:color w:val="000000" w:themeColor="text1"/>
                <w:kern w:val="0"/>
                <w:szCs w:val="21"/>
                <w:lang w:val="en-US" w:eastAsia="zh-CN"/>
                <w14:textFill>
                  <w14:solidFill>
                    <w14:schemeClr w14:val="tx1"/>
                  </w14:solidFill>
                </w14:textFill>
              </w:rPr>
              <w:t>保护</w:t>
            </w:r>
            <w:r>
              <w:rPr>
                <w:rFonts w:ascii="Times New Roman" w:hAnsi="Times New Roman" w:cs="Times New Roman"/>
                <w:b/>
                <w:bCs/>
                <w:color w:val="000000" w:themeColor="text1"/>
                <w:kern w:val="0"/>
                <w:szCs w:val="21"/>
                <w14:textFill>
                  <w14:solidFill>
                    <w14:schemeClr w14:val="tx1"/>
                  </w14:solidFill>
                </w14:textFill>
              </w:rPr>
              <w:t>红线</w:t>
            </w:r>
          </w:p>
          <w:p w14:paraId="7B14807C">
            <w:pPr>
              <w:autoSpaceDE w:val="0"/>
              <w:autoSpaceDN w:val="0"/>
              <w:adjustRightInd w:val="0"/>
              <w:snapToGrid w:val="0"/>
              <w:spacing w:line="360" w:lineRule="auto"/>
              <w:ind w:firstLine="420" w:firstLineChars="200"/>
              <w:rPr>
                <w:rFonts w:cs="Times New Roman"/>
                <w:color w:val="auto"/>
              </w:rPr>
            </w:pPr>
            <w:r>
              <w:rPr>
                <w:rFonts w:cs="Times New Roman"/>
                <w:color w:val="auto"/>
              </w:rPr>
              <w:t>①与《江苏省国家级生态保护红线规划》</w:t>
            </w:r>
            <w:r>
              <w:rPr>
                <w:rFonts w:hint="eastAsia" w:cs="Times New Roman"/>
                <w:color w:val="auto"/>
              </w:rPr>
              <w:t>及其审查意见</w:t>
            </w:r>
            <w:r>
              <w:rPr>
                <w:rFonts w:cs="Times New Roman"/>
                <w:color w:val="auto"/>
              </w:rPr>
              <w:t>（苏政发〔2018〕74号）相符性分析</w:t>
            </w:r>
          </w:p>
          <w:p w14:paraId="5C91FD0C">
            <w:pPr>
              <w:autoSpaceDE w:val="0"/>
              <w:autoSpaceDN w:val="0"/>
              <w:adjustRightInd w:val="0"/>
              <w:snapToGrid w:val="0"/>
              <w:spacing w:line="360" w:lineRule="auto"/>
              <w:ind w:firstLine="420" w:firstLineChars="200"/>
              <w:rPr>
                <w:rFonts w:cs="Times New Roman"/>
                <w:color w:val="auto"/>
              </w:rPr>
            </w:pPr>
            <w:r>
              <w:rPr>
                <w:rFonts w:cs="Times New Roman"/>
                <w:color w:val="auto"/>
              </w:rPr>
              <w:t>《江苏省国家级生态保护红线规划》</w:t>
            </w:r>
            <w:r>
              <w:rPr>
                <w:rFonts w:hint="eastAsia" w:cs="Times New Roman"/>
                <w:color w:val="auto"/>
              </w:rPr>
              <w:t>及其审查意见</w:t>
            </w:r>
            <w:r>
              <w:rPr>
                <w:rFonts w:cs="Times New Roman"/>
                <w:color w:val="auto"/>
              </w:rPr>
              <w:t>（苏政发〔2018〕74号）已于2018年6月9日经江苏省人民政府印发实施。距离本项目最近的生态红线保护区为本项目西南侧4</w:t>
            </w:r>
            <w:r>
              <w:rPr>
                <w:rFonts w:hint="eastAsia" w:cs="Times New Roman"/>
                <w:color w:val="auto"/>
                <w:lang w:val="en-US" w:eastAsia="zh-CN"/>
              </w:rPr>
              <w:t>118</w:t>
            </w:r>
            <w:r>
              <w:rPr>
                <w:rFonts w:cs="Times New Roman"/>
                <w:color w:val="auto"/>
              </w:rPr>
              <w:t>m处的江阴芙蓉湖省级湿地公园，</w:t>
            </w:r>
            <w:r>
              <w:rPr>
                <w:rFonts w:hint="eastAsia" w:cs="Times New Roman"/>
                <w:color w:val="auto"/>
                <w:lang w:val="en-US" w:eastAsia="zh-CN"/>
              </w:rPr>
              <w:t>本项目</w:t>
            </w:r>
            <w:r>
              <w:rPr>
                <w:rFonts w:cs="Times New Roman"/>
                <w:color w:val="auto"/>
              </w:rPr>
              <w:t>不在苏政发〔2018〕74号中规划范围之内。</w:t>
            </w:r>
          </w:p>
          <w:p w14:paraId="561FE170">
            <w:pPr>
              <w:autoSpaceDE w:val="0"/>
              <w:autoSpaceDN w:val="0"/>
              <w:adjustRightInd w:val="0"/>
              <w:snapToGrid w:val="0"/>
              <w:spacing w:line="360" w:lineRule="auto"/>
              <w:ind w:firstLine="420" w:firstLineChars="200"/>
              <w:rPr>
                <w:rFonts w:ascii="Times New Roman" w:hAnsi="Times New Roman" w:cs="Times New Roman"/>
                <w:color w:val="auto"/>
              </w:rPr>
            </w:pPr>
            <w:r>
              <w:rPr>
                <w:rFonts w:ascii="Times New Roman" w:hAnsi="Times New Roman" w:cs="Times New Roman"/>
                <w:color w:val="auto"/>
              </w:rPr>
              <w:t>②</w:t>
            </w:r>
            <w:r>
              <w:rPr>
                <w:rFonts w:hint="eastAsia" w:ascii="Times New Roman" w:hAnsi="Times New Roman" w:cs="Times New Roman"/>
                <w:color w:val="auto"/>
              </w:rPr>
              <w:t>对照《江阴市生态空间管控区域调整方案》及《江苏省自然资源厅关于江阴市生态空间管控区域调整方案的复函》（苏自然资函〔2025〕164号）分析</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距离本项目最近的生态空间管控区域为本项目西北侧</w:t>
            </w:r>
            <w:r>
              <w:rPr>
                <w:rFonts w:hint="eastAsia" w:cs="Times New Roman"/>
                <w:color w:val="auto"/>
                <w:lang w:val="en-US" w:eastAsia="zh-CN"/>
              </w:rPr>
              <w:t>3017</w:t>
            </w:r>
            <w:r>
              <w:rPr>
                <w:rFonts w:hint="eastAsia" w:ascii="Times New Roman" w:hAnsi="Times New Roman" w:cs="Times New Roman"/>
                <w:color w:val="auto"/>
                <w:lang w:val="en-US" w:eastAsia="zh-CN"/>
              </w:rPr>
              <w:t>m处的江阴市低山生态公益林（秦望山），本项目不在《江阴市生态空间管控区域调整方案》中规划范围之内。</w:t>
            </w:r>
          </w:p>
          <w:p w14:paraId="032147CB">
            <w:pPr>
              <w:pStyle w:val="135"/>
              <w:ind w:firstLine="480"/>
              <w:rPr>
                <w:rFonts w:hint="eastAsia"/>
                <w:b/>
                <w:bCs/>
                <w:color w:val="000000" w:themeColor="text1"/>
                <w:kern w:val="0"/>
                <w:szCs w:val="21"/>
                <w14:textFill>
                  <w14:solidFill>
                    <w14:schemeClr w14:val="tx1"/>
                  </w14:solidFill>
                </w14:textFill>
              </w:rPr>
            </w:pPr>
            <w:r>
              <w:rPr>
                <w:rFonts w:cs="Times New Roman"/>
                <w:color w:val="auto"/>
              </w:rPr>
              <w:fldChar w:fldCharType="begin"/>
            </w:r>
            <w:r>
              <w:rPr>
                <w:rFonts w:cs="Times New Roman"/>
                <w:color w:val="auto"/>
              </w:rPr>
              <w:instrText xml:space="preserve">=3\*GB3</w:instrText>
            </w:r>
            <w:r>
              <w:rPr>
                <w:rFonts w:cs="Times New Roman"/>
                <w:color w:val="auto"/>
              </w:rPr>
              <w:fldChar w:fldCharType="separate"/>
            </w:r>
            <w:r>
              <w:rPr>
                <w:rFonts w:cs="Times New Roman"/>
                <w:color w:val="auto"/>
              </w:rPr>
              <w:t>③</w:t>
            </w:r>
            <w:r>
              <w:rPr>
                <w:rFonts w:cs="Times New Roman"/>
                <w:color w:val="auto"/>
              </w:rPr>
              <w:fldChar w:fldCharType="end"/>
            </w:r>
            <w:r>
              <w:rPr>
                <w:rFonts w:cs="Times New Roman"/>
                <w:color w:val="auto"/>
              </w:rPr>
              <w:t>对照</w:t>
            </w:r>
            <w:bookmarkStart w:id="1" w:name="OLE_LINK42"/>
            <w:r>
              <w:rPr>
                <w:rFonts w:cs="Times New Roman"/>
                <w:color w:val="auto"/>
              </w:rPr>
              <w:t>《江阴市国土空间规划近期实施方案》</w:t>
            </w:r>
            <w:bookmarkEnd w:id="1"/>
            <w:r>
              <w:rPr>
                <w:rFonts w:cs="Times New Roman"/>
                <w:color w:val="auto"/>
              </w:rPr>
              <w:t>的要求，项目位于城镇空间及城镇开发边界内，不在划定的农业空间、生态空间，耕地和永久基本农田、生态保护红线内，符合</w:t>
            </w:r>
            <w:r>
              <w:rPr>
                <w:rFonts w:hint="eastAsia" w:cs="Times New Roman"/>
                <w:color w:val="auto"/>
              </w:rPr>
              <w:t>“</w:t>
            </w:r>
            <w:r>
              <w:rPr>
                <w:rFonts w:cs="Times New Roman"/>
                <w:color w:val="auto"/>
              </w:rPr>
              <w:t>三区三线</w:t>
            </w:r>
            <w:r>
              <w:rPr>
                <w:rFonts w:hint="eastAsia" w:cs="Times New Roman"/>
                <w:color w:val="auto"/>
              </w:rPr>
              <w:t>”</w:t>
            </w:r>
            <w:r>
              <w:rPr>
                <w:rFonts w:cs="Times New Roman"/>
                <w:color w:val="auto"/>
              </w:rPr>
              <w:t>规划要求。</w:t>
            </w:r>
          </w:p>
          <w:p w14:paraId="31DD90AE">
            <w:pPr>
              <w:autoSpaceDE w:val="0"/>
              <w:autoSpaceDN w:val="0"/>
              <w:spacing w:line="360" w:lineRule="auto"/>
              <w:ind w:firstLine="422" w:firstLineChars="200"/>
              <w:rPr>
                <w:rFonts w:ascii="Times New Roman" w:hAnsi="Times New Roman" w:cs="Times New Roman"/>
                <w:b/>
                <w:bCs/>
                <w:color w:val="000000" w:themeColor="text1"/>
                <w:kern w:val="0"/>
                <w:szCs w:val="21"/>
                <w14:textFill>
                  <w14:solidFill>
                    <w14:schemeClr w14:val="tx1"/>
                  </w14:solidFill>
                </w14:textFill>
              </w:rPr>
            </w:pPr>
            <w:r>
              <w:rPr>
                <w:rFonts w:ascii="Times New Roman" w:hAnsi="Times New Roman" w:cs="Times New Roman"/>
                <w:b/>
                <w:bCs/>
                <w:color w:val="000000" w:themeColor="text1"/>
                <w:kern w:val="0"/>
                <w:szCs w:val="21"/>
                <w14:textFill>
                  <w14:solidFill>
                    <w14:schemeClr w14:val="tx1"/>
                  </w14:solidFill>
                </w14:textFill>
              </w:rPr>
              <w:t>（2）环境质量底线</w:t>
            </w:r>
          </w:p>
          <w:p w14:paraId="68A43908">
            <w:pPr>
              <w:adjustRightInd w:val="0"/>
              <w:snapToGrid w:val="0"/>
              <w:spacing w:line="360" w:lineRule="auto"/>
              <w:ind w:firstLine="420" w:firstLineChars="200"/>
              <w:rPr>
                <w:rFonts w:cs="Times New Roman"/>
                <w:color w:val="auto"/>
              </w:rPr>
            </w:pPr>
            <w:r>
              <w:rPr>
                <w:rFonts w:cs="Times New Roman"/>
                <w:color w:val="auto"/>
              </w:rPr>
              <w:t>根据《202</w:t>
            </w:r>
            <w:r>
              <w:rPr>
                <w:rFonts w:hint="eastAsia" w:cs="Times New Roman"/>
                <w:color w:val="auto"/>
              </w:rPr>
              <w:t>4</w:t>
            </w:r>
            <w:r>
              <w:rPr>
                <w:rFonts w:cs="Times New Roman"/>
                <w:color w:val="auto"/>
              </w:rPr>
              <w:t>年度江阴市生态环境状况公报》，江阴市SO</w:t>
            </w:r>
            <w:r>
              <w:rPr>
                <w:rFonts w:cs="Times New Roman"/>
                <w:color w:val="auto"/>
                <w:vertAlign w:val="subscript"/>
              </w:rPr>
              <w:t>2</w:t>
            </w:r>
            <w:r>
              <w:rPr>
                <w:rFonts w:cs="Times New Roman"/>
                <w:color w:val="auto"/>
              </w:rPr>
              <w:t>、NO</w:t>
            </w:r>
            <w:r>
              <w:rPr>
                <w:rFonts w:cs="Times New Roman"/>
                <w:color w:val="auto"/>
                <w:vertAlign w:val="subscript"/>
              </w:rPr>
              <w:t>2</w:t>
            </w:r>
            <w:r>
              <w:rPr>
                <w:rFonts w:cs="Times New Roman"/>
                <w:color w:val="auto"/>
              </w:rPr>
              <w:t>、PM</w:t>
            </w:r>
            <w:r>
              <w:rPr>
                <w:rFonts w:cs="Times New Roman"/>
                <w:color w:val="auto"/>
                <w:vertAlign w:val="subscript"/>
              </w:rPr>
              <w:t>10</w:t>
            </w:r>
            <w:r>
              <w:rPr>
                <w:rFonts w:cs="Times New Roman"/>
                <w:color w:val="auto"/>
              </w:rPr>
              <w:t>、PM</w:t>
            </w:r>
            <w:r>
              <w:rPr>
                <w:rFonts w:cs="Times New Roman"/>
                <w:color w:val="auto"/>
                <w:vertAlign w:val="subscript"/>
              </w:rPr>
              <w:t>2.5</w:t>
            </w:r>
            <w:r>
              <w:rPr>
                <w:rFonts w:cs="Times New Roman"/>
                <w:color w:val="auto"/>
              </w:rPr>
              <w:t>、CO达标，O</w:t>
            </w:r>
            <w:r>
              <w:rPr>
                <w:rFonts w:cs="Times New Roman"/>
                <w:color w:val="auto"/>
                <w:vertAlign w:val="subscript"/>
              </w:rPr>
              <w:t>3</w:t>
            </w:r>
            <w:r>
              <w:rPr>
                <w:rFonts w:cs="Times New Roman"/>
                <w:color w:val="auto"/>
              </w:rPr>
              <w:t>超标，属于不达标区，根据《无锡市大气环境质量限期达标规划》分析内容，通过采取污染防治等措施后，无锡市环境空气质量预计2025年可实现全面达标。202</w:t>
            </w:r>
            <w:r>
              <w:rPr>
                <w:rFonts w:hint="eastAsia" w:cs="Times New Roman"/>
                <w:color w:val="auto"/>
              </w:rPr>
              <w:t>4</w:t>
            </w:r>
            <w:r>
              <w:rPr>
                <w:rFonts w:cs="Times New Roman"/>
                <w:color w:val="auto"/>
              </w:rPr>
              <w:t>年无锡市属于环境空气质量不达标区，为改善无锡市环境空气质量情况，无锡市市政府印发《无锡市大气环境质量限期达标规划（2018-2025）》，主要工作任务包括调整产业结构、工业领域全行业全要素达标排放、调整能源结构与控制煤炭消费总量、加强交通行业大气污染防治、推进农业污染防治、加强重污染天气应对等八大类100多项任务和19个重点工程，力争到2025年，全市PM</w:t>
            </w:r>
            <w:r>
              <w:rPr>
                <w:rFonts w:cs="Times New Roman"/>
                <w:color w:val="auto"/>
                <w:vertAlign w:val="subscript"/>
              </w:rPr>
              <w:t>2.5</w:t>
            </w:r>
            <w:r>
              <w:rPr>
                <w:rFonts w:cs="Times New Roman"/>
                <w:color w:val="auto"/>
              </w:rPr>
              <w:t>浓度达到35微克/立方米，臭氧浓度达到拐点，除臭氧以外的主要大气污染物浓度达到国家二级标准要求，空气质量优良天数比例达到80%。</w:t>
            </w:r>
          </w:p>
          <w:p w14:paraId="7F2CDAEB">
            <w:pPr>
              <w:adjustRightInd w:val="0"/>
              <w:snapToGrid w:val="0"/>
              <w:spacing w:line="360" w:lineRule="auto"/>
              <w:ind w:firstLine="420" w:firstLineChars="200"/>
              <w:rPr>
                <w:rFonts w:cs="Times New Roman"/>
                <w:color w:val="auto"/>
              </w:rPr>
            </w:pPr>
            <w:r>
              <w:rPr>
                <w:rFonts w:cs="Times New Roman"/>
                <w:color w:val="auto"/>
              </w:rPr>
              <w:t>纳污河流为锡澄运河，根据江苏省地表水（环境）功能区划，锡澄运河水质执行《地表水环境质量标准》(GB3838-2002)中的Ⅲ类标准。本报告依据江阴生态环境局发布的《2024年1-6月重点考核断面水质状况表》（信息索引号：01404053X/2024-03636）进行区域达标性判断，20</w:t>
            </w:r>
            <w:r>
              <w:rPr>
                <w:rFonts w:hint="eastAsia" w:cs="Times New Roman"/>
                <w:color w:val="auto"/>
              </w:rPr>
              <w:t>24</w:t>
            </w:r>
            <w:r>
              <w:rPr>
                <w:rFonts w:cs="Times New Roman"/>
                <w:color w:val="auto"/>
              </w:rPr>
              <w:t>年锡澄运河全年总体水质良好。月城镇人民政府已出具《2024年月城镇水环境整治方案》，持续提升月城镇内的水环境质量。</w:t>
            </w:r>
          </w:p>
          <w:p w14:paraId="394F12B6">
            <w:pPr>
              <w:spacing w:line="360" w:lineRule="auto"/>
              <w:ind w:firstLine="420" w:firstLineChars="200"/>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声环境方面，</w:t>
            </w:r>
            <w:r>
              <w:rPr>
                <w:rFonts w:hint="eastAsia"/>
                <w:color w:val="000000" w:themeColor="text1"/>
                <w:szCs w:val="21"/>
                <w14:textFill>
                  <w14:solidFill>
                    <w14:schemeClr w14:val="tx1"/>
                  </w14:solidFill>
                </w14:textFill>
              </w:rPr>
              <w:t>本项目厂界外5</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m范围内不存在噪声敏感目标，</w:t>
            </w:r>
            <w:r>
              <w:rPr>
                <w:color w:val="000000" w:themeColor="text1"/>
                <w14:textFill>
                  <w14:solidFill>
                    <w14:schemeClr w14:val="tx1"/>
                  </w14:solidFill>
                </w14:textFill>
              </w:rPr>
              <w:t>根据《2024年度江阴市生态环境状况公报》，</w:t>
            </w:r>
            <w:r>
              <w:rPr>
                <w:rFonts w:hint="eastAsia"/>
                <w:color w:val="000000" w:themeColor="text1"/>
                <w14:textFill>
                  <w14:solidFill>
                    <w14:schemeClr w14:val="tx1"/>
                  </w14:solidFill>
                </w14:textFill>
              </w:rPr>
              <w:t>2024年全市昼间和夜间声环境质量基本保持稳定，声环境质量总体较好。全市城区区域声环境质量昼间平均等效声级为54.3dB（A），昼间声环境质量等级为二级（较好）。影响城全市区声环境质量的主要声源是生活噪声和交通噪声，所占比例分别为53.9%、30.4%；其余依次为工业噪声和施工噪声，所占比例分别为8.8%、6.9%。从声源强度来看，从高到低依次为交通噪声（56.3dB（A））、施工噪声（55.0dB（A））、工业噪声（54.7dB（A））、生活噪声（53.0dB（A））。与2023年相比，2024年交通噪声声源强度下降0.8dB（A）；工业噪声、生活噪声、施工噪声声源强度均略有上升。2024年，全市城区功能区噪声达标率为95.3%，昼间、夜间环境噪声监测达标率分别为100%、90.6%。昼间、夜间环境噪声监测达标率均有所上升</w:t>
            </w:r>
            <w:r>
              <w:rPr>
                <w:rFonts w:hint="eastAsia"/>
                <w:color w:val="000000" w:themeColor="text1"/>
                <w:kern w:val="0"/>
                <w:szCs w:val="21"/>
                <w14:textFill>
                  <w14:solidFill>
                    <w14:schemeClr w14:val="tx1"/>
                  </w14:solidFill>
                </w14:textFill>
              </w:rPr>
              <w:t>。</w:t>
            </w:r>
          </w:p>
          <w:p w14:paraId="25FBF797">
            <w:pPr>
              <w:widowControl/>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本</w:t>
            </w:r>
            <w:r>
              <w:rPr>
                <w:color w:val="000000" w:themeColor="text1"/>
                <w:kern w:val="0"/>
                <w:szCs w:val="21"/>
                <w14:textFill>
                  <w14:solidFill>
                    <w14:schemeClr w14:val="tx1"/>
                  </w14:solidFill>
                </w14:textFill>
              </w:rPr>
              <w:t>项目营运期产生的各项污染物通过相应的治理措施处理后均可达标排放，环境风险控制在安全范围内。因此，</w:t>
            </w:r>
            <w:r>
              <w:rPr>
                <w:rFonts w:hint="eastAsia"/>
                <w:bCs/>
                <w:color w:val="000000" w:themeColor="text1"/>
                <w14:textFill>
                  <w14:solidFill>
                    <w14:schemeClr w14:val="tx1"/>
                  </w14:solidFill>
                </w14:textFill>
              </w:rPr>
              <w:t>本</w:t>
            </w:r>
            <w:r>
              <w:rPr>
                <w:color w:val="000000" w:themeColor="text1"/>
                <w:kern w:val="0"/>
                <w:szCs w:val="21"/>
                <w14:textFill>
                  <w14:solidFill>
                    <w14:schemeClr w14:val="tx1"/>
                  </w14:solidFill>
                </w14:textFill>
              </w:rPr>
              <w:t>项目的建设对区域环境质量影响较小，符合环境质量底线的相关规定要求。</w:t>
            </w:r>
          </w:p>
          <w:p w14:paraId="35B5A7C8">
            <w:pPr>
              <w:autoSpaceDE w:val="0"/>
              <w:autoSpaceDN w:val="0"/>
              <w:spacing w:line="360" w:lineRule="auto"/>
              <w:ind w:firstLine="422" w:firstLineChars="200"/>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（3）</w:t>
            </w:r>
            <w:r>
              <w:rPr>
                <w:b/>
                <w:bCs/>
                <w:color w:val="000000" w:themeColor="text1"/>
                <w:kern w:val="0"/>
                <w:szCs w:val="21"/>
                <w14:textFill>
                  <w14:solidFill>
                    <w14:schemeClr w14:val="tx1"/>
                  </w14:solidFill>
                </w14:textFill>
              </w:rPr>
              <w:t>资源利用上线</w:t>
            </w:r>
          </w:p>
          <w:p w14:paraId="14F272DC">
            <w:pPr>
              <w:autoSpaceDE w:val="0"/>
              <w:autoSpaceDN w:val="0"/>
              <w:spacing w:line="360" w:lineRule="auto"/>
              <w:ind w:firstLine="420" w:firstLineChars="200"/>
              <w:rPr>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本</w:t>
            </w:r>
            <w:r>
              <w:rPr>
                <w:rFonts w:ascii="Times New Roman" w:hAnsi="Times New Roman" w:eastAsia="宋体" w:cs="Times New Roman"/>
                <w:color w:val="000000" w:themeColor="text1"/>
                <w:kern w:val="0"/>
                <w:szCs w:val="21"/>
                <w14:textFill>
                  <w14:solidFill>
                    <w14:schemeClr w14:val="tx1"/>
                  </w14:solidFill>
                </w14:textFill>
              </w:rPr>
              <w:t>项目</w:t>
            </w:r>
            <w:r>
              <w:rPr>
                <w:rFonts w:hint="eastAsia" w:ascii="Times New Roman" w:hAnsi="Times New Roman" w:eastAsia="宋体" w:cs="Times New Roman"/>
                <w:color w:val="000000" w:themeColor="text1"/>
                <w:kern w:val="0"/>
                <w:szCs w:val="21"/>
                <w14:textFill>
                  <w14:solidFill>
                    <w14:schemeClr w14:val="tx1"/>
                  </w14:solidFill>
                </w14:textFill>
              </w:rPr>
              <w:t>使</w:t>
            </w:r>
            <w:r>
              <w:rPr>
                <w:rFonts w:ascii="Times New Roman" w:hAnsi="Times New Roman" w:eastAsia="宋体" w:cs="Times New Roman"/>
                <w:color w:val="000000" w:themeColor="text1"/>
                <w:kern w:val="0"/>
                <w:szCs w:val="21"/>
                <w14:textFill>
                  <w14:solidFill>
                    <w14:schemeClr w14:val="tx1"/>
                  </w14:solidFill>
                </w14:textFill>
              </w:rPr>
              <w:t>用</w:t>
            </w:r>
            <w:r>
              <w:rPr>
                <w:rFonts w:hint="eastAsia" w:ascii="Times New Roman" w:hAnsi="Times New Roman" w:eastAsia="宋体" w:cs="Times New Roman"/>
                <w:color w:val="000000" w:themeColor="text1"/>
                <w:kern w:val="0"/>
                <w:szCs w:val="21"/>
                <w14:textFill>
                  <w14:solidFill>
                    <w14:schemeClr w14:val="tx1"/>
                  </w14:solidFill>
                </w14:textFill>
              </w:rPr>
              <w:t>自来</w:t>
            </w:r>
            <w:r>
              <w:rPr>
                <w:rFonts w:ascii="Times New Roman" w:hAnsi="Times New Roman" w:eastAsia="宋体" w:cs="Times New Roman"/>
                <w:color w:val="000000" w:themeColor="text1"/>
                <w:kern w:val="0"/>
                <w:szCs w:val="21"/>
                <w14:textFill>
                  <w14:solidFill>
                    <w14:schemeClr w14:val="tx1"/>
                  </w14:solidFill>
                </w14:textFill>
              </w:rPr>
              <w:t>水</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7650</w:t>
            </w:r>
            <w:r>
              <w:rPr>
                <w:rFonts w:ascii="Times New Roman" w:hAnsi="Times New Roman" w:eastAsia="宋体" w:cs="Times New Roman"/>
                <w:color w:val="000000" w:themeColor="text1"/>
                <w:kern w:val="0"/>
                <w:szCs w:val="21"/>
                <w14:textFill>
                  <w14:solidFill>
                    <w14:schemeClr w14:val="tx1"/>
                  </w14:solidFill>
                </w14:textFill>
              </w:rPr>
              <w:t>t/a，用电量</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245.76</w:t>
            </w:r>
            <w:r>
              <w:rPr>
                <w:rFonts w:ascii="Times New Roman" w:hAnsi="Times New Roman" w:eastAsia="宋体" w:cs="Times New Roman"/>
                <w:color w:val="000000" w:themeColor="text1"/>
                <w:kern w:val="0"/>
                <w:szCs w:val="21"/>
                <w14:textFill>
                  <w14:solidFill>
                    <w14:schemeClr w14:val="tx1"/>
                  </w14:solidFill>
                </w14:textFill>
              </w:rPr>
              <w:t>万度/a。当地自</w:t>
            </w:r>
            <w:r>
              <w:rPr>
                <w:color w:val="000000" w:themeColor="text1"/>
                <w:kern w:val="0"/>
                <w:szCs w:val="21"/>
                <w14:textFill>
                  <w14:solidFill>
                    <w14:schemeClr w14:val="tx1"/>
                  </w14:solidFill>
                </w14:textFill>
              </w:rPr>
              <w:t>来水厂</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区域电网可满足项目</w:t>
            </w:r>
            <w:r>
              <w:rPr>
                <w:rFonts w:hint="eastAsia"/>
                <w:color w:val="000000" w:themeColor="text1"/>
                <w:kern w:val="0"/>
                <w:szCs w:val="21"/>
                <w14:textFill>
                  <w14:solidFill>
                    <w14:schemeClr w14:val="tx1"/>
                  </w14:solidFill>
                </w14:textFill>
              </w:rPr>
              <w:t>资源</w:t>
            </w:r>
            <w:r>
              <w:rPr>
                <w:color w:val="000000" w:themeColor="text1"/>
                <w:kern w:val="0"/>
                <w:szCs w:val="21"/>
                <w14:textFill>
                  <w14:solidFill>
                    <w14:schemeClr w14:val="tx1"/>
                  </w14:solidFill>
                </w14:textFill>
              </w:rPr>
              <w:t>使用要求，</w:t>
            </w:r>
            <w:r>
              <w:rPr>
                <w:rFonts w:hint="eastAsia"/>
                <w:color w:val="000000" w:themeColor="text1"/>
                <w:kern w:val="0"/>
                <w:szCs w:val="21"/>
                <w14:textFill>
                  <w14:solidFill>
                    <w14:schemeClr w14:val="tx1"/>
                  </w14:solidFill>
                </w14:textFill>
              </w:rPr>
              <w:t>本</w:t>
            </w:r>
            <w:r>
              <w:rPr>
                <w:color w:val="000000" w:themeColor="text1"/>
                <w:kern w:val="0"/>
                <w:szCs w:val="21"/>
                <w14:textFill>
                  <w14:solidFill>
                    <w14:schemeClr w14:val="tx1"/>
                  </w14:solidFill>
                </w14:textFill>
              </w:rPr>
              <w:t>项目</w:t>
            </w:r>
            <w:r>
              <w:rPr>
                <w:rFonts w:hint="eastAsia"/>
                <w:color w:val="000000" w:themeColor="text1"/>
                <w:kern w:val="0"/>
                <w:szCs w:val="21"/>
                <w14:textFill>
                  <w14:solidFill>
                    <w14:schemeClr w14:val="tx1"/>
                  </w14:solidFill>
                </w14:textFill>
              </w:rPr>
              <w:t>不会突破</w:t>
            </w:r>
            <w:r>
              <w:rPr>
                <w:color w:val="000000" w:themeColor="text1"/>
                <w:kern w:val="0"/>
                <w:szCs w:val="21"/>
                <w14:textFill>
                  <w14:solidFill>
                    <w14:schemeClr w14:val="tx1"/>
                  </w14:solidFill>
                </w14:textFill>
              </w:rPr>
              <w:t>当地资源利用</w:t>
            </w:r>
            <w:r>
              <w:rPr>
                <w:rFonts w:hint="eastAsia"/>
                <w:color w:val="000000" w:themeColor="text1"/>
                <w:kern w:val="0"/>
                <w:szCs w:val="21"/>
                <w14:textFill>
                  <w14:solidFill>
                    <w14:schemeClr w14:val="tx1"/>
                  </w14:solidFill>
                </w14:textFill>
              </w:rPr>
              <w:t>上线</w:t>
            </w:r>
            <w:r>
              <w:rPr>
                <w:color w:val="000000" w:themeColor="text1"/>
                <w:kern w:val="0"/>
                <w:szCs w:val="21"/>
                <w14:textFill>
                  <w14:solidFill>
                    <w14:schemeClr w14:val="tx1"/>
                  </w14:solidFill>
                </w14:textFill>
              </w:rPr>
              <w:t>。</w:t>
            </w:r>
          </w:p>
          <w:p w14:paraId="342D152D">
            <w:pPr>
              <w:autoSpaceDE w:val="0"/>
              <w:autoSpaceDN w:val="0"/>
              <w:spacing w:line="360" w:lineRule="auto"/>
              <w:ind w:firstLine="422" w:firstLineChars="200"/>
              <w:rPr>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（4）</w:t>
            </w:r>
            <w:r>
              <w:rPr>
                <w:b/>
                <w:bCs/>
                <w:color w:val="000000" w:themeColor="text1"/>
                <w:kern w:val="0"/>
                <w:szCs w:val="21"/>
                <w14:textFill>
                  <w14:solidFill>
                    <w14:schemeClr w14:val="tx1"/>
                  </w14:solidFill>
                </w14:textFill>
              </w:rPr>
              <w:t>环境准入负面清单</w:t>
            </w:r>
          </w:p>
          <w:p w14:paraId="21FC71B1">
            <w:pPr>
              <w:widowControl/>
              <w:spacing w:line="360" w:lineRule="auto"/>
              <w:ind w:firstLine="420" w:firstLineChars="200"/>
              <w:rPr>
                <w:rFonts w:ascii="Times New Roman" w:hAnsi="Times New Roman" w:cs="Times New Roman"/>
                <w:color w:val="auto"/>
                <w:kern w:val="0"/>
                <w:szCs w:val="21"/>
              </w:rPr>
            </w:pPr>
            <w:r>
              <w:rPr>
                <w:rFonts w:ascii="Times New Roman" w:hAnsi="Times New Roman" w:cs="Times New Roman"/>
                <w:color w:val="000000" w:themeColor="text1"/>
                <w:kern w:val="0"/>
                <w:szCs w:val="21"/>
                <w14:textFill>
                  <w14:solidFill>
                    <w14:schemeClr w14:val="tx1"/>
                  </w14:solidFill>
                </w14:textFill>
              </w:rPr>
              <w:t>对照《江苏省2023年度生态环境分区管控动态更新成果公告》（江苏省生态环境厅，2024年6月</w:t>
            </w:r>
            <w:r>
              <w:rPr>
                <w:rFonts w:ascii="Times New Roman" w:hAnsi="Times New Roman" w:cs="Times New Roman"/>
                <w:color w:val="auto"/>
                <w:kern w:val="0"/>
                <w:szCs w:val="21"/>
              </w:rPr>
              <w:t>13日）</w:t>
            </w:r>
            <w:r>
              <w:rPr>
                <w:rFonts w:hint="eastAsia" w:ascii="Times New Roman" w:hAnsi="Times New Roman" w:cs="Times New Roman"/>
                <w:color w:val="auto"/>
                <w:kern w:val="0"/>
                <w:szCs w:val="21"/>
              </w:rPr>
              <w:t>相符性分析</w:t>
            </w:r>
            <w:r>
              <w:rPr>
                <w:rFonts w:ascii="Times New Roman" w:hAnsi="Times New Roman" w:cs="Times New Roman"/>
                <w:color w:val="auto"/>
                <w:kern w:val="0"/>
                <w:szCs w:val="21"/>
              </w:rPr>
              <w:t>。</w:t>
            </w:r>
          </w:p>
          <w:p w14:paraId="3E15AE7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kern w:val="0"/>
                <w:szCs w:val="21"/>
                <w14:textFill>
                  <w14:solidFill>
                    <w14:schemeClr w14:val="tx1"/>
                  </w14:solidFill>
                </w14:textFill>
              </w:rPr>
            </w:pPr>
          </w:p>
          <w:p w14:paraId="206C3AF1">
            <w:pPr>
              <w:pStyle w:val="11"/>
              <w:widowControl w:val="0"/>
              <w:numPr>
                <w:ilvl w:val="0"/>
                <w:numId w:val="0"/>
              </w:numPr>
              <w:jc w:val="both"/>
              <w:rPr>
                <w:b/>
                <w:bCs/>
                <w:color w:val="000000" w:themeColor="text1"/>
                <w:highlight w:val="yellow"/>
                <w14:textFill>
                  <w14:solidFill>
                    <w14:schemeClr w14:val="tx1"/>
                  </w14:solidFill>
                </w14:textFill>
              </w:rPr>
            </w:pPr>
          </w:p>
          <w:p w14:paraId="42F43635">
            <w:pPr>
              <w:pStyle w:val="11"/>
              <w:widowControl w:val="0"/>
              <w:numPr>
                <w:ilvl w:val="0"/>
                <w:numId w:val="0"/>
              </w:numPr>
              <w:jc w:val="both"/>
              <w:rPr>
                <w:b/>
                <w:bCs/>
                <w:color w:val="000000" w:themeColor="text1"/>
                <w:highlight w:val="yellow"/>
                <w14:textFill>
                  <w14:solidFill>
                    <w14:schemeClr w14:val="tx1"/>
                  </w14:solidFill>
                </w14:textFill>
              </w:rPr>
            </w:pPr>
          </w:p>
          <w:p w14:paraId="30140E07">
            <w:pPr>
              <w:pStyle w:val="11"/>
              <w:widowControl w:val="0"/>
              <w:numPr>
                <w:ilvl w:val="0"/>
                <w:numId w:val="0"/>
              </w:numPr>
              <w:jc w:val="both"/>
              <w:rPr>
                <w:b/>
                <w:bCs/>
                <w:color w:val="000000" w:themeColor="text1"/>
                <w:highlight w:val="yellow"/>
                <w14:textFill>
                  <w14:solidFill>
                    <w14:schemeClr w14:val="tx1"/>
                  </w14:solidFill>
                </w14:textFill>
              </w:rPr>
            </w:pPr>
          </w:p>
          <w:p w14:paraId="55F980D4">
            <w:pPr>
              <w:pStyle w:val="11"/>
              <w:widowControl w:val="0"/>
              <w:numPr>
                <w:ilvl w:val="0"/>
                <w:numId w:val="0"/>
              </w:numPr>
              <w:jc w:val="both"/>
              <w:rPr>
                <w:b/>
                <w:bCs/>
                <w:color w:val="000000" w:themeColor="text1"/>
                <w:highlight w:val="yellow"/>
                <w14:textFill>
                  <w14:solidFill>
                    <w14:schemeClr w14:val="tx1"/>
                  </w14:solidFill>
                </w14:textFill>
              </w:rPr>
            </w:pPr>
          </w:p>
          <w:p w14:paraId="6B2FC8F5">
            <w:pPr>
              <w:pStyle w:val="11"/>
              <w:widowControl w:val="0"/>
              <w:numPr>
                <w:ilvl w:val="0"/>
                <w:numId w:val="0"/>
              </w:numPr>
              <w:jc w:val="both"/>
              <w:rPr>
                <w:b/>
                <w:bCs/>
                <w:color w:val="000000" w:themeColor="text1"/>
                <w:highlight w:val="yellow"/>
                <w14:textFill>
                  <w14:solidFill>
                    <w14:schemeClr w14:val="tx1"/>
                  </w14:solidFill>
                </w14:textFill>
              </w:rPr>
            </w:pPr>
          </w:p>
          <w:p w14:paraId="57B2EB8B">
            <w:pPr>
              <w:pStyle w:val="11"/>
              <w:widowControl w:val="0"/>
              <w:numPr>
                <w:ilvl w:val="0"/>
                <w:numId w:val="0"/>
              </w:numPr>
              <w:jc w:val="both"/>
              <w:rPr>
                <w:b/>
                <w:bCs/>
                <w:color w:val="000000" w:themeColor="text1"/>
                <w:highlight w:val="yellow"/>
                <w14:textFill>
                  <w14:solidFill>
                    <w14:schemeClr w14:val="tx1"/>
                  </w14:solidFill>
                </w14:textFill>
              </w:rPr>
            </w:pPr>
          </w:p>
          <w:p w14:paraId="5ABA104A">
            <w:pPr>
              <w:pStyle w:val="11"/>
              <w:widowControl w:val="0"/>
              <w:numPr>
                <w:ilvl w:val="0"/>
                <w:numId w:val="0"/>
              </w:numPr>
              <w:jc w:val="both"/>
              <w:rPr>
                <w:b/>
                <w:bCs/>
                <w:color w:val="000000" w:themeColor="text1"/>
                <w:highlight w:val="yellow"/>
                <w14:textFill>
                  <w14:solidFill>
                    <w14:schemeClr w14:val="tx1"/>
                  </w14:solidFill>
                </w14:textFill>
              </w:rPr>
            </w:pPr>
          </w:p>
        </w:tc>
      </w:tr>
    </w:tbl>
    <w:p w14:paraId="0EB4760A">
      <w:pPr>
        <w:spacing w:line="360" w:lineRule="auto"/>
        <w:outlineLvl w:val="0"/>
        <w:rPr>
          <w:rFonts w:eastAsia="黑体"/>
          <w:color w:val="000000" w:themeColor="text1"/>
          <w:sz w:val="30"/>
          <w:highlight w:val="yellow"/>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C211202">
      <w:pPr>
        <w:spacing w:line="360" w:lineRule="auto"/>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二、建设项目工程分析</w:t>
      </w:r>
    </w:p>
    <w:tbl>
      <w:tblPr>
        <w:tblStyle w:val="27"/>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498"/>
      </w:tblGrid>
      <w:tr w14:paraId="3501F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2" w:type="dxa"/>
            <w:tcBorders>
              <w:top w:val="single" w:color="auto" w:sz="4" w:space="0"/>
              <w:left w:val="single" w:color="auto" w:sz="4" w:space="0"/>
              <w:bottom w:val="single" w:color="auto" w:sz="4" w:space="0"/>
            </w:tcBorders>
            <w:vAlign w:val="center"/>
          </w:tcPr>
          <w:p w14:paraId="5BBCAF4A">
            <w:pPr>
              <w:adjustRightInd w:val="0"/>
              <w:snapToGrid w:val="0"/>
              <w:jc w:val="center"/>
              <w:rPr>
                <w:rFonts w:cs="宋体"/>
                <w:color w:val="000000" w:themeColor="text1"/>
                <w:szCs w:val="21"/>
                <w:highlight w:val="yellow"/>
                <w14:textFill>
                  <w14:solidFill>
                    <w14:schemeClr w14:val="tx1"/>
                  </w14:solidFill>
                </w14:textFill>
              </w:rPr>
            </w:pPr>
            <w:r>
              <w:rPr>
                <w:rFonts w:hint="eastAsia" w:cs="宋体"/>
                <w:color w:val="000000" w:themeColor="text1"/>
                <w:szCs w:val="21"/>
                <w14:textFill>
                  <w14:solidFill>
                    <w14:schemeClr w14:val="tx1"/>
                  </w14:solidFill>
                </w14:textFill>
              </w:rPr>
              <w:t>建设内容</w:t>
            </w:r>
          </w:p>
        </w:tc>
        <w:tc>
          <w:tcPr>
            <w:tcW w:w="8498" w:type="dxa"/>
            <w:tcBorders>
              <w:top w:val="single" w:color="auto" w:sz="4" w:space="0"/>
              <w:bottom w:val="single" w:color="auto" w:sz="4" w:space="0"/>
              <w:right w:val="single" w:color="auto" w:sz="4" w:space="0"/>
            </w:tcBorders>
          </w:tcPr>
          <w:p w14:paraId="421BDC84">
            <w:pPr>
              <w:pStyle w:val="135"/>
              <w:ind w:left="0" w:leftChars="0" w:firstLine="0" w:firstLineChars="0"/>
              <w:rPr>
                <w:b/>
                <w:color w:val="auto"/>
              </w:rPr>
            </w:pPr>
            <w:r>
              <w:rPr>
                <w:b/>
                <w:color w:val="auto"/>
              </w:rPr>
              <w:t>1</w:t>
            </w:r>
            <w:r>
              <w:rPr>
                <w:rFonts w:hint="eastAsia"/>
                <w:b/>
                <w:color w:val="auto"/>
              </w:rPr>
              <w:t>、项目概况</w:t>
            </w:r>
          </w:p>
          <w:p w14:paraId="0115D42D">
            <w:pPr>
              <w:spacing w:line="360" w:lineRule="auto"/>
              <w:ind w:firstLine="420" w:firstLineChars="20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江阴市宝瑞塑业有限公司成立于2018年07月23日</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主要从事</w:t>
            </w:r>
            <w:r>
              <w:rPr>
                <w:rFonts w:ascii="Helvetica" w:hAnsi="Helvetica" w:eastAsia="Helvetica" w:cs="Helvetica"/>
                <w:i w:val="0"/>
                <w:iCs w:val="0"/>
                <w:caps w:val="0"/>
                <w:color w:val="000000"/>
                <w:spacing w:val="0"/>
                <w:sz w:val="21"/>
                <w:szCs w:val="21"/>
                <w:shd w:val="clear" w:fill="FFFFFF"/>
              </w:rPr>
              <w:t>塑料制品制造</w:t>
            </w:r>
            <w:r>
              <w:rPr>
                <w:rFonts w:hint="eastAsia" w:ascii="Helvetica" w:hAnsi="Helvetica" w:eastAsia="宋体" w:cs="Helvetica"/>
                <w:i w:val="0"/>
                <w:iCs w:val="0"/>
                <w:caps w:val="0"/>
                <w:color w:val="000000"/>
                <w:spacing w:val="0"/>
                <w:sz w:val="21"/>
                <w:szCs w:val="21"/>
                <w:shd w:val="clear" w:fill="FFFFFF"/>
                <w:lang w:eastAsia="zh-CN"/>
              </w:rPr>
              <w:t>、</w:t>
            </w:r>
            <w:r>
              <w:rPr>
                <w:rFonts w:ascii="Helvetica" w:hAnsi="Helvetica" w:eastAsia="Helvetica" w:cs="Helvetica"/>
                <w:i w:val="0"/>
                <w:iCs w:val="0"/>
                <w:caps w:val="0"/>
                <w:color w:val="000000"/>
                <w:spacing w:val="0"/>
                <w:sz w:val="21"/>
                <w:szCs w:val="21"/>
                <w:shd w:val="clear" w:fill="FFFFFF"/>
              </w:rPr>
              <w:t>塑料制品销售</w:t>
            </w:r>
            <w:r>
              <w:rPr>
                <w:rFonts w:hint="eastAsia" w:ascii="Helvetica" w:hAnsi="Helvetica" w:eastAsia="宋体" w:cs="Helvetica"/>
                <w:i w:val="0"/>
                <w:iCs w:val="0"/>
                <w:caps w:val="0"/>
                <w:color w:val="000000"/>
                <w:spacing w:val="0"/>
                <w:sz w:val="21"/>
                <w:szCs w:val="21"/>
                <w:shd w:val="clear" w:fill="FFFFFF"/>
                <w:lang w:eastAsia="zh-CN"/>
              </w:rPr>
              <w:t>，</w:t>
            </w:r>
            <w:r>
              <w:rPr>
                <w:rFonts w:hint="eastAsia" w:ascii="Helvetica" w:hAnsi="Helvetica" w:eastAsia="宋体" w:cs="Helvetica"/>
                <w:i w:val="0"/>
                <w:iCs w:val="0"/>
                <w:caps w:val="0"/>
                <w:color w:val="000000"/>
                <w:spacing w:val="0"/>
                <w:sz w:val="21"/>
                <w:szCs w:val="21"/>
                <w:shd w:val="clear" w:fill="FFFFFF"/>
                <w:lang w:val="en-US" w:eastAsia="zh-CN"/>
              </w:rPr>
              <w:t>目前公示位于</w:t>
            </w:r>
            <w:r>
              <w:rPr>
                <w:rFonts w:hint="eastAsia" w:ascii="Times New Roman" w:hAnsi="Times New Roman" w:eastAsia="宋体" w:cs="Times New Roman"/>
                <w:bCs/>
                <w:color w:val="auto"/>
                <w:szCs w:val="21"/>
                <w:lang w:val="en-US" w:eastAsia="zh-CN"/>
              </w:rPr>
              <w:t>江阴市月城镇月翔路27号，主要产能为</w:t>
            </w:r>
            <w:r>
              <w:rPr>
                <w:rFonts w:hint="eastAsia" w:ascii="Times New Roman" w:hAnsi="Times New Roman" w:eastAsia="宋体" w:cs="Times New Roman"/>
                <w:color w:val="000000" w:themeColor="text1"/>
                <w:szCs w:val="21"/>
                <w:lang w:val="en-US" w:eastAsia="zh-CN"/>
                <w14:textFill>
                  <w14:solidFill>
                    <w14:schemeClr w14:val="tx1"/>
                  </w14:solidFill>
                </w14:textFill>
              </w:rPr>
              <w:t>年产塑料瓶盖</w:t>
            </w:r>
            <w:r>
              <w:rPr>
                <w:rFonts w:hint="eastAsia"/>
                <w:bCs/>
                <w:color w:val="auto"/>
                <w:szCs w:val="21"/>
              </w:rPr>
              <w:t>1500吨</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0E3CBA26">
            <w:pPr>
              <w:adjustRightInd w:val="0"/>
              <w:snapToGrid w:val="0"/>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201</w:t>
            </w:r>
            <w:r>
              <w:rPr>
                <w:rFonts w:hint="eastAsia" w:ascii="Times New Roman" w:hAnsi="Times New Roman" w:eastAsia="宋体" w:cs="Times New Roman"/>
                <w:color w:val="000000" w:themeColor="text1"/>
                <w:szCs w:val="21"/>
                <w14:textFill>
                  <w14:solidFill>
                    <w14:schemeClr w14:val="tx1"/>
                  </w14:solidFill>
                </w14:textFill>
              </w:rPr>
              <w:t>9年4月25日</w:t>
            </w:r>
            <w:r>
              <w:rPr>
                <w:rFonts w:hint="eastAsia" w:ascii="Times New Roman" w:hAnsi="Times New Roman" w:eastAsia="宋体" w:cs="Times New Roman"/>
                <w:color w:val="000000" w:themeColor="text1"/>
                <w:szCs w:val="21"/>
                <w:lang w:val="en-US" w:eastAsia="zh-CN"/>
                <w14:textFill>
                  <w14:solidFill>
                    <w14:schemeClr w14:val="tx1"/>
                  </w14:solidFill>
                </w14:textFill>
              </w:rPr>
              <w:t>经</w:t>
            </w:r>
            <w:r>
              <w:rPr>
                <w:rFonts w:hint="eastAsia" w:ascii="Times New Roman" w:hAnsi="Times New Roman" w:eastAsia="宋体" w:cs="Times New Roman"/>
                <w:color w:val="000000" w:themeColor="text1"/>
                <w:szCs w:val="21"/>
                <w14:textFill>
                  <w14:solidFill>
                    <w14:schemeClr w14:val="tx1"/>
                  </w14:solidFill>
                </w14:textFill>
              </w:rPr>
              <w:t>江阴市环境保护局</w:t>
            </w:r>
            <w:r>
              <w:rPr>
                <w:rFonts w:hint="default" w:ascii="Times New Roman" w:hAnsi="Times New Roman" w:eastAsia="宋体" w:cs="Times New Roman"/>
                <w:color w:val="000000" w:themeColor="text1"/>
                <w:szCs w:val="21"/>
                <w:lang w:val="en-US" w:eastAsia="zh-CN"/>
                <w14:textFill>
                  <w14:solidFill>
                    <w14:schemeClr w14:val="tx1"/>
                  </w14:solidFill>
                </w14:textFill>
              </w:rPr>
              <w:t>审批通过了</w:t>
            </w:r>
            <w:r>
              <w:rPr>
                <w:rFonts w:hint="eastAsia" w:ascii="Times New Roman" w:hAnsi="Times New Roman" w:eastAsia="宋体" w:cs="Times New Roman"/>
                <w:color w:val="000000" w:themeColor="text1"/>
                <w:szCs w:val="21"/>
                <w14:textFill>
                  <w14:solidFill>
                    <w14:schemeClr w14:val="tx1"/>
                  </w14:solidFill>
                </w14:textFill>
              </w:rPr>
              <w:t>《年产2000万只塑料瓶盖项目》</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并于2021年1月22日通过竣工环保验收。</w:t>
            </w:r>
          </w:p>
          <w:p w14:paraId="1EEE40E8">
            <w:pPr>
              <w:spacing w:line="360" w:lineRule="auto"/>
              <w:ind w:firstLine="420" w:firstLineChars="200"/>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color w:val="000000" w:themeColor="text1"/>
                <w:szCs w:val="21"/>
                <w:lang w:val="en-US" w:eastAsia="zh-CN"/>
                <w14:textFill>
                  <w14:solidFill>
                    <w14:schemeClr w14:val="tx1"/>
                  </w14:solidFill>
                </w14:textFill>
              </w:rPr>
              <w:t>2024年</w:t>
            </w:r>
            <w:r>
              <w:rPr>
                <w:rFonts w:hint="eastAsia" w:ascii="Times New Roman" w:hAnsi="Times New Roman" w:eastAsia="宋体" w:cs="Times New Roman"/>
                <w:bCs/>
                <w:color w:val="auto"/>
                <w:szCs w:val="21"/>
                <w:lang w:val="en-US" w:eastAsia="zh-CN"/>
              </w:rPr>
              <w:t>10月21日经无锡市数据局通过了《整厂搬迁扩建项目》，主要产能为年产塑料瓶1500吨/年，项目建设地为江阴市月城镇月翔路27号。</w:t>
            </w:r>
          </w:p>
          <w:p w14:paraId="66E33844">
            <w:pPr>
              <w:spacing w:line="360" w:lineRule="auto"/>
              <w:ind w:firstLine="420" w:firstLineChars="20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现由于企业发展需求，该公司由江阴市月城镇月翔路27号搬迁至</w:t>
            </w:r>
            <w:r>
              <w:rPr>
                <w:rFonts w:hint="default" w:ascii="Times New Roman" w:hAnsi="Times New Roman" w:eastAsia="宋体" w:cs="Times New Roman"/>
                <w:color w:val="000000" w:themeColor="text1"/>
                <w:szCs w:val="21"/>
                <w:lang w:val="en-US" w:eastAsia="zh-CN"/>
                <w14:textFill>
                  <w14:solidFill>
                    <w14:schemeClr w14:val="tx1"/>
                  </w14:solidFill>
                </w14:textFill>
              </w:rPr>
              <w:t>江阴市月城镇月翔路15号</w:t>
            </w:r>
            <w:r>
              <w:rPr>
                <w:rFonts w:hint="eastAsia" w:ascii="Times New Roman" w:hAnsi="Times New Roman" w:eastAsia="宋体" w:cs="Times New Roman"/>
                <w:color w:val="000000" w:themeColor="text1"/>
                <w:szCs w:val="21"/>
                <w:lang w:val="en-US" w:eastAsia="zh-CN"/>
                <w14:textFill>
                  <w14:solidFill>
                    <w14:schemeClr w14:val="tx1"/>
                  </w14:solidFill>
                </w14:textFill>
              </w:rPr>
              <w:t>，租用江阴市昊远包装材料有限公司1000m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厂房，搬迁原有设备注塑机、空压机、粉碎机、冷却塔、干燥机、混料机等设备93台（套），新增10台注塑机，共计103台（套），从事</w:t>
            </w:r>
            <w:r>
              <w:rPr>
                <w:rFonts w:hint="eastAsia" w:ascii="Times New Roman" w:hAnsi="Times New Roman" w:eastAsia="宋体" w:cs="Times New Roman"/>
                <w:bCs/>
                <w:color w:val="auto"/>
                <w:szCs w:val="21"/>
                <w:lang w:val="en-US" w:eastAsia="zh-CN"/>
              </w:rPr>
              <w:t>塑料瓶</w:t>
            </w:r>
            <w:r>
              <w:rPr>
                <w:rFonts w:hint="eastAsia" w:cs="Times New Roman"/>
                <w:bCs/>
                <w:color w:val="auto"/>
                <w:szCs w:val="21"/>
                <w:lang w:val="en-US" w:eastAsia="zh-CN"/>
              </w:rPr>
              <w:t>盖</w:t>
            </w:r>
            <w:r>
              <w:rPr>
                <w:rFonts w:hint="eastAsia" w:ascii="Times New Roman" w:hAnsi="Times New Roman" w:eastAsia="宋体" w:cs="Times New Roman"/>
                <w:color w:val="000000" w:themeColor="text1"/>
                <w:szCs w:val="21"/>
                <w:lang w:val="en-US" w:eastAsia="zh-CN"/>
                <w14:textFill>
                  <w14:solidFill>
                    <w14:schemeClr w14:val="tx1"/>
                  </w14:solidFill>
                </w14:textFill>
              </w:rPr>
              <w:t>生产。项目投产后，年产塑料瓶盖2000吨。</w:t>
            </w:r>
          </w:p>
          <w:p w14:paraId="48709B6C">
            <w:pPr>
              <w:spacing w:line="360" w:lineRule="auto"/>
              <w:ind w:firstLine="420" w:firstLineChars="200"/>
              <w:rPr>
                <w:rFonts w:hint="eastAsia"/>
                <w:color w:val="auto"/>
                <w:lang w:eastAsia="zh-CN"/>
              </w:rPr>
            </w:pPr>
            <w:r>
              <w:rPr>
                <w:rFonts w:hint="eastAsia"/>
                <w:bCs/>
                <w:color w:val="auto"/>
              </w:rPr>
              <w:t>根据《中华人民共和国环境影响评价法》第十六条“国家根据建设项目对环境的影响程度，对建设项目的环境影响评价实行分类管理。”经查阅《建设项目环境影响评价分类管理名录》（2021年版）</w:t>
            </w:r>
            <w:r>
              <w:rPr>
                <w:rFonts w:hint="eastAsia"/>
                <w:color w:val="auto"/>
              </w:rPr>
              <w:t>，本项目属于</w:t>
            </w:r>
            <w:r>
              <w:rPr>
                <w:rFonts w:hint="eastAsia"/>
                <w:color w:val="auto"/>
                <w:lang w:eastAsia="zh-CN"/>
              </w:rPr>
              <w:t>“二十六、橡胶和塑料制品业29，53塑料制品业292</w:t>
            </w:r>
            <w:r>
              <w:rPr>
                <w:rFonts w:hint="eastAsia"/>
                <w:color w:val="auto"/>
                <w:lang w:val="en-US" w:eastAsia="zh-CN"/>
              </w:rPr>
              <w:t>中其他</w:t>
            </w:r>
            <w:r>
              <w:rPr>
                <w:rFonts w:hint="eastAsia"/>
                <w:color w:val="auto"/>
                <w:lang w:eastAsia="zh-CN"/>
              </w:rPr>
              <w:t>”应该编制环境影响报告表。</w:t>
            </w:r>
          </w:p>
          <w:p w14:paraId="36D226F8">
            <w:pPr>
              <w:pStyle w:val="135"/>
              <w:ind w:firstLine="496"/>
              <w:rPr>
                <w:rFonts w:hint="eastAsia"/>
                <w:lang w:eastAsia="zh-CN"/>
              </w:rPr>
            </w:pPr>
            <w:r>
              <w:rPr>
                <w:rFonts w:hint="eastAsia" w:ascii="Times New Roman" w:hAnsi="Times New Roman" w:cs="Times New Roman"/>
                <w:color w:val="000000" w:themeColor="text1"/>
                <w:szCs w:val="21"/>
                <w14:textFill>
                  <w14:solidFill>
                    <w14:schemeClr w14:val="tx1"/>
                  </w14:solidFill>
                </w14:textFill>
              </w:rPr>
              <w:t>江阴市宝瑞塑业有限公司</w:t>
            </w:r>
            <w:r>
              <w:rPr>
                <w:rFonts w:hint="eastAsia"/>
                <w:color w:val="auto"/>
              </w:rPr>
              <w:t>委托南京师大环境科技研究院有限公司对该项目进行环境影响评价工作。接受委托后，南京师大环境科技研究院有限公司即组织有关技术人员进行现场勘察、收集资料。依据国家环境保护有关法律、法规文件和环境影响评价技术导则，编制了该项目环境影响报告表，报请环境保护行政主管部门审查、审批，以期为该项目实施和管理提供参考依据。</w:t>
            </w:r>
          </w:p>
          <w:p w14:paraId="6AC00737">
            <w:pPr>
              <w:pStyle w:val="135"/>
              <w:ind w:left="0" w:leftChars="0" w:firstLine="0" w:firstLineChars="0"/>
              <w:rPr>
                <w:b/>
                <w:color w:val="auto"/>
              </w:rPr>
            </w:pPr>
            <w:bookmarkStart w:id="2" w:name="_Hlk203049604"/>
            <w:r>
              <w:rPr>
                <w:b/>
                <w:color w:val="auto"/>
              </w:rPr>
              <w:t>2</w:t>
            </w:r>
            <w:r>
              <w:rPr>
                <w:rFonts w:hint="eastAsia"/>
                <w:b/>
                <w:color w:val="auto"/>
              </w:rPr>
              <w:t>、工程内容及建设规模</w:t>
            </w:r>
          </w:p>
          <w:bookmarkEnd w:id="2"/>
          <w:p w14:paraId="63E1C85B">
            <w:pPr>
              <w:pStyle w:val="135"/>
              <w:ind w:firstLine="496"/>
              <w:rPr>
                <w:rFonts w:hint="default" w:ascii="Times New Roman" w:hAnsi="Times New Roman" w:eastAsia="宋体" w:cs="Times New Roman"/>
                <w:color w:val="auto"/>
              </w:rPr>
            </w:pPr>
            <w:r>
              <w:rPr>
                <w:rFonts w:hint="default" w:ascii="Times New Roman" w:hAnsi="Times New Roman" w:eastAsia="宋体" w:cs="Times New Roman"/>
                <w:color w:val="auto"/>
              </w:rPr>
              <w:t>本项目利用租用厂房、搬迁并购置设备进行建设，因此主体工程主要包括厂房内部布局调整、设备购置、安装和调试等环节；公用、辅助工程和环保工程配套设施的完善等。建设项目的主体工程及产品方案见表2-1，公用和辅助工程见表2-2。</w:t>
            </w:r>
          </w:p>
          <w:p w14:paraId="667D4C66">
            <w:pPr>
              <w:spacing w:line="360" w:lineRule="auto"/>
              <w:jc w:val="center"/>
              <w:rPr>
                <w:b/>
                <w:color w:val="auto"/>
                <w:sz w:val="21"/>
                <w:szCs w:val="21"/>
              </w:rPr>
            </w:pPr>
            <w:r>
              <w:rPr>
                <w:b/>
                <w:color w:val="auto"/>
                <w:sz w:val="21"/>
                <w:szCs w:val="21"/>
              </w:rPr>
              <w:t>表2-1  建设项目主体工程及产品方案</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91"/>
              <w:gridCol w:w="550"/>
              <w:gridCol w:w="487"/>
              <w:gridCol w:w="2088"/>
              <w:gridCol w:w="1401"/>
              <w:gridCol w:w="1275"/>
              <w:gridCol w:w="1263"/>
              <w:gridCol w:w="827"/>
            </w:tblGrid>
            <w:tr w14:paraId="5DCB7C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36" w:type="pct"/>
                  <w:vMerge w:val="restart"/>
                  <w:tcBorders>
                    <w:tl2br w:val="nil"/>
                    <w:tr2bl w:val="nil"/>
                  </w:tcBorders>
                  <w:noWrap w:val="0"/>
                  <w:vAlign w:val="center"/>
                </w:tcPr>
                <w:p w14:paraId="29CDDB0B">
                  <w:pPr>
                    <w:spacing w:line="3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序号</w:t>
                  </w:r>
                </w:p>
              </w:tc>
              <w:tc>
                <w:tcPr>
                  <w:tcW w:w="332" w:type="pct"/>
                  <w:vMerge w:val="restart"/>
                  <w:tcBorders>
                    <w:tl2br w:val="nil"/>
                    <w:tr2bl w:val="nil"/>
                  </w:tcBorders>
                  <w:noWrap w:val="0"/>
                  <w:vAlign w:val="center"/>
                </w:tcPr>
                <w:p w14:paraId="2D65D07E">
                  <w:pPr>
                    <w:spacing w:line="3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工程名称</w:t>
                  </w:r>
                </w:p>
              </w:tc>
              <w:tc>
                <w:tcPr>
                  <w:tcW w:w="1554" w:type="pct"/>
                  <w:gridSpan w:val="2"/>
                  <w:vMerge w:val="restart"/>
                  <w:tcBorders>
                    <w:tl2br w:val="nil"/>
                    <w:tr2bl w:val="nil"/>
                  </w:tcBorders>
                  <w:noWrap w:val="0"/>
                  <w:vAlign w:val="center"/>
                </w:tcPr>
                <w:p w14:paraId="1994C478">
                  <w:pPr>
                    <w:pStyle w:val="138"/>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产品名称及规格</w:t>
                  </w:r>
                </w:p>
              </w:tc>
              <w:tc>
                <w:tcPr>
                  <w:tcW w:w="2376" w:type="pct"/>
                  <w:gridSpan w:val="3"/>
                  <w:tcBorders>
                    <w:tl2br w:val="nil"/>
                    <w:tr2bl w:val="nil"/>
                  </w:tcBorders>
                  <w:noWrap w:val="0"/>
                  <w:vAlign w:val="center"/>
                </w:tcPr>
                <w:p w14:paraId="379626BA">
                  <w:pPr>
                    <w:spacing w:line="3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设计生产能力</w:t>
                  </w:r>
                </w:p>
              </w:tc>
              <w:tc>
                <w:tcPr>
                  <w:tcW w:w="499" w:type="pct"/>
                  <w:vMerge w:val="restart"/>
                  <w:tcBorders>
                    <w:tl2br w:val="nil"/>
                    <w:tr2bl w:val="nil"/>
                  </w:tcBorders>
                  <w:noWrap w:val="0"/>
                  <w:vAlign w:val="center"/>
                </w:tcPr>
                <w:p w14:paraId="0628D41D">
                  <w:pPr>
                    <w:spacing w:line="3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年运行时数</w:t>
                  </w:r>
                </w:p>
              </w:tc>
            </w:tr>
            <w:tr w14:paraId="1236C7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36" w:type="pct"/>
                  <w:vMerge w:val="continue"/>
                  <w:tcBorders>
                    <w:tl2br w:val="nil"/>
                    <w:tr2bl w:val="nil"/>
                  </w:tcBorders>
                  <w:noWrap w:val="0"/>
                  <w:vAlign w:val="center"/>
                </w:tcPr>
                <w:p w14:paraId="2E135DA3">
                  <w:pPr>
                    <w:spacing w:line="300" w:lineRule="exact"/>
                    <w:jc w:val="center"/>
                    <w:rPr>
                      <w:rFonts w:hint="default" w:ascii="Times New Roman" w:hAnsi="Times New Roman" w:eastAsia="宋体" w:cs="Times New Roman"/>
                      <w:b/>
                      <w:color w:val="auto"/>
                      <w:szCs w:val="21"/>
                    </w:rPr>
                  </w:pPr>
                </w:p>
              </w:tc>
              <w:tc>
                <w:tcPr>
                  <w:tcW w:w="332" w:type="pct"/>
                  <w:vMerge w:val="continue"/>
                  <w:tcBorders>
                    <w:tl2br w:val="nil"/>
                    <w:tr2bl w:val="nil"/>
                  </w:tcBorders>
                  <w:noWrap w:val="0"/>
                  <w:vAlign w:val="center"/>
                </w:tcPr>
                <w:p w14:paraId="485C14E1">
                  <w:pPr>
                    <w:spacing w:line="300" w:lineRule="exact"/>
                    <w:jc w:val="center"/>
                    <w:rPr>
                      <w:rFonts w:hint="default" w:ascii="Times New Roman" w:hAnsi="Times New Roman" w:eastAsia="宋体" w:cs="Times New Roman"/>
                      <w:b/>
                      <w:color w:val="auto"/>
                      <w:szCs w:val="21"/>
                    </w:rPr>
                  </w:pPr>
                </w:p>
              </w:tc>
              <w:tc>
                <w:tcPr>
                  <w:tcW w:w="1554" w:type="pct"/>
                  <w:gridSpan w:val="2"/>
                  <w:vMerge w:val="continue"/>
                  <w:tcBorders>
                    <w:tl2br w:val="nil"/>
                    <w:tr2bl w:val="nil"/>
                  </w:tcBorders>
                  <w:noWrap w:val="0"/>
                  <w:vAlign w:val="center"/>
                </w:tcPr>
                <w:p w14:paraId="3C818AA0">
                  <w:pPr>
                    <w:pStyle w:val="138"/>
                    <w:jc w:val="center"/>
                    <w:rPr>
                      <w:rFonts w:hint="default" w:ascii="Times New Roman" w:hAnsi="Times New Roman" w:eastAsia="宋体" w:cs="Times New Roman"/>
                      <w:b/>
                      <w:color w:val="auto"/>
                      <w:sz w:val="21"/>
                      <w:szCs w:val="21"/>
                    </w:rPr>
                  </w:pPr>
                </w:p>
              </w:tc>
              <w:tc>
                <w:tcPr>
                  <w:tcW w:w="845" w:type="pct"/>
                  <w:tcBorders>
                    <w:tl2br w:val="nil"/>
                    <w:tr2bl w:val="nil"/>
                  </w:tcBorders>
                  <w:noWrap w:val="0"/>
                  <w:vAlign w:val="center"/>
                </w:tcPr>
                <w:p w14:paraId="391DD9E9">
                  <w:pPr>
                    <w:spacing w:line="3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迁建前</w:t>
                  </w:r>
                </w:p>
              </w:tc>
              <w:tc>
                <w:tcPr>
                  <w:tcW w:w="769" w:type="pct"/>
                  <w:tcBorders>
                    <w:tl2br w:val="nil"/>
                    <w:tr2bl w:val="nil"/>
                  </w:tcBorders>
                  <w:noWrap w:val="0"/>
                  <w:vAlign w:val="center"/>
                </w:tcPr>
                <w:p w14:paraId="78292318">
                  <w:pPr>
                    <w:spacing w:line="3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迁建后</w:t>
                  </w:r>
                </w:p>
              </w:tc>
              <w:tc>
                <w:tcPr>
                  <w:tcW w:w="761" w:type="pct"/>
                  <w:tcBorders>
                    <w:tl2br w:val="nil"/>
                    <w:tr2bl w:val="nil"/>
                  </w:tcBorders>
                  <w:noWrap w:val="0"/>
                  <w:vAlign w:val="center"/>
                </w:tcPr>
                <w:p w14:paraId="7433FB9D">
                  <w:pPr>
                    <w:spacing w:line="3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增减量</w:t>
                  </w:r>
                </w:p>
              </w:tc>
              <w:tc>
                <w:tcPr>
                  <w:tcW w:w="499" w:type="pct"/>
                  <w:vMerge w:val="continue"/>
                  <w:tcBorders>
                    <w:tl2br w:val="nil"/>
                    <w:tr2bl w:val="nil"/>
                  </w:tcBorders>
                  <w:noWrap w:val="0"/>
                  <w:vAlign w:val="center"/>
                </w:tcPr>
                <w:p w14:paraId="307F810B">
                  <w:pPr>
                    <w:spacing w:line="300" w:lineRule="exact"/>
                    <w:jc w:val="center"/>
                    <w:rPr>
                      <w:rFonts w:hint="default" w:ascii="Times New Roman" w:hAnsi="Times New Roman" w:eastAsia="宋体" w:cs="Times New Roman"/>
                      <w:b/>
                      <w:color w:val="auto"/>
                      <w:szCs w:val="21"/>
                    </w:rPr>
                  </w:pPr>
                </w:p>
              </w:tc>
            </w:tr>
            <w:tr w14:paraId="184E34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36" w:type="pct"/>
                  <w:vMerge w:val="restart"/>
                  <w:tcBorders>
                    <w:tl2br w:val="nil"/>
                    <w:tr2bl w:val="nil"/>
                  </w:tcBorders>
                  <w:noWrap w:val="0"/>
                  <w:vAlign w:val="center"/>
                </w:tcPr>
                <w:p w14:paraId="0ACCF9E0">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w:t>
                  </w:r>
                </w:p>
              </w:tc>
              <w:tc>
                <w:tcPr>
                  <w:tcW w:w="332" w:type="pct"/>
                  <w:vMerge w:val="restart"/>
                  <w:tcBorders>
                    <w:tl2br w:val="nil"/>
                    <w:tr2bl w:val="nil"/>
                  </w:tcBorders>
                  <w:noWrap w:val="0"/>
                  <w:vAlign w:val="center"/>
                </w:tcPr>
                <w:p w14:paraId="794CC556">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生产车间</w:t>
                  </w:r>
                </w:p>
              </w:tc>
              <w:tc>
                <w:tcPr>
                  <w:tcW w:w="294" w:type="pct"/>
                  <w:vMerge w:val="restart"/>
                  <w:tcBorders>
                    <w:tl2br w:val="nil"/>
                    <w:tr2bl w:val="nil"/>
                  </w:tcBorders>
                  <w:noWrap w:val="0"/>
                  <w:vAlign w:val="center"/>
                </w:tcPr>
                <w:p w14:paraId="0E2919E3">
                  <w:pPr>
                    <w:autoSpaceDE w:val="0"/>
                    <w:autoSpaceDN w:val="0"/>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塑料瓶盖</w:t>
                  </w:r>
                </w:p>
              </w:tc>
              <w:tc>
                <w:tcPr>
                  <w:tcW w:w="1260" w:type="pct"/>
                  <w:tcBorders>
                    <w:tl2br w:val="nil"/>
                    <w:tr2bl w:val="nil"/>
                  </w:tcBorders>
                  <w:noWrap w:val="0"/>
                  <w:vAlign w:val="center"/>
                </w:tcPr>
                <w:p w14:paraId="56581627">
                  <w:pPr>
                    <w:autoSpaceDE w:val="0"/>
                    <w:autoSpaceDN w:val="0"/>
                    <w:spacing w:line="30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塑料壳41.5g+配件32g</w:t>
                  </w:r>
                </w:p>
              </w:tc>
              <w:tc>
                <w:tcPr>
                  <w:tcW w:w="845" w:type="pct"/>
                  <w:tcBorders>
                    <w:tl2br w:val="nil"/>
                    <w:tr2bl w:val="nil"/>
                  </w:tcBorders>
                  <w:noWrap w:val="0"/>
                  <w:vAlign w:val="center"/>
                </w:tcPr>
                <w:p w14:paraId="0CB0EE88">
                  <w:pPr>
                    <w:spacing w:line="30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bCs/>
                      <w:color w:val="auto"/>
                      <w:szCs w:val="21"/>
                      <w:lang w:val="en-US" w:eastAsia="zh-CN"/>
                    </w:rPr>
                    <w:t>1000万只</w:t>
                  </w:r>
                  <w:r>
                    <w:rPr>
                      <w:rFonts w:hint="default" w:ascii="Times New Roman" w:hAnsi="Times New Roman" w:eastAsia="宋体" w:cs="Times New Roman"/>
                      <w:bCs/>
                      <w:color w:val="auto"/>
                      <w:szCs w:val="21"/>
                    </w:rPr>
                    <w:t>/年</w:t>
                  </w:r>
                </w:p>
              </w:tc>
              <w:tc>
                <w:tcPr>
                  <w:tcW w:w="769" w:type="pct"/>
                  <w:tcBorders>
                    <w:tl2br w:val="nil"/>
                    <w:tr2bl w:val="nil"/>
                  </w:tcBorders>
                  <w:noWrap w:val="0"/>
                  <w:vAlign w:val="center"/>
                </w:tcPr>
                <w:p w14:paraId="680DF7AC">
                  <w:pPr>
                    <w:spacing w:line="30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1680万只/年</w:t>
                  </w:r>
                </w:p>
              </w:tc>
              <w:tc>
                <w:tcPr>
                  <w:tcW w:w="761" w:type="pct"/>
                  <w:tcBorders>
                    <w:tl2br w:val="nil"/>
                    <w:tr2bl w:val="nil"/>
                  </w:tcBorders>
                  <w:noWrap w:val="0"/>
                  <w:vAlign w:val="center"/>
                </w:tcPr>
                <w:p w14:paraId="344C26B6">
                  <w:pPr>
                    <w:spacing w:line="30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+680万只/年</w:t>
                  </w:r>
                </w:p>
              </w:tc>
              <w:tc>
                <w:tcPr>
                  <w:tcW w:w="499" w:type="pct"/>
                  <w:vMerge w:val="restart"/>
                  <w:tcBorders>
                    <w:tl2br w:val="nil"/>
                    <w:tr2bl w:val="nil"/>
                  </w:tcBorders>
                  <w:noWrap w:val="0"/>
                  <w:vAlign w:val="center"/>
                </w:tcPr>
                <w:p w14:paraId="24EAADF9">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2400小时</w:t>
                  </w:r>
                </w:p>
              </w:tc>
            </w:tr>
            <w:tr w14:paraId="4E6F55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36" w:type="pct"/>
                  <w:vMerge w:val="continue"/>
                  <w:tcBorders>
                    <w:tl2br w:val="nil"/>
                    <w:tr2bl w:val="nil"/>
                  </w:tcBorders>
                  <w:noWrap w:val="0"/>
                  <w:vAlign w:val="center"/>
                </w:tcPr>
                <w:p w14:paraId="097DF797">
                  <w:pPr>
                    <w:spacing w:line="300" w:lineRule="exact"/>
                    <w:jc w:val="center"/>
                    <w:rPr>
                      <w:rFonts w:hint="default" w:ascii="Times New Roman" w:hAnsi="Times New Roman" w:eastAsia="宋体" w:cs="Times New Roman"/>
                      <w:bCs/>
                      <w:color w:val="auto"/>
                      <w:szCs w:val="21"/>
                    </w:rPr>
                  </w:pPr>
                </w:p>
              </w:tc>
              <w:tc>
                <w:tcPr>
                  <w:tcW w:w="332" w:type="pct"/>
                  <w:vMerge w:val="continue"/>
                  <w:tcBorders>
                    <w:tl2br w:val="nil"/>
                    <w:tr2bl w:val="nil"/>
                  </w:tcBorders>
                  <w:noWrap w:val="0"/>
                  <w:vAlign w:val="center"/>
                </w:tcPr>
                <w:p w14:paraId="0047E021">
                  <w:pPr>
                    <w:spacing w:line="300" w:lineRule="exact"/>
                    <w:jc w:val="center"/>
                    <w:rPr>
                      <w:rFonts w:hint="default" w:ascii="Times New Roman" w:hAnsi="Times New Roman" w:eastAsia="宋体" w:cs="Times New Roman"/>
                      <w:bCs/>
                      <w:color w:val="auto"/>
                      <w:szCs w:val="21"/>
                    </w:rPr>
                  </w:pPr>
                </w:p>
              </w:tc>
              <w:tc>
                <w:tcPr>
                  <w:tcW w:w="294" w:type="pct"/>
                  <w:vMerge w:val="continue"/>
                  <w:tcBorders>
                    <w:tl2br w:val="nil"/>
                    <w:tr2bl w:val="nil"/>
                  </w:tcBorders>
                  <w:noWrap w:val="0"/>
                  <w:vAlign w:val="center"/>
                </w:tcPr>
                <w:p w14:paraId="185D4081">
                  <w:pPr>
                    <w:autoSpaceDE w:val="0"/>
                    <w:autoSpaceDN w:val="0"/>
                    <w:spacing w:line="300" w:lineRule="exact"/>
                    <w:jc w:val="center"/>
                    <w:rPr>
                      <w:rFonts w:hint="default" w:ascii="Times New Roman" w:hAnsi="Times New Roman" w:eastAsia="宋体" w:cs="Times New Roman"/>
                      <w:bCs/>
                      <w:color w:val="auto"/>
                      <w:szCs w:val="21"/>
                    </w:rPr>
                  </w:pPr>
                </w:p>
              </w:tc>
              <w:tc>
                <w:tcPr>
                  <w:tcW w:w="1260" w:type="pct"/>
                  <w:tcBorders>
                    <w:tl2br w:val="nil"/>
                    <w:tr2bl w:val="nil"/>
                  </w:tcBorders>
                  <w:noWrap w:val="0"/>
                  <w:vAlign w:val="center"/>
                </w:tcPr>
                <w:p w14:paraId="4C4113A5">
                  <w:pPr>
                    <w:autoSpaceDE w:val="0"/>
                    <w:autoSpaceDN w:val="0"/>
                    <w:spacing w:line="30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塑料壳25g+配件20g</w:t>
                  </w:r>
                </w:p>
              </w:tc>
              <w:tc>
                <w:tcPr>
                  <w:tcW w:w="845" w:type="pct"/>
                  <w:tcBorders>
                    <w:tl2br w:val="nil"/>
                    <w:tr2bl w:val="nil"/>
                  </w:tcBorders>
                  <w:noWrap w:val="0"/>
                  <w:vAlign w:val="center"/>
                </w:tcPr>
                <w:p w14:paraId="69CB26D4">
                  <w:pPr>
                    <w:spacing w:line="30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1700万只/年</w:t>
                  </w:r>
                </w:p>
              </w:tc>
              <w:tc>
                <w:tcPr>
                  <w:tcW w:w="769" w:type="pct"/>
                  <w:tcBorders>
                    <w:tl2br w:val="nil"/>
                    <w:tr2bl w:val="nil"/>
                  </w:tcBorders>
                  <w:noWrap w:val="0"/>
                  <w:vAlign w:val="center"/>
                </w:tcPr>
                <w:p w14:paraId="4BC5A803">
                  <w:pPr>
                    <w:spacing w:line="30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1700万只/年</w:t>
                  </w:r>
                </w:p>
              </w:tc>
              <w:tc>
                <w:tcPr>
                  <w:tcW w:w="761" w:type="pct"/>
                  <w:tcBorders>
                    <w:tl2br w:val="nil"/>
                    <w:tr2bl w:val="nil"/>
                  </w:tcBorders>
                  <w:noWrap w:val="0"/>
                  <w:vAlign w:val="center"/>
                </w:tcPr>
                <w:p w14:paraId="42C0E450">
                  <w:pPr>
                    <w:spacing w:line="30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0</w:t>
                  </w:r>
                </w:p>
              </w:tc>
              <w:tc>
                <w:tcPr>
                  <w:tcW w:w="499" w:type="pct"/>
                  <w:vMerge w:val="continue"/>
                  <w:tcBorders>
                    <w:tl2br w:val="nil"/>
                    <w:tr2bl w:val="nil"/>
                  </w:tcBorders>
                  <w:noWrap w:val="0"/>
                  <w:vAlign w:val="center"/>
                </w:tcPr>
                <w:p w14:paraId="22FEBD28">
                  <w:pPr>
                    <w:spacing w:line="300" w:lineRule="exact"/>
                    <w:jc w:val="center"/>
                    <w:rPr>
                      <w:rFonts w:hint="default" w:ascii="Times New Roman" w:hAnsi="Times New Roman" w:eastAsia="宋体" w:cs="Times New Roman"/>
                      <w:bCs/>
                      <w:color w:val="auto"/>
                      <w:szCs w:val="21"/>
                    </w:rPr>
                  </w:pPr>
                </w:p>
              </w:tc>
            </w:tr>
            <w:tr w14:paraId="59B1F2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236" w:type="pct"/>
                  <w:vMerge w:val="continue"/>
                  <w:tcBorders>
                    <w:tl2br w:val="nil"/>
                    <w:tr2bl w:val="nil"/>
                  </w:tcBorders>
                  <w:noWrap w:val="0"/>
                  <w:vAlign w:val="center"/>
                </w:tcPr>
                <w:p w14:paraId="34B9642B">
                  <w:pPr>
                    <w:spacing w:line="300" w:lineRule="exact"/>
                    <w:jc w:val="center"/>
                    <w:rPr>
                      <w:rFonts w:hint="default" w:ascii="Times New Roman" w:hAnsi="Times New Roman" w:eastAsia="宋体" w:cs="Times New Roman"/>
                      <w:bCs/>
                      <w:color w:val="auto"/>
                      <w:szCs w:val="21"/>
                    </w:rPr>
                  </w:pPr>
                </w:p>
              </w:tc>
              <w:tc>
                <w:tcPr>
                  <w:tcW w:w="332" w:type="pct"/>
                  <w:vMerge w:val="continue"/>
                  <w:tcBorders>
                    <w:tl2br w:val="nil"/>
                    <w:tr2bl w:val="nil"/>
                  </w:tcBorders>
                  <w:noWrap w:val="0"/>
                  <w:vAlign w:val="center"/>
                </w:tcPr>
                <w:p w14:paraId="7210D4F4">
                  <w:pPr>
                    <w:spacing w:line="300" w:lineRule="exact"/>
                    <w:jc w:val="center"/>
                    <w:rPr>
                      <w:rFonts w:hint="default" w:ascii="Times New Roman" w:hAnsi="Times New Roman" w:eastAsia="宋体" w:cs="Times New Roman"/>
                      <w:bCs/>
                      <w:color w:val="auto"/>
                      <w:szCs w:val="21"/>
                    </w:rPr>
                  </w:pPr>
                </w:p>
              </w:tc>
              <w:tc>
                <w:tcPr>
                  <w:tcW w:w="294" w:type="pct"/>
                  <w:vMerge w:val="continue"/>
                  <w:tcBorders>
                    <w:tl2br w:val="nil"/>
                    <w:tr2bl w:val="nil"/>
                  </w:tcBorders>
                  <w:noWrap w:val="0"/>
                  <w:vAlign w:val="center"/>
                </w:tcPr>
                <w:p w14:paraId="1CCF7E35">
                  <w:pPr>
                    <w:autoSpaceDE w:val="0"/>
                    <w:autoSpaceDN w:val="0"/>
                    <w:spacing w:line="300" w:lineRule="exact"/>
                    <w:jc w:val="center"/>
                    <w:rPr>
                      <w:rFonts w:hint="default" w:ascii="Times New Roman" w:hAnsi="Times New Roman" w:eastAsia="宋体" w:cs="Times New Roman"/>
                      <w:bCs/>
                      <w:color w:val="auto"/>
                      <w:szCs w:val="21"/>
                    </w:rPr>
                  </w:pPr>
                </w:p>
              </w:tc>
              <w:tc>
                <w:tcPr>
                  <w:tcW w:w="1260" w:type="pct"/>
                  <w:tcBorders>
                    <w:tl2br w:val="nil"/>
                    <w:tr2bl w:val="nil"/>
                  </w:tcBorders>
                  <w:noWrap w:val="0"/>
                  <w:vAlign w:val="center"/>
                </w:tcPr>
                <w:p w14:paraId="7FA1A41F">
                  <w:pPr>
                    <w:autoSpaceDE w:val="0"/>
                    <w:autoSpaceDN w:val="0"/>
                    <w:spacing w:line="30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小计</w:t>
                  </w:r>
                </w:p>
              </w:tc>
              <w:tc>
                <w:tcPr>
                  <w:tcW w:w="845" w:type="pct"/>
                  <w:tcBorders>
                    <w:tl2br w:val="nil"/>
                    <w:tr2bl w:val="nil"/>
                  </w:tcBorders>
                  <w:noWrap w:val="0"/>
                  <w:vAlign w:val="center"/>
                </w:tcPr>
                <w:p w14:paraId="1E9F985D">
                  <w:pPr>
                    <w:spacing w:line="300" w:lineRule="exact"/>
                    <w:jc w:val="center"/>
                    <w:rPr>
                      <w:rFonts w:hint="default" w:ascii="Times New Roman" w:hAnsi="Times New Roman" w:eastAsia="宋体" w:cs="Times New Roman"/>
                    </w:rPr>
                  </w:pPr>
                  <w:r>
                    <w:rPr>
                      <w:rFonts w:hint="default" w:ascii="Times New Roman" w:hAnsi="Times New Roman" w:eastAsia="宋体" w:cs="Times New Roman"/>
                      <w:bCs/>
                      <w:color w:val="auto"/>
                      <w:szCs w:val="21"/>
                      <w:lang w:val="en-US" w:eastAsia="zh-CN"/>
                    </w:rPr>
                    <w:t>2700万只/年（共计1500t）</w:t>
                  </w:r>
                </w:p>
              </w:tc>
              <w:tc>
                <w:tcPr>
                  <w:tcW w:w="769" w:type="pct"/>
                  <w:tcBorders>
                    <w:tl2br w:val="nil"/>
                    <w:tr2bl w:val="nil"/>
                  </w:tcBorders>
                  <w:noWrap w:val="0"/>
                  <w:vAlign w:val="center"/>
                </w:tcPr>
                <w:p w14:paraId="25598205">
                  <w:pPr>
                    <w:spacing w:line="30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3380万只/年（共计2000t）</w:t>
                  </w:r>
                </w:p>
              </w:tc>
              <w:tc>
                <w:tcPr>
                  <w:tcW w:w="761" w:type="pct"/>
                  <w:tcBorders>
                    <w:tl2br w:val="nil"/>
                    <w:tr2bl w:val="nil"/>
                  </w:tcBorders>
                  <w:noWrap w:val="0"/>
                  <w:vAlign w:val="center"/>
                </w:tcPr>
                <w:p w14:paraId="38D85C6C">
                  <w:pPr>
                    <w:spacing w:line="30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+680万只/年</w:t>
                  </w:r>
                </w:p>
                <w:p w14:paraId="507BAAF6">
                  <w:pPr>
                    <w:spacing w:line="30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w:t>
                  </w:r>
                  <w:r>
                    <w:rPr>
                      <w:rFonts w:hint="eastAsia" w:ascii="Times New Roman" w:hAnsi="Times New Roman" w:eastAsia="宋体" w:cs="Times New Roman"/>
                      <w:bCs/>
                      <w:color w:val="auto"/>
                      <w:szCs w:val="21"/>
                      <w:lang w:val="en-US" w:eastAsia="zh-CN"/>
                    </w:rPr>
                    <w:t>+500</w:t>
                  </w:r>
                  <w:r>
                    <w:rPr>
                      <w:rFonts w:hint="default" w:ascii="Times New Roman" w:hAnsi="Times New Roman" w:eastAsia="宋体" w:cs="Times New Roman"/>
                      <w:bCs/>
                      <w:color w:val="auto"/>
                      <w:szCs w:val="21"/>
                      <w:lang w:val="en-US" w:eastAsia="zh-CN"/>
                    </w:rPr>
                    <w:t>t）</w:t>
                  </w:r>
                </w:p>
              </w:tc>
              <w:tc>
                <w:tcPr>
                  <w:tcW w:w="499" w:type="pct"/>
                  <w:vMerge w:val="continue"/>
                  <w:tcBorders>
                    <w:tl2br w:val="nil"/>
                    <w:tr2bl w:val="nil"/>
                  </w:tcBorders>
                  <w:noWrap w:val="0"/>
                  <w:vAlign w:val="center"/>
                </w:tcPr>
                <w:p w14:paraId="6FFE7DE2">
                  <w:pPr>
                    <w:spacing w:line="300" w:lineRule="exact"/>
                    <w:jc w:val="center"/>
                    <w:rPr>
                      <w:rFonts w:hint="default" w:ascii="Times New Roman" w:hAnsi="Times New Roman" w:eastAsia="宋体" w:cs="Times New Roman"/>
                      <w:bCs/>
                      <w:color w:val="auto"/>
                      <w:szCs w:val="21"/>
                    </w:rPr>
                  </w:pPr>
                </w:p>
              </w:tc>
            </w:tr>
          </w:tbl>
          <w:p w14:paraId="4E026E27">
            <w:pPr>
              <w:spacing w:line="360" w:lineRule="auto"/>
              <w:rPr>
                <w:b/>
                <w:bCs/>
                <w:color w:val="000000" w:themeColor="text1"/>
                <w:szCs w:val="21"/>
                <w14:textFill>
                  <w14:solidFill>
                    <w14:schemeClr w14:val="tx1"/>
                  </w14:solidFill>
                </w14:textFill>
              </w:rPr>
            </w:pPr>
          </w:p>
          <w:p w14:paraId="350FD49C">
            <w:pPr>
              <w:spacing w:line="360" w:lineRule="auto"/>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表2-</w:t>
            </w:r>
            <w:r>
              <w:rPr>
                <w:rFonts w:hint="eastAsia" w:ascii="Times New Roman" w:hAnsi="Times New Roman" w:eastAsia="宋体" w:cs="Times New Roman"/>
                <w:b/>
                <w:color w:val="auto"/>
                <w:sz w:val="21"/>
                <w:szCs w:val="21"/>
                <w:lang w:val="en-US" w:eastAsia="zh-CN"/>
              </w:rPr>
              <w:t>2</w:t>
            </w:r>
            <w:r>
              <w:rPr>
                <w:rFonts w:ascii="Times New Roman" w:hAnsi="Times New Roman" w:eastAsia="宋体" w:cs="Times New Roman"/>
                <w:b/>
                <w:color w:val="auto"/>
                <w:sz w:val="21"/>
                <w:szCs w:val="21"/>
              </w:rPr>
              <w:t xml:space="preserve"> 建设项目公用和辅助工程</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61"/>
              <w:gridCol w:w="475"/>
              <w:gridCol w:w="1250"/>
              <w:gridCol w:w="1688"/>
              <w:gridCol w:w="3472"/>
            </w:tblGrid>
            <w:tr w14:paraId="69633E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961" w:type="dxa"/>
                  <w:tcBorders>
                    <w:tl2br w:val="nil"/>
                    <w:tr2bl w:val="nil"/>
                  </w:tcBorders>
                  <w:vAlign w:val="center"/>
                </w:tcPr>
                <w:p w14:paraId="559E026C">
                  <w:pPr>
                    <w:pStyle w:val="134"/>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类别</w:t>
                  </w:r>
                </w:p>
              </w:tc>
              <w:tc>
                <w:tcPr>
                  <w:tcW w:w="1725" w:type="dxa"/>
                  <w:gridSpan w:val="2"/>
                  <w:tcBorders>
                    <w:tl2br w:val="nil"/>
                    <w:tr2bl w:val="nil"/>
                  </w:tcBorders>
                  <w:vAlign w:val="center"/>
                </w:tcPr>
                <w:p w14:paraId="29CFD32F">
                  <w:pPr>
                    <w:pStyle w:val="134"/>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建设名称</w:t>
                  </w:r>
                </w:p>
              </w:tc>
              <w:tc>
                <w:tcPr>
                  <w:tcW w:w="1688" w:type="dxa"/>
                  <w:tcBorders>
                    <w:tl2br w:val="nil"/>
                    <w:tr2bl w:val="nil"/>
                  </w:tcBorders>
                  <w:vAlign w:val="center"/>
                </w:tcPr>
                <w:p w14:paraId="24E585C5">
                  <w:pPr>
                    <w:pStyle w:val="134"/>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设计能力</w:t>
                  </w:r>
                </w:p>
              </w:tc>
              <w:tc>
                <w:tcPr>
                  <w:tcW w:w="3472" w:type="dxa"/>
                  <w:tcBorders>
                    <w:tl2br w:val="nil"/>
                    <w:tr2bl w:val="nil"/>
                  </w:tcBorders>
                  <w:vAlign w:val="center"/>
                </w:tcPr>
                <w:p w14:paraId="1449AC4A">
                  <w:pPr>
                    <w:pStyle w:val="134"/>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备注</w:t>
                  </w:r>
                </w:p>
              </w:tc>
            </w:tr>
            <w:tr w14:paraId="5B9608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961" w:type="dxa"/>
                  <w:tcBorders>
                    <w:tl2br w:val="nil"/>
                    <w:tr2bl w:val="nil"/>
                  </w:tcBorders>
                  <w:vAlign w:val="center"/>
                </w:tcPr>
                <w:p w14:paraId="472F1AA8">
                  <w:pPr>
                    <w:pStyle w:val="134"/>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主体工程</w:t>
                  </w:r>
                </w:p>
              </w:tc>
              <w:tc>
                <w:tcPr>
                  <w:tcW w:w="1725" w:type="dxa"/>
                  <w:gridSpan w:val="2"/>
                  <w:tcBorders>
                    <w:tl2br w:val="nil"/>
                    <w:tr2bl w:val="nil"/>
                  </w:tcBorders>
                  <w:vAlign w:val="center"/>
                </w:tcPr>
                <w:p w14:paraId="6FDC75E0">
                  <w:pPr>
                    <w:pStyle w:val="134"/>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生产车间</w:t>
                  </w:r>
                </w:p>
              </w:tc>
              <w:tc>
                <w:tcPr>
                  <w:tcW w:w="1688" w:type="dxa"/>
                  <w:tcBorders>
                    <w:tl2br w:val="nil"/>
                    <w:tr2bl w:val="nil"/>
                  </w:tcBorders>
                  <w:vAlign w:val="center"/>
                </w:tcPr>
                <w:p w14:paraId="00810B12">
                  <w:pPr>
                    <w:pStyle w:val="134"/>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500m</w:t>
                  </w:r>
                  <w:r>
                    <w:rPr>
                      <w:rFonts w:hint="default" w:ascii="Times New Roman" w:hAnsi="Times New Roman" w:eastAsia="宋体" w:cs="Times New Roman"/>
                      <w:b w:val="0"/>
                      <w:bCs/>
                      <w:color w:val="auto"/>
                      <w:vertAlign w:val="superscript"/>
                      <w:lang w:val="en-US" w:eastAsia="zh-CN"/>
                    </w:rPr>
                    <w:t>2</w:t>
                  </w:r>
                  <w:r>
                    <w:rPr>
                      <w:rFonts w:hint="default" w:ascii="Times New Roman" w:hAnsi="Times New Roman" w:eastAsia="宋体" w:cs="Times New Roman"/>
                      <w:b w:val="0"/>
                      <w:bCs/>
                      <w:color w:val="auto"/>
                      <w:vertAlign w:val="baseline"/>
                      <w:lang w:val="en-US" w:eastAsia="zh-CN"/>
                    </w:rPr>
                    <w:t>，层高</w:t>
                  </w:r>
                  <w:r>
                    <w:rPr>
                      <w:rFonts w:hint="eastAsia" w:cs="Times New Roman"/>
                      <w:b w:val="0"/>
                      <w:bCs/>
                      <w:color w:val="auto"/>
                      <w:vertAlign w:val="baseline"/>
                      <w:lang w:val="en-US" w:eastAsia="zh-CN"/>
                    </w:rPr>
                    <w:t>5</w:t>
                  </w:r>
                  <w:r>
                    <w:rPr>
                      <w:rFonts w:hint="default" w:ascii="Times New Roman" w:hAnsi="Times New Roman" w:eastAsia="宋体" w:cs="Times New Roman"/>
                      <w:b w:val="0"/>
                      <w:bCs/>
                      <w:color w:val="auto"/>
                      <w:vertAlign w:val="baseline"/>
                      <w:lang w:val="en-US" w:eastAsia="zh-CN"/>
                    </w:rPr>
                    <w:t>m</w:t>
                  </w:r>
                </w:p>
              </w:tc>
              <w:tc>
                <w:tcPr>
                  <w:tcW w:w="3472" w:type="dxa"/>
                  <w:tcBorders>
                    <w:tl2br w:val="nil"/>
                    <w:tr2bl w:val="nil"/>
                  </w:tcBorders>
                  <w:vAlign w:val="center"/>
                </w:tcPr>
                <w:p w14:paraId="49CBC46F">
                  <w:pPr>
                    <w:pStyle w:val="134"/>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color w:val="auto"/>
                    </w:rPr>
                    <w:t>生产车间</w:t>
                  </w:r>
                  <w:r>
                    <w:rPr>
                      <w:rFonts w:hint="default" w:ascii="Times New Roman" w:hAnsi="Times New Roman" w:eastAsia="宋体" w:cs="Times New Roman"/>
                      <w:color w:val="auto"/>
                      <w:lang w:val="en-US" w:eastAsia="zh-CN"/>
                    </w:rPr>
                    <w:t>位于1楼</w:t>
                  </w:r>
                  <w:r>
                    <w:rPr>
                      <w:rFonts w:hint="eastAsia" w:cs="Times New Roman"/>
                      <w:color w:val="auto"/>
                      <w:lang w:val="en-US" w:eastAsia="zh-CN"/>
                    </w:rPr>
                    <w:t>，（设备采用</w:t>
                  </w:r>
                  <w:r>
                    <w:rPr>
                      <w:rFonts w:hint="eastAsia"/>
                    </w:rPr>
                    <w:t>立体化布局</w:t>
                  </w:r>
                  <w:r>
                    <w:rPr>
                      <w:rFonts w:hint="eastAsia"/>
                      <w:lang w:eastAsia="zh-CN"/>
                    </w:rPr>
                    <w:t>，</w:t>
                  </w:r>
                  <w:r>
                    <w:rPr>
                      <w:rFonts w:hint="eastAsia"/>
                      <w:lang w:val="en-US" w:eastAsia="zh-CN"/>
                    </w:rPr>
                    <w:t>底层为注塑机，上层为混料机等</w:t>
                  </w:r>
                  <w:r>
                    <w:rPr>
                      <w:rFonts w:hint="eastAsia" w:cs="Times New Roman"/>
                      <w:color w:val="auto"/>
                      <w:lang w:val="en-US" w:eastAsia="zh-CN"/>
                    </w:rPr>
                    <w:t>）</w:t>
                  </w:r>
                </w:p>
              </w:tc>
            </w:tr>
            <w:tr w14:paraId="6ACA08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961" w:type="dxa"/>
                  <w:vMerge w:val="restart"/>
                  <w:tcBorders>
                    <w:tl2br w:val="nil"/>
                    <w:tr2bl w:val="nil"/>
                  </w:tcBorders>
                  <w:vAlign w:val="center"/>
                </w:tcPr>
                <w:p w14:paraId="00F01F3A">
                  <w:pPr>
                    <w:pStyle w:val="134"/>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color w:val="auto"/>
                    </w:rPr>
                    <w:t>贮运</w:t>
                  </w:r>
                  <w:r>
                    <w:rPr>
                      <w:rFonts w:hint="default" w:ascii="Times New Roman" w:hAnsi="Times New Roman" w:eastAsia="宋体" w:cs="Times New Roman"/>
                      <w:color w:val="auto"/>
                    </w:rPr>
                    <w:cr/>
                  </w:r>
                  <w:r>
                    <w:rPr>
                      <w:rFonts w:hint="default" w:ascii="Times New Roman" w:hAnsi="Times New Roman" w:eastAsia="宋体" w:cs="Times New Roman"/>
                      <w:color w:val="auto"/>
                    </w:rPr>
                    <w:t>工程</w:t>
                  </w:r>
                </w:p>
              </w:tc>
              <w:tc>
                <w:tcPr>
                  <w:tcW w:w="1725" w:type="dxa"/>
                  <w:gridSpan w:val="2"/>
                  <w:tcBorders>
                    <w:tl2br w:val="nil"/>
                    <w:tr2bl w:val="nil"/>
                  </w:tcBorders>
                  <w:vAlign w:val="center"/>
                </w:tcPr>
                <w:p w14:paraId="6071D677">
                  <w:pPr>
                    <w:pStyle w:val="134"/>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color w:val="auto"/>
                    </w:rPr>
                    <w:t>原料仓库</w:t>
                  </w:r>
                </w:p>
              </w:tc>
              <w:tc>
                <w:tcPr>
                  <w:tcW w:w="1688" w:type="dxa"/>
                  <w:tcBorders>
                    <w:tl2br w:val="nil"/>
                    <w:tr2bl w:val="nil"/>
                  </w:tcBorders>
                  <w:vAlign w:val="center"/>
                </w:tcPr>
                <w:p w14:paraId="695ACA42">
                  <w:pPr>
                    <w:pStyle w:val="134"/>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200m</w:t>
                  </w:r>
                  <w:r>
                    <w:rPr>
                      <w:rFonts w:hint="default" w:ascii="Times New Roman" w:hAnsi="Times New Roman" w:eastAsia="宋体" w:cs="Times New Roman"/>
                      <w:b w:val="0"/>
                      <w:bCs/>
                      <w:color w:val="auto"/>
                      <w:vertAlign w:val="superscript"/>
                      <w:lang w:val="en-US" w:eastAsia="zh-CN"/>
                    </w:rPr>
                    <w:t>2</w:t>
                  </w:r>
                </w:p>
              </w:tc>
              <w:tc>
                <w:tcPr>
                  <w:tcW w:w="3472" w:type="dxa"/>
                  <w:vMerge w:val="restart"/>
                  <w:tcBorders>
                    <w:tl2br w:val="nil"/>
                    <w:tr2bl w:val="nil"/>
                  </w:tcBorders>
                  <w:vAlign w:val="center"/>
                </w:tcPr>
                <w:p w14:paraId="02632973">
                  <w:pPr>
                    <w:pStyle w:val="134"/>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color w:val="auto"/>
                    </w:rPr>
                    <w:t>原料仓库</w:t>
                  </w:r>
                  <w:r>
                    <w:rPr>
                      <w:rFonts w:hint="default" w:ascii="Times New Roman" w:hAnsi="Times New Roman" w:eastAsia="宋体" w:cs="Times New Roman"/>
                      <w:color w:val="auto"/>
                      <w:lang w:val="en-US" w:eastAsia="zh-CN"/>
                    </w:rPr>
                    <w:t>及</w:t>
                  </w:r>
                  <w:r>
                    <w:rPr>
                      <w:rFonts w:hint="default" w:ascii="Times New Roman" w:hAnsi="Times New Roman" w:eastAsia="宋体" w:cs="Times New Roman"/>
                      <w:color w:val="auto"/>
                    </w:rPr>
                    <w:t>成品仓库</w:t>
                  </w:r>
                  <w:r>
                    <w:rPr>
                      <w:rFonts w:hint="default" w:ascii="Times New Roman" w:hAnsi="Times New Roman" w:eastAsia="宋体" w:cs="Times New Roman"/>
                      <w:color w:val="auto"/>
                      <w:lang w:val="en-US" w:eastAsia="zh-CN"/>
                    </w:rPr>
                    <w:t>位于2楼</w:t>
                  </w:r>
                </w:p>
              </w:tc>
            </w:tr>
            <w:tr w14:paraId="1BB532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961" w:type="dxa"/>
                  <w:vMerge w:val="continue"/>
                  <w:tcBorders>
                    <w:tl2br w:val="nil"/>
                    <w:tr2bl w:val="nil"/>
                  </w:tcBorders>
                  <w:vAlign w:val="center"/>
                </w:tcPr>
                <w:p w14:paraId="0EF71194">
                  <w:pPr>
                    <w:pStyle w:val="134"/>
                    <w:jc w:val="center"/>
                    <w:rPr>
                      <w:rFonts w:hint="default" w:ascii="Times New Roman" w:hAnsi="Times New Roman" w:eastAsia="宋体" w:cs="Times New Roman"/>
                    </w:rPr>
                  </w:pPr>
                </w:p>
              </w:tc>
              <w:tc>
                <w:tcPr>
                  <w:tcW w:w="1725" w:type="dxa"/>
                  <w:gridSpan w:val="2"/>
                  <w:tcBorders>
                    <w:tl2br w:val="nil"/>
                    <w:tr2bl w:val="nil"/>
                  </w:tcBorders>
                  <w:vAlign w:val="center"/>
                </w:tcPr>
                <w:p w14:paraId="2A60D122">
                  <w:pPr>
                    <w:pStyle w:val="134"/>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color w:val="auto"/>
                    </w:rPr>
                    <w:t>成品仓库</w:t>
                  </w:r>
                </w:p>
              </w:tc>
              <w:tc>
                <w:tcPr>
                  <w:tcW w:w="1688" w:type="dxa"/>
                  <w:tcBorders>
                    <w:tl2br w:val="nil"/>
                    <w:tr2bl w:val="nil"/>
                  </w:tcBorders>
                  <w:vAlign w:val="center"/>
                </w:tcPr>
                <w:p w14:paraId="4E765571">
                  <w:pPr>
                    <w:pStyle w:val="134"/>
                    <w:jc w:val="center"/>
                    <w:rPr>
                      <w:rFonts w:hint="default" w:ascii="Times New Roman" w:hAnsi="Times New Roman" w:eastAsia="宋体" w:cs="Times New Roman"/>
                      <w:b w:val="0"/>
                      <w:bCs/>
                      <w:color w:val="auto"/>
                      <w:lang w:val="en-US" w:eastAsia="zh-CN"/>
                    </w:rPr>
                  </w:pPr>
                  <w:r>
                    <w:rPr>
                      <w:rFonts w:hint="default" w:ascii="Times New Roman" w:hAnsi="Times New Roman" w:eastAsia="宋体" w:cs="Times New Roman"/>
                      <w:b w:val="0"/>
                      <w:bCs/>
                      <w:color w:val="auto"/>
                      <w:lang w:val="en-US" w:eastAsia="zh-CN"/>
                    </w:rPr>
                    <w:t>200m</w:t>
                  </w:r>
                  <w:r>
                    <w:rPr>
                      <w:rFonts w:hint="default" w:ascii="Times New Roman" w:hAnsi="Times New Roman" w:eastAsia="宋体" w:cs="Times New Roman"/>
                      <w:b w:val="0"/>
                      <w:bCs/>
                      <w:color w:val="auto"/>
                      <w:vertAlign w:val="superscript"/>
                      <w:lang w:val="en-US" w:eastAsia="zh-CN"/>
                    </w:rPr>
                    <w:t>2</w:t>
                  </w:r>
                </w:p>
              </w:tc>
              <w:tc>
                <w:tcPr>
                  <w:tcW w:w="3472" w:type="dxa"/>
                  <w:vMerge w:val="continue"/>
                  <w:tcBorders>
                    <w:tl2br w:val="nil"/>
                    <w:tr2bl w:val="nil"/>
                  </w:tcBorders>
                  <w:vAlign w:val="center"/>
                </w:tcPr>
                <w:p w14:paraId="1D570535">
                  <w:pPr>
                    <w:pStyle w:val="134"/>
                    <w:jc w:val="center"/>
                    <w:rPr>
                      <w:rFonts w:hint="default" w:ascii="Times New Roman" w:hAnsi="Times New Roman" w:eastAsia="宋体" w:cs="Times New Roman"/>
                      <w:b w:val="0"/>
                      <w:bCs/>
                      <w:color w:val="auto"/>
                      <w:lang w:val="en-US" w:eastAsia="zh-CN"/>
                    </w:rPr>
                  </w:pPr>
                </w:p>
              </w:tc>
            </w:tr>
            <w:tr w14:paraId="2697DE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961" w:type="dxa"/>
                  <w:vMerge w:val="restart"/>
                  <w:tcBorders>
                    <w:tl2br w:val="nil"/>
                    <w:tr2bl w:val="nil"/>
                  </w:tcBorders>
                  <w:vAlign w:val="center"/>
                </w:tcPr>
                <w:p w14:paraId="7D107709">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公用工程</w:t>
                  </w:r>
                </w:p>
              </w:tc>
              <w:tc>
                <w:tcPr>
                  <w:tcW w:w="1725" w:type="dxa"/>
                  <w:gridSpan w:val="2"/>
                  <w:tcBorders>
                    <w:tl2br w:val="nil"/>
                    <w:tr2bl w:val="nil"/>
                  </w:tcBorders>
                  <w:vAlign w:val="center"/>
                </w:tcPr>
                <w:p w14:paraId="7BB380D6">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供水</w:t>
                  </w:r>
                </w:p>
              </w:tc>
              <w:tc>
                <w:tcPr>
                  <w:tcW w:w="1688" w:type="dxa"/>
                  <w:tcBorders>
                    <w:tl2br w:val="nil"/>
                    <w:tr2bl w:val="nil"/>
                  </w:tcBorders>
                  <w:vAlign w:val="center"/>
                </w:tcPr>
                <w:p w14:paraId="30629997">
                  <w:pPr>
                    <w:pStyle w:val="134"/>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7650</w:t>
                  </w:r>
                  <w:r>
                    <w:rPr>
                      <w:rFonts w:hint="default" w:ascii="Times New Roman" w:hAnsi="Times New Roman" w:eastAsia="宋体" w:cs="Times New Roman"/>
                      <w:color w:val="auto"/>
                    </w:rPr>
                    <w:t>t/a</w:t>
                  </w:r>
                </w:p>
              </w:tc>
              <w:tc>
                <w:tcPr>
                  <w:tcW w:w="3472" w:type="dxa"/>
                  <w:tcBorders>
                    <w:tl2br w:val="nil"/>
                    <w:tr2bl w:val="nil"/>
                  </w:tcBorders>
                  <w:vAlign w:val="center"/>
                </w:tcPr>
                <w:p w14:paraId="51AAF578">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由当地自来水管网提供，依托</w:t>
                  </w:r>
                  <w:r>
                    <w:rPr>
                      <w:rFonts w:hint="default" w:ascii="Times New Roman" w:hAnsi="Times New Roman" w:eastAsia="宋体" w:cs="Times New Roman"/>
                      <w:color w:val="auto"/>
                      <w:lang w:val="en-US" w:eastAsia="zh-CN"/>
                    </w:rPr>
                    <w:t>租赁厂房</w:t>
                  </w:r>
                  <w:r>
                    <w:rPr>
                      <w:rFonts w:hint="default" w:ascii="Times New Roman" w:hAnsi="Times New Roman" w:eastAsia="宋体" w:cs="Times New Roman"/>
                      <w:color w:val="auto"/>
                    </w:rPr>
                    <w:t>现有</w:t>
                  </w:r>
                </w:p>
              </w:tc>
            </w:tr>
            <w:tr w14:paraId="1261FA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961" w:type="dxa"/>
                  <w:vMerge w:val="continue"/>
                  <w:tcBorders>
                    <w:tl2br w:val="nil"/>
                    <w:tr2bl w:val="nil"/>
                  </w:tcBorders>
                  <w:vAlign w:val="center"/>
                </w:tcPr>
                <w:p w14:paraId="2B4383E7">
                  <w:pPr>
                    <w:pStyle w:val="134"/>
                    <w:jc w:val="center"/>
                    <w:rPr>
                      <w:rFonts w:hint="default" w:ascii="Times New Roman" w:hAnsi="Times New Roman" w:eastAsia="宋体" w:cs="Times New Roman"/>
                      <w:color w:val="auto"/>
                    </w:rPr>
                  </w:pPr>
                </w:p>
              </w:tc>
              <w:tc>
                <w:tcPr>
                  <w:tcW w:w="475" w:type="dxa"/>
                  <w:vMerge w:val="restart"/>
                  <w:tcBorders>
                    <w:tl2br w:val="nil"/>
                    <w:tr2bl w:val="nil"/>
                  </w:tcBorders>
                  <w:vAlign w:val="center"/>
                </w:tcPr>
                <w:p w14:paraId="5827F31B">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排水</w:t>
                  </w:r>
                </w:p>
              </w:tc>
              <w:tc>
                <w:tcPr>
                  <w:tcW w:w="1250" w:type="dxa"/>
                  <w:tcBorders>
                    <w:tl2br w:val="nil"/>
                    <w:tr2bl w:val="nil"/>
                  </w:tcBorders>
                  <w:vAlign w:val="center"/>
                </w:tcPr>
                <w:p w14:paraId="0FA649DF">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雨水</w:t>
                  </w:r>
                </w:p>
              </w:tc>
              <w:tc>
                <w:tcPr>
                  <w:tcW w:w="1688" w:type="dxa"/>
                  <w:tcBorders>
                    <w:tl2br w:val="nil"/>
                    <w:tr2bl w:val="nil"/>
                  </w:tcBorders>
                  <w:vAlign w:val="center"/>
                </w:tcPr>
                <w:p w14:paraId="796CBB89">
                  <w:pPr>
                    <w:pStyle w:val="134"/>
                    <w:jc w:val="center"/>
                    <w:rPr>
                      <w:rFonts w:hint="default" w:ascii="Times New Roman" w:hAnsi="Times New Roman" w:eastAsia="宋体" w:cs="Times New Roman"/>
                      <w:color w:val="auto"/>
                      <w:highlight w:val="yellow"/>
                    </w:rPr>
                  </w:pPr>
                  <w:r>
                    <w:rPr>
                      <w:color w:val="auto"/>
                    </w:rPr>
                    <w:t>DN100</w:t>
                  </w:r>
                </w:p>
              </w:tc>
              <w:tc>
                <w:tcPr>
                  <w:tcW w:w="3472" w:type="dxa"/>
                  <w:tcBorders>
                    <w:tl2br w:val="nil"/>
                    <w:tr2bl w:val="nil"/>
                  </w:tcBorders>
                  <w:vAlign w:val="center"/>
                </w:tcPr>
                <w:p w14:paraId="5B637A91">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排入市政雨水管网，依托</w:t>
                  </w:r>
                  <w:r>
                    <w:rPr>
                      <w:rFonts w:hint="default" w:ascii="Times New Roman" w:hAnsi="Times New Roman" w:eastAsia="宋体" w:cs="Times New Roman"/>
                      <w:color w:val="auto"/>
                      <w:lang w:val="en-US" w:eastAsia="zh-CN"/>
                    </w:rPr>
                    <w:t>租赁厂房</w:t>
                  </w:r>
                  <w:r>
                    <w:rPr>
                      <w:rFonts w:hint="default" w:ascii="Times New Roman" w:hAnsi="Times New Roman" w:eastAsia="宋体" w:cs="Times New Roman"/>
                      <w:color w:val="auto"/>
                    </w:rPr>
                    <w:t>现有</w:t>
                  </w:r>
                </w:p>
              </w:tc>
            </w:tr>
            <w:tr w14:paraId="340672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961" w:type="dxa"/>
                  <w:vMerge w:val="continue"/>
                  <w:tcBorders>
                    <w:tl2br w:val="nil"/>
                    <w:tr2bl w:val="nil"/>
                  </w:tcBorders>
                  <w:vAlign w:val="center"/>
                </w:tcPr>
                <w:p w14:paraId="53C08600">
                  <w:pPr>
                    <w:pStyle w:val="134"/>
                    <w:jc w:val="center"/>
                    <w:rPr>
                      <w:rFonts w:hint="default" w:ascii="Times New Roman" w:hAnsi="Times New Roman" w:eastAsia="宋体" w:cs="Times New Roman"/>
                      <w:color w:val="auto"/>
                    </w:rPr>
                  </w:pPr>
                </w:p>
              </w:tc>
              <w:tc>
                <w:tcPr>
                  <w:tcW w:w="475" w:type="dxa"/>
                  <w:vMerge w:val="continue"/>
                  <w:tcBorders>
                    <w:tl2br w:val="nil"/>
                    <w:tr2bl w:val="nil"/>
                  </w:tcBorders>
                  <w:vAlign w:val="center"/>
                </w:tcPr>
                <w:p w14:paraId="1BE18A17">
                  <w:pPr>
                    <w:pStyle w:val="134"/>
                    <w:jc w:val="center"/>
                    <w:rPr>
                      <w:rFonts w:hint="default" w:ascii="Times New Roman" w:hAnsi="Times New Roman" w:eastAsia="宋体" w:cs="Times New Roman"/>
                      <w:color w:val="auto"/>
                    </w:rPr>
                  </w:pPr>
                </w:p>
              </w:tc>
              <w:tc>
                <w:tcPr>
                  <w:tcW w:w="1250" w:type="dxa"/>
                  <w:tcBorders>
                    <w:tl2br w:val="nil"/>
                    <w:tr2bl w:val="nil"/>
                  </w:tcBorders>
                  <w:vAlign w:val="center"/>
                </w:tcPr>
                <w:p w14:paraId="367B50E6">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废（污）水</w:t>
                  </w:r>
                </w:p>
              </w:tc>
              <w:tc>
                <w:tcPr>
                  <w:tcW w:w="1688" w:type="dxa"/>
                  <w:tcBorders>
                    <w:tl2br w:val="nil"/>
                    <w:tr2bl w:val="nil"/>
                  </w:tcBorders>
                  <w:vAlign w:val="center"/>
                </w:tcPr>
                <w:p w14:paraId="33DB5867">
                  <w:pPr>
                    <w:pStyle w:val="134"/>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360</w:t>
                  </w:r>
                  <w:r>
                    <w:rPr>
                      <w:rFonts w:hint="default" w:ascii="Times New Roman" w:hAnsi="Times New Roman" w:eastAsia="宋体" w:cs="Times New Roman"/>
                      <w:color w:val="auto"/>
                    </w:rPr>
                    <w:t>t/a</w:t>
                  </w:r>
                </w:p>
                <w:p w14:paraId="00DB40E3">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仅生活污水</w:t>
                  </w:r>
                </w:p>
              </w:tc>
              <w:tc>
                <w:tcPr>
                  <w:tcW w:w="3472" w:type="dxa"/>
                  <w:tcBorders>
                    <w:tl2br w:val="nil"/>
                    <w:tr2bl w:val="nil"/>
                  </w:tcBorders>
                  <w:tcMar>
                    <w:left w:w="28" w:type="dxa"/>
                    <w:right w:w="28" w:type="dxa"/>
                  </w:tcMar>
                  <w:vAlign w:val="center"/>
                </w:tcPr>
                <w:p w14:paraId="7654F34B">
                  <w:pPr>
                    <w:pStyle w:val="134"/>
                    <w:jc w:val="center"/>
                    <w:rPr>
                      <w:rFonts w:hint="eastAsia" w:ascii="Times New Roman" w:hAnsi="Times New Roman" w:eastAsia="宋体" w:cs="Times New Roman"/>
                      <w:color w:val="auto"/>
                      <w:lang w:eastAsia="zh-CN"/>
                    </w:rPr>
                  </w:pPr>
                  <w:r>
                    <w:rPr>
                      <w:rFonts w:hint="default" w:ascii="Times New Roman" w:hAnsi="Times New Roman" w:eastAsia="宋体" w:cs="Times New Roman"/>
                      <w:color w:val="auto"/>
                    </w:rPr>
                    <w:t>依托租赁厂房现有接管口</w:t>
                  </w:r>
                  <w:r>
                    <w:rPr>
                      <w:rFonts w:hint="eastAsia" w:ascii="Times New Roman" w:hAnsi="Times New Roman" w:eastAsia="宋体" w:cs="Times New Roman"/>
                      <w:color w:val="auto"/>
                      <w:lang w:eastAsia="zh-CN"/>
                    </w:rPr>
                    <w:t>，</w:t>
                  </w:r>
                  <w:r>
                    <w:rPr>
                      <w:rFonts w:hint="eastAsia" w:ascii="Times New Roman" w:hAnsi="Times New Roman"/>
                      <w:bCs/>
                      <w:color w:val="auto"/>
                      <w:sz w:val="21"/>
                      <w:szCs w:val="21"/>
                    </w:rPr>
                    <w:t>接管至</w:t>
                  </w:r>
                  <w:r>
                    <w:rPr>
                      <w:rFonts w:hint="default" w:ascii="Times New Roman" w:hAnsi="Times New Roman" w:eastAsia="宋体" w:cs="Times New Roman"/>
                      <w:color w:val="auto"/>
                      <w:sz w:val="21"/>
                      <w:lang w:bidi="ar"/>
                    </w:rPr>
                    <w:t>江阴市月城综合污水处理有限公司</w:t>
                  </w:r>
                  <w:r>
                    <w:rPr>
                      <w:rFonts w:hint="eastAsia" w:ascii="Times New Roman" w:hAnsi="Times New Roman"/>
                      <w:bCs/>
                      <w:color w:val="auto"/>
                      <w:sz w:val="21"/>
                      <w:szCs w:val="21"/>
                    </w:rPr>
                    <w:t>集中处置</w:t>
                  </w:r>
                </w:p>
              </w:tc>
            </w:tr>
            <w:tr w14:paraId="4D8314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961" w:type="dxa"/>
                  <w:vMerge w:val="continue"/>
                  <w:tcBorders>
                    <w:tl2br w:val="nil"/>
                    <w:tr2bl w:val="nil"/>
                  </w:tcBorders>
                  <w:vAlign w:val="center"/>
                </w:tcPr>
                <w:p w14:paraId="76598C69">
                  <w:pPr>
                    <w:pStyle w:val="134"/>
                    <w:jc w:val="center"/>
                    <w:rPr>
                      <w:rFonts w:hint="default" w:ascii="Times New Roman" w:hAnsi="Times New Roman" w:eastAsia="宋体" w:cs="Times New Roman"/>
                      <w:color w:val="auto"/>
                    </w:rPr>
                  </w:pPr>
                </w:p>
              </w:tc>
              <w:tc>
                <w:tcPr>
                  <w:tcW w:w="1725" w:type="dxa"/>
                  <w:gridSpan w:val="2"/>
                  <w:tcBorders>
                    <w:tl2br w:val="nil"/>
                    <w:tr2bl w:val="nil"/>
                  </w:tcBorders>
                  <w:vAlign w:val="center"/>
                </w:tcPr>
                <w:p w14:paraId="646C9AD1">
                  <w:pPr>
                    <w:pStyle w:val="134"/>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1688" w:type="dxa"/>
                  <w:tcBorders>
                    <w:tl2br w:val="nil"/>
                    <w:tr2bl w:val="nil"/>
                  </w:tcBorders>
                  <w:vAlign w:val="center"/>
                </w:tcPr>
                <w:p w14:paraId="357C3BBD">
                  <w:pPr>
                    <w:pStyle w:val="134"/>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highlight w:val="none"/>
                      <w:lang w:val="en-US" w:eastAsia="zh-CN"/>
                    </w:rPr>
                    <w:t>245.76</w:t>
                  </w:r>
                  <w:r>
                    <w:rPr>
                      <w:rFonts w:hint="default" w:ascii="Times New Roman" w:hAnsi="Times New Roman" w:eastAsia="宋体" w:cs="Times New Roman"/>
                      <w:color w:val="auto"/>
                      <w:sz w:val="21"/>
                      <w:szCs w:val="21"/>
                    </w:rPr>
                    <w:t>万kWh/a</w:t>
                  </w:r>
                </w:p>
              </w:tc>
              <w:tc>
                <w:tcPr>
                  <w:tcW w:w="3472" w:type="dxa"/>
                  <w:tcBorders>
                    <w:tl2br w:val="nil"/>
                    <w:tr2bl w:val="nil"/>
                  </w:tcBorders>
                  <w:vAlign w:val="center"/>
                </w:tcPr>
                <w:p w14:paraId="7A0C8624">
                  <w:pPr>
                    <w:pStyle w:val="134"/>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依托区内公用</w:t>
                  </w:r>
                  <w:r>
                    <w:rPr>
                      <w:rFonts w:hint="eastAsia" w:ascii="Times New Roman" w:hAnsi="Times New Roman" w:eastAsia="宋体" w:cs="Times New Roman"/>
                      <w:color w:val="auto"/>
                      <w:sz w:val="21"/>
                      <w:szCs w:val="21"/>
                      <w:lang w:val="en-US" w:eastAsia="zh-CN"/>
                    </w:rPr>
                    <w:t>变压器</w:t>
                  </w:r>
                  <w:r>
                    <w:rPr>
                      <w:rFonts w:hint="default" w:ascii="Times New Roman" w:hAnsi="Times New Roman" w:eastAsia="宋体" w:cs="Times New Roman"/>
                      <w:color w:val="auto"/>
                      <w:sz w:val="21"/>
                      <w:szCs w:val="21"/>
                    </w:rPr>
                    <w:t>，现有</w:t>
                  </w:r>
                </w:p>
              </w:tc>
            </w:tr>
            <w:tr w14:paraId="38E82E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961" w:type="dxa"/>
                  <w:vMerge w:val="continue"/>
                  <w:tcBorders>
                    <w:tl2br w:val="nil"/>
                    <w:tr2bl w:val="nil"/>
                  </w:tcBorders>
                  <w:vAlign w:val="center"/>
                </w:tcPr>
                <w:p w14:paraId="38A4419C">
                  <w:pPr>
                    <w:pStyle w:val="134"/>
                    <w:jc w:val="center"/>
                    <w:rPr>
                      <w:rFonts w:hint="default" w:ascii="Times New Roman" w:hAnsi="Times New Roman" w:eastAsia="宋体" w:cs="Times New Roman"/>
                      <w:color w:val="auto"/>
                    </w:rPr>
                  </w:pPr>
                </w:p>
              </w:tc>
              <w:tc>
                <w:tcPr>
                  <w:tcW w:w="475" w:type="dxa"/>
                  <w:tcBorders>
                    <w:tl2br w:val="nil"/>
                    <w:tr2bl w:val="nil"/>
                  </w:tcBorders>
                  <w:vAlign w:val="center"/>
                </w:tcPr>
                <w:p w14:paraId="1075DB30">
                  <w:pPr>
                    <w:pStyle w:val="134"/>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废水</w:t>
                  </w:r>
                </w:p>
              </w:tc>
              <w:tc>
                <w:tcPr>
                  <w:tcW w:w="1250" w:type="dxa"/>
                  <w:tcBorders>
                    <w:tl2br w:val="nil"/>
                    <w:tr2bl w:val="nil"/>
                  </w:tcBorders>
                  <w:vAlign w:val="center"/>
                </w:tcPr>
                <w:p w14:paraId="146667ED">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化粪池</w:t>
                  </w:r>
                </w:p>
              </w:tc>
              <w:tc>
                <w:tcPr>
                  <w:tcW w:w="1688" w:type="dxa"/>
                  <w:tcBorders>
                    <w:tl2br w:val="nil"/>
                    <w:tr2bl w:val="nil"/>
                  </w:tcBorders>
                  <w:vAlign w:val="center"/>
                </w:tcPr>
                <w:p w14:paraId="37ADBE5F">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20m</w:t>
                  </w:r>
                  <w:r>
                    <w:rPr>
                      <w:rFonts w:hint="default" w:ascii="Times New Roman" w:hAnsi="Times New Roman" w:eastAsia="宋体" w:cs="Times New Roman"/>
                      <w:color w:val="auto"/>
                      <w:vertAlign w:val="superscript"/>
                    </w:rPr>
                    <w:t>3</w:t>
                  </w:r>
                </w:p>
              </w:tc>
              <w:tc>
                <w:tcPr>
                  <w:tcW w:w="3472" w:type="dxa"/>
                  <w:tcBorders>
                    <w:tl2br w:val="nil"/>
                    <w:tr2bl w:val="nil"/>
                  </w:tcBorders>
                  <w:vAlign w:val="center"/>
                </w:tcPr>
                <w:p w14:paraId="1F6D2319">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简单生化处理，依托现有</w:t>
                  </w:r>
                </w:p>
              </w:tc>
            </w:tr>
            <w:tr w14:paraId="026C7B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961" w:type="dxa"/>
                  <w:vMerge w:val="continue"/>
                  <w:tcBorders>
                    <w:tl2br w:val="nil"/>
                    <w:tr2bl w:val="nil"/>
                  </w:tcBorders>
                  <w:vAlign w:val="center"/>
                </w:tcPr>
                <w:p w14:paraId="3E557BB3">
                  <w:pPr>
                    <w:pStyle w:val="134"/>
                    <w:jc w:val="center"/>
                    <w:rPr>
                      <w:rFonts w:hint="default" w:ascii="Times New Roman" w:hAnsi="Times New Roman" w:eastAsia="宋体" w:cs="Times New Roman"/>
                      <w:color w:val="auto"/>
                    </w:rPr>
                  </w:pPr>
                </w:p>
              </w:tc>
              <w:tc>
                <w:tcPr>
                  <w:tcW w:w="475" w:type="dxa"/>
                  <w:vMerge w:val="restart"/>
                  <w:tcBorders>
                    <w:tl2br w:val="nil"/>
                    <w:tr2bl w:val="nil"/>
                  </w:tcBorders>
                  <w:vAlign w:val="center"/>
                </w:tcPr>
                <w:p w14:paraId="70774B9B">
                  <w:pPr>
                    <w:pStyle w:val="134"/>
                    <w:jc w:val="center"/>
                    <w:rPr>
                      <w:rFonts w:hint="default" w:ascii="Times New Roman" w:hAnsi="Times New Roman" w:eastAsia="宋体" w:cs="Times New Roman"/>
                      <w:color w:val="auto"/>
                    </w:rPr>
                  </w:pPr>
                  <w:r>
                    <w:rPr>
                      <w:rFonts w:hint="eastAsia"/>
                      <w:color w:val="auto"/>
                    </w:rPr>
                    <w:t>废气</w:t>
                  </w:r>
                </w:p>
              </w:tc>
              <w:tc>
                <w:tcPr>
                  <w:tcW w:w="1250" w:type="dxa"/>
                  <w:tcBorders>
                    <w:tl2br w:val="nil"/>
                    <w:tr2bl w:val="nil"/>
                  </w:tcBorders>
                  <w:vAlign w:val="center"/>
                </w:tcPr>
                <w:p w14:paraId="2B9C6163">
                  <w:pPr>
                    <w:pStyle w:val="134"/>
                    <w:jc w:val="center"/>
                    <w:rPr>
                      <w:rFonts w:hint="default" w:ascii="Times New Roman" w:hAnsi="Times New Roman" w:eastAsia="宋体" w:cs="Times New Roman"/>
                      <w:color w:val="auto"/>
                      <w:lang w:eastAsia="zh-CN"/>
                    </w:rPr>
                  </w:pPr>
                  <w:r>
                    <w:rPr>
                      <w:rFonts w:hint="eastAsia"/>
                      <w:color w:val="auto"/>
                      <w:lang w:val="en-US" w:eastAsia="zh-CN"/>
                    </w:rPr>
                    <w:t>二级活性炭</w:t>
                  </w:r>
                </w:p>
              </w:tc>
              <w:tc>
                <w:tcPr>
                  <w:tcW w:w="1688" w:type="dxa"/>
                  <w:tcBorders>
                    <w:tl2br w:val="nil"/>
                    <w:tr2bl w:val="nil"/>
                  </w:tcBorders>
                  <w:vAlign w:val="center"/>
                </w:tcPr>
                <w:p w14:paraId="2950D1FB">
                  <w:pPr>
                    <w:pStyle w:val="134"/>
                    <w:jc w:val="center"/>
                    <w:rPr>
                      <w:rFonts w:hint="default" w:ascii="Times New Roman" w:hAnsi="Times New Roman" w:eastAsia="宋体" w:cs="Times New Roman"/>
                      <w:color w:val="auto"/>
                      <w:lang w:val="en-US" w:eastAsia="zh-CN"/>
                    </w:rPr>
                  </w:pPr>
                  <w:r>
                    <w:rPr>
                      <w:rFonts w:hint="eastAsia"/>
                      <w:color w:val="auto"/>
                      <w:lang w:val="en-US" w:eastAsia="zh-CN"/>
                    </w:rPr>
                    <w:t>12</w:t>
                  </w:r>
                  <w:r>
                    <w:rPr>
                      <w:rFonts w:hint="eastAsia"/>
                      <w:color w:val="auto"/>
                    </w:rPr>
                    <w:t>000m</w:t>
                  </w:r>
                  <w:r>
                    <w:rPr>
                      <w:rFonts w:hint="eastAsia"/>
                      <w:color w:val="auto"/>
                      <w:vertAlign w:val="superscript"/>
                    </w:rPr>
                    <w:t>3</w:t>
                  </w:r>
                  <w:r>
                    <w:rPr>
                      <w:rFonts w:hint="eastAsia"/>
                      <w:color w:val="auto"/>
                    </w:rPr>
                    <w:t>/h</w:t>
                  </w:r>
                </w:p>
              </w:tc>
              <w:tc>
                <w:tcPr>
                  <w:tcW w:w="3472" w:type="dxa"/>
                  <w:tcBorders>
                    <w:tl2br w:val="nil"/>
                    <w:tr2bl w:val="nil"/>
                  </w:tcBorders>
                  <w:vAlign w:val="center"/>
                </w:tcPr>
                <w:p w14:paraId="1C945ACF">
                  <w:pPr>
                    <w:pStyle w:val="134"/>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新建</w:t>
                  </w:r>
                  <w:r>
                    <w:rPr>
                      <w:rFonts w:hint="eastAsia" w:ascii="Times New Roman" w:hAnsi="Times New Roman" w:eastAsia="宋体" w:cs="Times New Roman"/>
                      <w:color w:val="auto"/>
                      <w:lang w:val="en-US" w:eastAsia="zh-CN"/>
                    </w:rPr>
                    <w:t>，注塑工序</w:t>
                  </w:r>
                  <w:r>
                    <w:rPr>
                      <w:rFonts w:hint="eastAsia"/>
                      <w:color w:val="auto"/>
                    </w:rPr>
                    <w:t>经集气罩收集后由“</w:t>
                  </w:r>
                  <w:r>
                    <w:rPr>
                      <w:rFonts w:hint="eastAsia"/>
                      <w:color w:val="auto"/>
                      <w:lang w:val="en-US" w:eastAsia="zh-CN"/>
                    </w:rPr>
                    <w:t>二级活性炭</w:t>
                  </w:r>
                  <w:r>
                    <w:rPr>
                      <w:rFonts w:hint="eastAsia"/>
                      <w:color w:val="auto"/>
                    </w:rPr>
                    <w:t>”废气处理设施处置，通过</w:t>
                  </w:r>
                  <w:r>
                    <w:rPr>
                      <w:color w:val="auto"/>
                    </w:rPr>
                    <w:t>15m</w:t>
                  </w:r>
                  <w:r>
                    <w:rPr>
                      <w:rFonts w:hint="eastAsia"/>
                      <w:color w:val="auto"/>
                      <w:lang w:eastAsia="zh-CN"/>
                    </w:rPr>
                    <w:t>DA001</w:t>
                  </w:r>
                  <w:r>
                    <w:rPr>
                      <w:rFonts w:hint="eastAsia"/>
                      <w:color w:val="auto"/>
                    </w:rPr>
                    <w:t>排气筒排放（捕集率90%，去除率</w:t>
                  </w:r>
                  <w:r>
                    <w:rPr>
                      <w:rFonts w:hint="eastAsia"/>
                      <w:color w:val="auto"/>
                      <w:lang w:val="en-US" w:eastAsia="zh-CN"/>
                    </w:rPr>
                    <w:t>85</w:t>
                  </w:r>
                  <w:r>
                    <w:rPr>
                      <w:rFonts w:hint="eastAsia"/>
                      <w:color w:val="auto"/>
                    </w:rPr>
                    <w:t>%）</w:t>
                  </w:r>
                </w:p>
              </w:tc>
            </w:tr>
            <w:tr w14:paraId="4C726E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4" w:hRule="atLeast"/>
                <w:jc w:val="center"/>
              </w:trPr>
              <w:tc>
                <w:tcPr>
                  <w:tcW w:w="961" w:type="dxa"/>
                  <w:vMerge w:val="continue"/>
                  <w:tcBorders>
                    <w:tl2br w:val="nil"/>
                    <w:tr2bl w:val="nil"/>
                  </w:tcBorders>
                  <w:vAlign w:val="center"/>
                </w:tcPr>
                <w:p w14:paraId="06F46BE4">
                  <w:pPr>
                    <w:pStyle w:val="134"/>
                    <w:jc w:val="center"/>
                    <w:rPr>
                      <w:rFonts w:hint="default" w:ascii="Times New Roman" w:hAnsi="Times New Roman" w:eastAsia="宋体" w:cs="Times New Roman"/>
                      <w:color w:val="auto"/>
                    </w:rPr>
                  </w:pPr>
                </w:p>
              </w:tc>
              <w:tc>
                <w:tcPr>
                  <w:tcW w:w="475" w:type="dxa"/>
                  <w:vMerge w:val="continue"/>
                  <w:tcBorders>
                    <w:tl2br w:val="nil"/>
                    <w:tr2bl w:val="nil"/>
                  </w:tcBorders>
                  <w:vAlign w:val="center"/>
                </w:tcPr>
                <w:p w14:paraId="0702380B">
                  <w:pPr>
                    <w:pStyle w:val="134"/>
                    <w:jc w:val="center"/>
                    <w:rPr>
                      <w:rFonts w:hint="default" w:ascii="Times New Roman" w:hAnsi="Times New Roman" w:eastAsia="宋体" w:cs="Times New Roman"/>
                      <w:color w:val="auto"/>
                    </w:rPr>
                  </w:pPr>
                </w:p>
              </w:tc>
              <w:tc>
                <w:tcPr>
                  <w:tcW w:w="1250" w:type="dxa"/>
                  <w:tcBorders>
                    <w:tl2br w:val="nil"/>
                    <w:tr2bl w:val="nil"/>
                  </w:tcBorders>
                  <w:vAlign w:val="center"/>
                </w:tcPr>
                <w:p w14:paraId="35EF4CD2">
                  <w:pPr>
                    <w:pStyle w:val="134"/>
                    <w:jc w:val="center"/>
                    <w:rPr>
                      <w:rFonts w:hint="default"/>
                      <w:color w:val="auto"/>
                      <w:lang w:val="en-US" w:eastAsia="zh-CN"/>
                    </w:rPr>
                  </w:pPr>
                  <w:r>
                    <w:rPr>
                      <w:rFonts w:hint="eastAsia"/>
                      <w:color w:val="auto"/>
                      <w:lang w:val="en-US" w:eastAsia="zh-CN"/>
                    </w:rPr>
                    <w:t>布袋除尘设施</w:t>
                  </w:r>
                </w:p>
              </w:tc>
              <w:tc>
                <w:tcPr>
                  <w:tcW w:w="1688" w:type="dxa"/>
                  <w:tcBorders>
                    <w:tl2br w:val="nil"/>
                    <w:tr2bl w:val="nil"/>
                  </w:tcBorders>
                  <w:vAlign w:val="center"/>
                </w:tcPr>
                <w:p w14:paraId="5B4CD0DA">
                  <w:pPr>
                    <w:pStyle w:val="134"/>
                    <w:jc w:val="center"/>
                    <w:rPr>
                      <w:rFonts w:hint="eastAsia"/>
                      <w:color w:val="auto"/>
                      <w:lang w:val="en-US" w:eastAsia="zh-CN"/>
                    </w:rPr>
                  </w:pPr>
                  <w:r>
                    <w:rPr>
                      <w:rFonts w:hint="eastAsia"/>
                      <w:color w:val="auto"/>
                      <w:lang w:val="en-US" w:eastAsia="zh-CN"/>
                    </w:rPr>
                    <w:t>2</w:t>
                  </w:r>
                  <w:r>
                    <w:rPr>
                      <w:rFonts w:hint="eastAsia"/>
                      <w:color w:val="auto"/>
                    </w:rPr>
                    <w:t>000m</w:t>
                  </w:r>
                  <w:r>
                    <w:rPr>
                      <w:rFonts w:hint="eastAsia"/>
                      <w:color w:val="auto"/>
                      <w:vertAlign w:val="superscript"/>
                    </w:rPr>
                    <w:t>3</w:t>
                  </w:r>
                  <w:r>
                    <w:rPr>
                      <w:rFonts w:hint="eastAsia"/>
                      <w:color w:val="auto"/>
                    </w:rPr>
                    <w:t>/h</w:t>
                  </w:r>
                </w:p>
              </w:tc>
              <w:tc>
                <w:tcPr>
                  <w:tcW w:w="3472" w:type="dxa"/>
                  <w:tcBorders>
                    <w:tl2br w:val="nil"/>
                    <w:tr2bl w:val="nil"/>
                  </w:tcBorders>
                  <w:vAlign w:val="center"/>
                </w:tcPr>
                <w:p w14:paraId="06989CC5">
                  <w:pPr>
                    <w:pStyle w:val="134"/>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新建</w:t>
                  </w:r>
                  <w:r>
                    <w:rPr>
                      <w:rFonts w:hint="eastAsia" w:ascii="Times New Roman" w:hAnsi="Times New Roman" w:eastAsia="宋体" w:cs="Times New Roman"/>
                      <w:color w:val="auto"/>
                      <w:lang w:val="en-US" w:eastAsia="zh-CN"/>
                    </w:rPr>
                    <w:t>，粉碎工序经集气罩收集后由布袋除尘设施处置后无组织排放（捕集率90%，去除率98%）</w:t>
                  </w:r>
                </w:p>
              </w:tc>
            </w:tr>
            <w:tr w14:paraId="0471CC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961" w:type="dxa"/>
                  <w:vMerge w:val="continue"/>
                  <w:tcBorders>
                    <w:tl2br w:val="nil"/>
                    <w:tr2bl w:val="nil"/>
                  </w:tcBorders>
                  <w:vAlign w:val="center"/>
                </w:tcPr>
                <w:p w14:paraId="0ABD9A39">
                  <w:pPr>
                    <w:pStyle w:val="134"/>
                    <w:jc w:val="center"/>
                    <w:rPr>
                      <w:rFonts w:hint="default" w:ascii="Times New Roman" w:hAnsi="Times New Roman" w:eastAsia="宋体" w:cs="Times New Roman"/>
                      <w:color w:val="auto"/>
                    </w:rPr>
                  </w:pPr>
                </w:p>
              </w:tc>
              <w:tc>
                <w:tcPr>
                  <w:tcW w:w="475" w:type="dxa"/>
                  <w:tcBorders>
                    <w:tl2br w:val="nil"/>
                    <w:tr2bl w:val="nil"/>
                  </w:tcBorders>
                  <w:vAlign w:val="center"/>
                </w:tcPr>
                <w:p w14:paraId="036090C8">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1250" w:type="dxa"/>
                  <w:tcBorders>
                    <w:tl2br w:val="nil"/>
                    <w:tr2bl w:val="nil"/>
                  </w:tcBorders>
                  <w:vAlign w:val="center"/>
                </w:tcPr>
                <w:p w14:paraId="2A9EF1DE">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隔声防治措施</w:t>
                  </w:r>
                </w:p>
              </w:tc>
              <w:tc>
                <w:tcPr>
                  <w:tcW w:w="1688" w:type="dxa"/>
                  <w:tcBorders>
                    <w:tl2br w:val="nil"/>
                    <w:tr2bl w:val="nil"/>
                  </w:tcBorders>
                  <w:vAlign w:val="center"/>
                </w:tcPr>
                <w:p w14:paraId="2EB1A7BE">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隔声量</w:t>
                  </w:r>
                  <w:r>
                    <w:rPr>
                      <w:rFonts w:hint="eastAsia" w:ascii="宋体" w:hAnsi="宋体" w:eastAsia="宋体" w:cs="宋体"/>
                      <w:color w:val="auto"/>
                    </w:rPr>
                    <w:t>≥</w:t>
                  </w:r>
                  <w:r>
                    <w:rPr>
                      <w:rFonts w:hint="default" w:ascii="Times New Roman" w:hAnsi="Times New Roman" w:eastAsia="宋体" w:cs="Times New Roman"/>
                      <w:color w:val="auto"/>
                    </w:rPr>
                    <w:t>25dB（A）</w:t>
                  </w:r>
                </w:p>
              </w:tc>
              <w:tc>
                <w:tcPr>
                  <w:tcW w:w="3472" w:type="dxa"/>
                  <w:tcBorders>
                    <w:tl2br w:val="nil"/>
                    <w:tr2bl w:val="nil"/>
                  </w:tcBorders>
                  <w:vAlign w:val="center"/>
                </w:tcPr>
                <w:p w14:paraId="707CF28C">
                  <w:pPr>
                    <w:pStyle w:val="134"/>
                    <w:jc w:val="center"/>
                    <w:rPr>
                      <w:rFonts w:hint="default" w:ascii="Times New Roman" w:hAnsi="Times New Roman" w:eastAsia="宋体" w:cs="Times New Roman"/>
                      <w:color w:val="auto"/>
                    </w:rPr>
                  </w:pPr>
                  <w:r>
                    <w:rPr>
                      <w:rFonts w:hint="eastAsia"/>
                      <w:color w:val="auto"/>
                    </w:rPr>
                    <w:t>厂界达标排放</w:t>
                  </w:r>
                </w:p>
              </w:tc>
            </w:tr>
            <w:tr w14:paraId="7C2F77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961" w:type="dxa"/>
                  <w:vMerge w:val="continue"/>
                  <w:tcBorders>
                    <w:tl2br w:val="nil"/>
                    <w:tr2bl w:val="nil"/>
                  </w:tcBorders>
                  <w:vAlign w:val="center"/>
                </w:tcPr>
                <w:p w14:paraId="1CBE92FB">
                  <w:pPr>
                    <w:pStyle w:val="134"/>
                    <w:jc w:val="center"/>
                    <w:rPr>
                      <w:rFonts w:hint="default" w:ascii="Times New Roman" w:hAnsi="Times New Roman" w:eastAsia="宋体" w:cs="Times New Roman"/>
                      <w:color w:val="auto"/>
                    </w:rPr>
                  </w:pPr>
                </w:p>
              </w:tc>
              <w:tc>
                <w:tcPr>
                  <w:tcW w:w="475" w:type="dxa"/>
                  <w:vMerge w:val="restart"/>
                  <w:tcBorders>
                    <w:tl2br w:val="nil"/>
                    <w:tr2bl w:val="nil"/>
                  </w:tcBorders>
                  <w:vAlign w:val="center"/>
                </w:tcPr>
                <w:p w14:paraId="56196A2B">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固废</w:t>
                  </w:r>
                </w:p>
              </w:tc>
              <w:tc>
                <w:tcPr>
                  <w:tcW w:w="1250" w:type="dxa"/>
                  <w:tcBorders>
                    <w:tl2br w:val="nil"/>
                    <w:tr2bl w:val="nil"/>
                  </w:tcBorders>
                  <w:vAlign w:val="center"/>
                </w:tcPr>
                <w:p w14:paraId="280ADC4C">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一般固废仓库</w:t>
                  </w:r>
                </w:p>
              </w:tc>
              <w:tc>
                <w:tcPr>
                  <w:tcW w:w="1688" w:type="dxa"/>
                  <w:tcBorders>
                    <w:tl2br w:val="nil"/>
                    <w:tr2bl w:val="nil"/>
                  </w:tcBorders>
                  <w:vAlign w:val="center"/>
                </w:tcPr>
                <w:p w14:paraId="43B21FEF">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10m</w:t>
                  </w:r>
                  <w:r>
                    <w:rPr>
                      <w:rFonts w:hint="default" w:ascii="Times New Roman" w:hAnsi="Times New Roman" w:eastAsia="宋体" w:cs="Times New Roman"/>
                      <w:color w:val="auto"/>
                      <w:vertAlign w:val="superscript"/>
                    </w:rPr>
                    <w:t>2</w:t>
                  </w:r>
                </w:p>
              </w:tc>
              <w:tc>
                <w:tcPr>
                  <w:tcW w:w="3472" w:type="dxa"/>
                  <w:tcBorders>
                    <w:tl2br w:val="nil"/>
                    <w:tr2bl w:val="nil"/>
                  </w:tcBorders>
                  <w:vAlign w:val="center"/>
                </w:tcPr>
                <w:p w14:paraId="237FE2E0">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新建</w:t>
                  </w:r>
                </w:p>
              </w:tc>
            </w:tr>
            <w:tr w14:paraId="54D1CC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961" w:type="dxa"/>
                  <w:vMerge w:val="continue"/>
                  <w:tcBorders>
                    <w:tl2br w:val="nil"/>
                    <w:tr2bl w:val="nil"/>
                  </w:tcBorders>
                  <w:vAlign w:val="center"/>
                </w:tcPr>
                <w:p w14:paraId="4D4F0EDF">
                  <w:pPr>
                    <w:pStyle w:val="134"/>
                    <w:jc w:val="center"/>
                    <w:rPr>
                      <w:rFonts w:hint="default" w:ascii="Times New Roman" w:hAnsi="Times New Roman" w:eastAsia="宋体" w:cs="Times New Roman"/>
                      <w:color w:val="auto"/>
                    </w:rPr>
                  </w:pPr>
                </w:p>
              </w:tc>
              <w:tc>
                <w:tcPr>
                  <w:tcW w:w="475" w:type="dxa"/>
                  <w:vMerge w:val="continue"/>
                  <w:tcBorders>
                    <w:tl2br w:val="nil"/>
                    <w:tr2bl w:val="nil"/>
                  </w:tcBorders>
                  <w:vAlign w:val="center"/>
                </w:tcPr>
                <w:p w14:paraId="20BAE74C">
                  <w:pPr>
                    <w:pStyle w:val="134"/>
                    <w:jc w:val="center"/>
                    <w:rPr>
                      <w:rFonts w:hint="eastAsia" w:ascii="Times New Roman" w:hAnsi="Times New Roman" w:eastAsia="宋体" w:cs="Times New Roman"/>
                      <w:color w:val="auto"/>
                      <w:lang w:val="en-US" w:eastAsia="zh-CN"/>
                    </w:rPr>
                  </w:pPr>
                </w:p>
              </w:tc>
              <w:tc>
                <w:tcPr>
                  <w:tcW w:w="1250" w:type="dxa"/>
                  <w:tcBorders>
                    <w:tl2br w:val="nil"/>
                    <w:tr2bl w:val="nil"/>
                  </w:tcBorders>
                  <w:vAlign w:val="center"/>
                </w:tcPr>
                <w:p w14:paraId="6E374FD1">
                  <w:pPr>
                    <w:pStyle w:val="134"/>
                    <w:jc w:val="center"/>
                    <w:rPr>
                      <w:rFonts w:hint="default" w:ascii="Times New Roman" w:hAnsi="Times New Roman" w:eastAsia="宋体" w:cs="Times New Roman"/>
                      <w:color w:val="auto"/>
                    </w:rPr>
                  </w:pPr>
                  <w:r>
                    <w:rPr>
                      <w:rFonts w:hint="eastAsia"/>
                      <w:color w:val="auto"/>
                    </w:rPr>
                    <w:t>危废仓库</w:t>
                  </w:r>
                </w:p>
              </w:tc>
              <w:tc>
                <w:tcPr>
                  <w:tcW w:w="1688" w:type="dxa"/>
                  <w:tcBorders>
                    <w:tl2br w:val="nil"/>
                    <w:tr2bl w:val="nil"/>
                  </w:tcBorders>
                  <w:vAlign w:val="center"/>
                </w:tcPr>
                <w:p w14:paraId="1323BA8E">
                  <w:pPr>
                    <w:pStyle w:val="134"/>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w:t>
                  </w: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2</w:t>
                  </w:r>
                </w:p>
              </w:tc>
              <w:tc>
                <w:tcPr>
                  <w:tcW w:w="3472" w:type="dxa"/>
                  <w:tcBorders>
                    <w:tl2br w:val="nil"/>
                    <w:tr2bl w:val="nil"/>
                  </w:tcBorders>
                  <w:vAlign w:val="center"/>
                </w:tcPr>
                <w:p w14:paraId="00E1F056">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新建</w:t>
                  </w:r>
                </w:p>
              </w:tc>
            </w:tr>
            <w:tr w14:paraId="061DF7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961" w:type="dxa"/>
                  <w:vMerge w:val="continue"/>
                  <w:tcBorders>
                    <w:tl2br w:val="nil"/>
                    <w:tr2bl w:val="nil"/>
                  </w:tcBorders>
                  <w:vAlign w:val="center"/>
                </w:tcPr>
                <w:p w14:paraId="456CD026">
                  <w:pPr>
                    <w:pStyle w:val="134"/>
                    <w:jc w:val="center"/>
                    <w:rPr>
                      <w:rFonts w:hint="default" w:ascii="Times New Roman" w:hAnsi="Times New Roman" w:eastAsia="宋体" w:cs="Times New Roman"/>
                      <w:color w:val="auto"/>
                    </w:rPr>
                  </w:pPr>
                </w:p>
              </w:tc>
              <w:tc>
                <w:tcPr>
                  <w:tcW w:w="475" w:type="dxa"/>
                  <w:tcBorders>
                    <w:tl2br w:val="nil"/>
                    <w:tr2bl w:val="nil"/>
                  </w:tcBorders>
                  <w:vAlign w:val="center"/>
                </w:tcPr>
                <w:p w14:paraId="4993F099">
                  <w:pPr>
                    <w:pStyle w:val="134"/>
                    <w:jc w:val="center"/>
                    <w:rPr>
                      <w:rFonts w:hint="default" w:ascii="Times New Roman" w:hAnsi="Times New Roman" w:eastAsia="宋体" w:cs="Times New Roman"/>
                      <w:color w:val="auto"/>
                    </w:rPr>
                  </w:pPr>
                  <w:r>
                    <w:rPr>
                      <w:rFonts w:hint="eastAsia"/>
                      <w:color w:val="auto"/>
                    </w:rPr>
                    <w:t>风险</w:t>
                  </w:r>
                </w:p>
              </w:tc>
              <w:tc>
                <w:tcPr>
                  <w:tcW w:w="1250" w:type="dxa"/>
                  <w:tcBorders>
                    <w:tl2br w:val="nil"/>
                    <w:tr2bl w:val="nil"/>
                  </w:tcBorders>
                  <w:vAlign w:val="center"/>
                </w:tcPr>
                <w:p w14:paraId="7230AC8C">
                  <w:pPr>
                    <w:pStyle w:val="134"/>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应急事故池</w:t>
                  </w:r>
                </w:p>
              </w:tc>
              <w:tc>
                <w:tcPr>
                  <w:tcW w:w="1688" w:type="dxa"/>
                  <w:tcBorders>
                    <w:tl2br w:val="nil"/>
                    <w:tr2bl w:val="nil"/>
                  </w:tcBorders>
                  <w:vAlign w:val="center"/>
                </w:tcPr>
                <w:p w14:paraId="0C7C40AB">
                  <w:pPr>
                    <w:pStyle w:val="134"/>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120</w:t>
                  </w:r>
                  <w:r>
                    <w:rPr>
                      <w:rFonts w:hint="default" w:ascii="Times New Roman" w:hAnsi="Times New Roman" w:eastAsia="宋体" w:cs="Times New Roman"/>
                      <w:color w:val="auto"/>
                      <w:lang w:val="en-US" w:eastAsia="zh-CN"/>
                    </w:rPr>
                    <w:t>m</w:t>
                  </w:r>
                  <w:r>
                    <w:rPr>
                      <w:rFonts w:hint="default" w:ascii="Times New Roman" w:hAnsi="Times New Roman" w:eastAsia="宋体" w:cs="Times New Roman"/>
                      <w:color w:val="auto"/>
                      <w:vertAlign w:val="superscript"/>
                      <w:lang w:val="en-US" w:eastAsia="zh-CN"/>
                    </w:rPr>
                    <w:t>3</w:t>
                  </w:r>
                </w:p>
              </w:tc>
              <w:tc>
                <w:tcPr>
                  <w:tcW w:w="3472" w:type="dxa"/>
                  <w:tcBorders>
                    <w:tl2br w:val="nil"/>
                    <w:tr2bl w:val="nil"/>
                  </w:tcBorders>
                  <w:vAlign w:val="center"/>
                </w:tcPr>
                <w:p w14:paraId="7D832D9C">
                  <w:pPr>
                    <w:pStyle w:val="134"/>
                    <w:jc w:val="center"/>
                    <w:rPr>
                      <w:rFonts w:hint="default" w:ascii="Times New Roman" w:hAnsi="Times New Roman" w:eastAsia="宋体" w:cs="Times New Roman"/>
                      <w:color w:val="auto"/>
                    </w:rPr>
                  </w:pPr>
                  <w:r>
                    <w:rPr>
                      <w:rFonts w:hint="default" w:ascii="Times New Roman" w:hAnsi="Times New Roman" w:eastAsia="宋体" w:cs="Times New Roman"/>
                      <w:color w:val="auto"/>
                    </w:rPr>
                    <w:t>新建</w:t>
                  </w:r>
                  <w:r>
                    <w:rPr>
                      <w:rFonts w:hint="eastAsia"/>
                      <w:color w:val="auto"/>
                      <w:lang w:val="en-US" w:eastAsia="zh-CN"/>
                    </w:rPr>
                    <w:t>，</w:t>
                  </w:r>
                  <w:r>
                    <w:rPr>
                      <w:rFonts w:hint="eastAsia"/>
                      <w:color w:val="auto"/>
                    </w:rPr>
                    <w:t>满足事故废水收集需求</w:t>
                  </w:r>
                </w:p>
              </w:tc>
            </w:tr>
          </w:tbl>
          <w:p w14:paraId="12369AC3">
            <w:pPr>
              <w:ind w:firstLine="420" w:firstLineChars="20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①雨污管网及排放口：</w:t>
            </w:r>
            <w:r>
              <w:rPr>
                <w:rFonts w:hint="eastAsia" w:ascii="Times New Roman" w:hAnsi="Times New Roman" w:eastAsia="宋体" w:cs="Times New Roman"/>
                <w:color w:val="000000" w:themeColor="text1"/>
                <w:szCs w:val="21"/>
                <w:lang w:val="en-US" w:eastAsia="zh-CN"/>
                <w14:textFill>
                  <w14:solidFill>
                    <w14:schemeClr w14:val="tx1"/>
                  </w14:solidFill>
                </w14:textFill>
              </w:rPr>
              <w:t>江阴市昊远包装材料有限公司</w:t>
            </w:r>
            <w:r>
              <w:rPr>
                <w:rFonts w:hint="default" w:ascii="Times New Roman" w:hAnsi="Times New Roman" w:eastAsia="宋体" w:cs="Times New Roman"/>
                <w:bCs/>
                <w:color w:val="auto"/>
                <w:sz w:val="21"/>
                <w:szCs w:val="21"/>
              </w:rPr>
              <w:t>厂内已按雨污分流原则建设管网，且雨污管网已经覆盖整个厂区，厂内已设置雨水排放口1个和污水接管口1个，生活污水依托厂内污水管网接入江阴市月城综合污水处理有限公司集中处理。本项目不单独设置雨污管网和排放口，均依托</w:t>
            </w:r>
            <w:r>
              <w:rPr>
                <w:rFonts w:hint="eastAsia" w:ascii="Times New Roman" w:hAnsi="Times New Roman" w:eastAsia="宋体" w:cs="Times New Roman"/>
                <w:color w:val="000000" w:themeColor="text1"/>
                <w:szCs w:val="21"/>
                <w:lang w:val="en-US" w:eastAsia="zh-CN"/>
                <w14:textFill>
                  <w14:solidFill>
                    <w14:schemeClr w14:val="tx1"/>
                  </w14:solidFill>
                </w14:textFill>
              </w:rPr>
              <w:t>江阴市昊远包装材料有限公司</w:t>
            </w:r>
            <w:r>
              <w:rPr>
                <w:rFonts w:hint="default" w:ascii="Times New Roman" w:hAnsi="Times New Roman" w:eastAsia="宋体" w:cs="Times New Roman"/>
                <w:bCs/>
                <w:color w:val="auto"/>
                <w:sz w:val="21"/>
                <w:szCs w:val="21"/>
              </w:rPr>
              <w:t>现有排污口。</w:t>
            </w:r>
          </w:p>
          <w:p w14:paraId="53DBDBD8">
            <w:pPr>
              <w:ind w:firstLine="420" w:firstLineChars="200"/>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②本项目租用区域采用厂房隔声、设备隔声等措施、生产设备及废气处理设备的维护和管理均由本建设单位</w:t>
            </w:r>
            <w:r>
              <w:rPr>
                <w:rFonts w:hint="eastAsia" w:ascii="Times New Roman" w:hAnsi="Times New Roman" w:cs="Times New Roman"/>
                <w:color w:val="000000" w:themeColor="text1"/>
                <w:szCs w:val="21"/>
                <w14:textFill>
                  <w14:solidFill>
                    <w14:schemeClr w14:val="tx1"/>
                  </w14:solidFill>
                </w14:textFill>
              </w:rPr>
              <w:t>江阴市宝瑞塑业有限公司</w:t>
            </w:r>
            <w:r>
              <w:rPr>
                <w:rFonts w:hint="eastAsia" w:ascii="Times New Roman" w:hAnsi="Times New Roman" w:eastAsia="宋体" w:cs="Times New Roman"/>
                <w:bCs/>
                <w:color w:val="auto"/>
                <w:sz w:val="21"/>
                <w:szCs w:val="21"/>
              </w:rPr>
              <w:t>负责。</w:t>
            </w:r>
            <w:r>
              <w:rPr>
                <w:rFonts w:hint="eastAsia" w:ascii="Times New Roman" w:hAnsi="Times New Roman" w:cs="Times New Roman"/>
                <w:color w:val="000000" w:themeColor="text1"/>
                <w:szCs w:val="21"/>
                <w14:textFill>
                  <w14:solidFill>
                    <w14:schemeClr w14:val="tx1"/>
                  </w14:solidFill>
                </w14:textFill>
              </w:rPr>
              <w:t>江阴市宝瑞塑业有限公司</w:t>
            </w:r>
            <w:r>
              <w:rPr>
                <w:rFonts w:hint="eastAsia" w:ascii="Times New Roman" w:hAnsi="Times New Roman" w:eastAsia="宋体" w:cs="Times New Roman"/>
                <w:bCs/>
                <w:color w:val="auto"/>
                <w:sz w:val="21"/>
                <w:szCs w:val="21"/>
              </w:rPr>
              <w:t>为本项目的环保责任主体。</w:t>
            </w:r>
          </w:p>
          <w:p w14:paraId="348DBF5E">
            <w:pPr>
              <w:keepNext w:val="0"/>
              <w:keepLines w:val="0"/>
              <w:pageBreakBefore w:val="0"/>
              <w:widowControl w:val="0"/>
              <w:kinsoku/>
              <w:wordWrap/>
              <w:overflowPunct/>
              <w:topLinePunct w:val="0"/>
              <w:autoSpaceDE/>
              <w:autoSpaceDN/>
              <w:bidi w:val="0"/>
              <w:adjustRightInd w:val="0"/>
              <w:snapToGrid w:val="0"/>
              <w:spacing w:before="156" w:beforeLines="50" w:line="360" w:lineRule="auto"/>
              <w:textAlignment w:val="auto"/>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3、原辅材料及理化性质</w:t>
            </w:r>
          </w:p>
          <w:p w14:paraId="3CF34115">
            <w:pPr>
              <w:pStyle w:val="135"/>
              <w:spacing w:line="360" w:lineRule="auto"/>
              <w:ind w:firstLine="496"/>
              <w:rPr>
                <w:rFonts w:hint="default" w:ascii="Times New Roman" w:hAnsi="Times New Roman" w:eastAsia="宋体" w:cs="Times New Roman"/>
                <w:color w:val="auto"/>
              </w:rPr>
            </w:pPr>
            <w:r>
              <w:rPr>
                <w:rFonts w:hint="default" w:ascii="Times New Roman" w:hAnsi="Times New Roman" w:eastAsia="宋体" w:cs="Times New Roman"/>
                <w:color w:val="auto"/>
              </w:rPr>
              <w:t>本项目原辅材料见表2-</w:t>
            </w:r>
            <w:r>
              <w:rPr>
                <w:rFonts w:hint="eastAsia" w:ascii="Times New Roman" w:hAnsi="Times New Roman" w:eastAsia="宋体" w:cs="Times New Roman"/>
                <w:color w:val="auto"/>
              </w:rPr>
              <w:t>3</w:t>
            </w:r>
            <w:r>
              <w:rPr>
                <w:rFonts w:hint="default" w:ascii="Times New Roman" w:hAnsi="Times New Roman" w:eastAsia="宋体" w:cs="Times New Roman"/>
                <w:color w:val="auto"/>
              </w:rPr>
              <w:t>，原辅材料理化性质见表2-</w:t>
            </w:r>
            <w:r>
              <w:rPr>
                <w:rFonts w:hint="eastAsia" w:ascii="Times New Roman" w:hAnsi="Times New Roman" w:eastAsia="宋体" w:cs="Times New Roman"/>
                <w:color w:val="auto"/>
              </w:rPr>
              <w:t>4</w:t>
            </w:r>
            <w:r>
              <w:rPr>
                <w:rFonts w:hint="default" w:ascii="Times New Roman" w:hAnsi="Times New Roman" w:eastAsia="宋体" w:cs="Times New Roman"/>
                <w:color w:val="auto"/>
              </w:rPr>
              <w:t>。</w:t>
            </w:r>
          </w:p>
          <w:p w14:paraId="1E2EC14C">
            <w:pPr>
              <w:spacing w:line="360" w:lineRule="auto"/>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 xml:space="preserve">表2-3 主要原辅料消耗表 </w:t>
            </w:r>
          </w:p>
          <w:tbl>
            <w:tblPr>
              <w:tblStyle w:val="27"/>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29"/>
              <w:gridCol w:w="874"/>
              <w:gridCol w:w="1199"/>
              <w:gridCol w:w="712"/>
              <w:gridCol w:w="775"/>
              <w:gridCol w:w="851"/>
              <w:gridCol w:w="762"/>
              <w:gridCol w:w="624"/>
              <w:gridCol w:w="1050"/>
              <w:gridCol w:w="998"/>
            </w:tblGrid>
            <w:tr w14:paraId="154562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259" w:type="pct"/>
                  <w:vMerge w:val="restart"/>
                  <w:tcBorders>
                    <w:tl2br w:val="nil"/>
                    <w:tr2bl w:val="nil"/>
                  </w:tcBorders>
                  <w:noWrap w:val="0"/>
                  <w:vAlign w:val="center"/>
                </w:tcPr>
                <w:p w14:paraId="09A4A7F9">
                  <w:pPr>
                    <w:pStyle w:val="132"/>
                    <w:rPr>
                      <w:rFonts w:hint="default" w:ascii="Times New Roman" w:hAnsi="Times New Roman" w:eastAsia="宋体" w:cs="Times New Roman"/>
                      <w:b/>
                      <w:color w:val="auto"/>
                    </w:rPr>
                  </w:pPr>
                  <w:r>
                    <w:rPr>
                      <w:rFonts w:hint="default" w:ascii="Times New Roman" w:hAnsi="Times New Roman" w:eastAsia="宋体" w:cs="Times New Roman"/>
                      <w:b/>
                      <w:color w:val="auto"/>
                    </w:rPr>
                    <w:t>序号</w:t>
                  </w:r>
                </w:p>
              </w:tc>
              <w:tc>
                <w:tcPr>
                  <w:tcW w:w="528" w:type="pct"/>
                  <w:vMerge w:val="restart"/>
                  <w:tcBorders>
                    <w:tl2br w:val="nil"/>
                    <w:tr2bl w:val="nil"/>
                  </w:tcBorders>
                  <w:noWrap w:val="0"/>
                  <w:vAlign w:val="center"/>
                </w:tcPr>
                <w:p w14:paraId="5B3AE889">
                  <w:pPr>
                    <w:pStyle w:val="132"/>
                    <w:rPr>
                      <w:rFonts w:hint="default" w:ascii="Times New Roman" w:hAnsi="Times New Roman" w:eastAsia="宋体" w:cs="Times New Roman"/>
                      <w:b/>
                      <w:color w:val="auto"/>
                    </w:rPr>
                  </w:pPr>
                  <w:r>
                    <w:rPr>
                      <w:rFonts w:hint="default" w:ascii="Times New Roman" w:hAnsi="Times New Roman" w:eastAsia="宋体" w:cs="Times New Roman"/>
                      <w:b/>
                      <w:color w:val="auto"/>
                    </w:rPr>
                    <w:t>名称</w:t>
                  </w:r>
                </w:p>
              </w:tc>
              <w:tc>
                <w:tcPr>
                  <w:tcW w:w="724" w:type="pct"/>
                  <w:vMerge w:val="restart"/>
                  <w:tcBorders>
                    <w:tl2br w:val="nil"/>
                    <w:tr2bl w:val="nil"/>
                  </w:tcBorders>
                  <w:noWrap w:val="0"/>
                  <w:vAlign w:val="center"/>
                </w:tcPr>
                <w:p w14:paraId="27BC2FD4">
                  <w:pPr>
                    <w:pStyle w:val="132"/>
                    <w:rPr>
                      <w:rFonts w:hint="default" w:ascii="Times New Roman" w:hAnsi="Times New Roman" w:eastAsia="宋体" w:cs="Times New Roman"/>
                      <w:b/>
                      <w:color w:val="auto"/>
                    </w:rPr>
                  </w:pPr>
                  <w:r>
                    <w:rPr>
                      <w:rFonts w:hint="default" w:ascii="Times New Roman" w:hAnsi="Times New Roman" w:eastAsia="宋体" w:cs="Times New Roman"/>
                      <w:b/>
                      <w:color w:val="auto"/>
                    </w:rPr>
                    <w:t>成分、规格</w:t>
                  </w:r>
                </w:p>
              </w:tc>
              <w:tc>
                <w:tcPr>
                  <w:tcW w:w="1412" w:type="pct"/>
                  <w:gridSpan w:val="3"/>
                  <w:tcBorders>
                    <w:tl2br w:val="nil"/>
                    <w:tr2bl w:val="nil"/>
                  </w:tcBorders>
                  <w:noWrap w:val="0"/>
                  <w:vAlign w:val="center"/>
                </w:tcPr>
                <w:p w14:paraId="3BA7FE52">
                  <w:pPr>
                    <w:pStyle w:val="132"/>
                    <w:rPr>
                      <w:rFonts w:hint="default" w:ascii="Times New Roman" w:hAnsi="Times New Roman" w:eastAsia="宋体" w:cs="Times New Roman"/>
                      <w:b/>
                      <w:color w:val="auto"/>
                    </w:rPr>
                  </w:pPr>
                  <w:r>
                    <w:rPr>
                      <w:rFonts w:hint="default" w:ascii="Times New Roman" w:hAnsi="Times New Roman" w:eastAsia="宋体" w:cs="Times New Roman"/>
                      <w:b/>
                      <w:color w:val="auto"/>
                    </w:rPr>
                    <w:t>年用量（t/a）</w:t>
                  </w:r>
                </w:p>
              </w:tc>
              <w:tc>
                <w:tcPr>
                  <w:tcW w:w="460" w:type="pct"/>
                  <w:vMerge w:val="restart"/>
                  <w:tcBorders>
                    <w:tl2br w:val="nil"/>
                    <w:tr2bl w:val="nil"/>
                  </w:tcBorders>
                  <w:noWrap w:val="0"/>
                  <w:vAlign w:val="center"/>
                </w:tcPr>
                <w:p w14:paraId="54B106B9">
                  <w:pPr>
                    <w:pStyle w:val="132"/>
                    <w:rPr>
                      <w:rFonts w:hint="default" w:ascii="Times New Roman" w:hAnsi="Times New Roman" w:eastAsia="宋体" w:cs="Times New Roman"/>
                      <w:b/>
                      <w:color w:val="auto"/>
                    </w:rPr>
                  </w:pPr>
                  <w:r>
                    <w:rPr>
                      <w:rFonts w:hint="default" w:ascii="Times New Roman" w:hAnsi="Times New Roman" w:eastAsia="宋体" w:cs="Times New Roman"/>
                      <w:b/>
                      <w:color w:val="auto"/>
                    </w:rPr>
                    <w:t>最大储量（t）</w:t>
                  </w:r>
                </w:p>
              </w:tc>
              <w:tc>
                <w:tcPr>
                  <w:tcW w:w="377" w:type="pct"/>
                  <w:vMerge w:val="restart"/>
                  <w:tcBorders>
                    <w:tl2br w:val="nil"/>
                    <w:tr2bl w:val="nil"/>
                  </w:tcBorders>
                  <w:noWrap w:val="0"/>
                  <w:vAlign w:val="center"/>
                </w:tcPr>
                <w:p w14:paraId="03812EF8">
                  <w:pPr>
                    <w:pStyle w:val="132"/>
                    <w:rPr>
                      <w:rFonts w:hint="default" w:ascii="Times New Roman" w:hAnsi="Times New Roman" w:eastAsia="宋体" w:cs="Times New Roman"/>
                      <w:b/>
                      <w:color w:val="auto"/>
                    </w:rPr>
                  </w:pPr>
                  <w:r>
                    <w:rPr>
                      <w:rFonts w:hint="default" w:ascii="Times New Roman" w:hAnsi="Times New Roman" w:eastAsia="宋体" w:cs="Times New Roman"/>
                      <w:b/>
                      <w:color w:val="auto"/>
                    </w:rPr>
                    <w:t>存储位置</w:t>
                  </w:r>
                </w:p>
              </w:tc>
              <w:tc>
                <w:tcPr>
                  <w:tcW w:w="634" w:type="pct"/>
                  <w:vMerge w:val="restart"/>
                  <w:tcBorders>
                    <w:tl2br w:val="nil"/>
                    <w:tr2bl w:val="nil"/>
                  </w:tcBorders>
                  <w:noWrap w:val="0"/>
                  <w:vAlign w:val="center"/>
                </w:tcPr>
                <w:p w14:paraId="6BB366ED">
                  <w:pPr>
                    <w:pStyle w:val="132"/>
                    <w:rPr>
                      <w:rFonts w:hint="default" w:ascii="Times New Roman" w:hAnsi="Times New Roman" w:eastAsia="宋体" w:cs="Times New Roman"/>
                      <w:b/>
                      <w:color w:val="auto"/>
                    </w:rPr>
                  </w:pPr>
                  <w:r>
                    <w:rPr>
                      <w:rFonts w:hint="default" w:ascii="Times New Roman" w:hAnsi="Times New Roman" w:eastAsia="宋体" w:cs="Times New Roman"/>
                      <w:b/>
                      <w:color w:val="auto"/>
                    </w:rPr>
                    <w:t>包装方式</w:t>
                  </w:r>
                </w:p>
              </w:tc>
              <w:tc>
                <w:tcPr>
                  <w:tcW w:w="603" w:type="pct"/>
                  <w:vMerge w:val="restart"/>
                  <w:tcBorders>
                    <w:tl2br w:val="nil"/>
                    <w:tr2bl w:val="nil"/>
                  </w:tcBorders>
                  <w:noWrap w:val="0"/>
                  <w:vAlign w:val="center"/>
                </w:tcPr>
                <w:p w14:paraId="4F016D07">
                  <w:pPr>
                    <w:pStyle w:val="132"/>
                    <w:rPr>
                      <w:rFonts w:hint="default" w:ascii="Times New Roman" w:hAnsi="Times New Roman" w:eastAsia="宋体" w:cs="Times New Roman"/>
                      <w:b/>
                      <w:color w:val="auto"/>
                    </w:rPr>
                  </w:pPr>
                  <w:r>
                    <w:rPr>
                      <w:rFonts w:hint="default" w:ascii="Times New Roman" w:hAnsi="Times New Roman" w:eastAsia="宋体" w:cs="Times New Roman"/>
                      <w:b/>
                      <w:color w:val="auto"/>
                    </w:rPr>
                    <w:t>运输方式</w:t>
                  </w:r>
                </w:p>
              </w:tc>
            </w:tr>
            <w:tr w14:paraId="11D8CC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259" w:type="pct"/>
                  <w:vMerge w:val="continue"/>
                  <w:tcBorders>
                    <w:tl2br w:val="nil"/>
                    <w:tr2bl w:val="nil"/>
                  </w:tcBorders>
                  <w:noWrap w:val="0"/>
                  <w:vAlign w:val="center"/>
                </w:tcPr>
                <w:p w14:paraId="66CCC022">
                  <w:pPr>
                    <w:pStyle w:val="132"/>
                    <w:rPr>
                      <w:rFonts w:hint="default" w:ascii="Times New Roman" w:hAnsi="Times New Roman" w:eastAsia="宋体" w:cs="Times New Roman"/>
                      <w:b/>
                      <w:color w:val="auto"/>
                    </w:rPr>
                  </w:pPr>
                </w:p>
              </w:tc>
              <w:tc>
                <w:tcPr>
                  <w:tcW w:w="528" w:type="pct"/>
                  <w:vMerge w:val="continue"/>
                  <w:tcBorders>
                    <w:tl2br w:val="nil"/>
                    <w:tr2bl w:val="nil"/>
                  </w:tcBorders>
                  <w:noWrap w:val="0"/>
                  <w:vAlign w:val="center"/>
                </w:tcPr>
                <w:p w14:paraId="6BA20ACB">
                  <w:pPr>
                    <w:pStyle w:val="132"/>
                    <w:rPr>
                      <w:rFonts w:hint="default" w:ascii="Times New Roman" w:hAnsi="Times New Roman" w:eastAsia="宋体" w:cs="Times New Roman"/>
                      <w:b/>
                      <w:color w:val="auto"/>
                    </w:rPr>
                  </w:pPr>
                </w:p>
              </w:tc>
              <w:tc>
                <w:tcPr>
                  <w:tcW w:w="724" w:type="pct"/>
                  <w:vMerge w:val="continue"/>
                  <w:tcBorders>
                    <w:tl2br w:val="nil"/>
                    <w:tr2bl w:val="nil"/>
                  </w:tcBorders>
                  <w:noWrap w:val="0"/>
                  <w:vAlign w:val="center"/>
                </w:tcPr>
                <w:p w14:paraId="57969B5D">
                  <w:pPr>
                    <w:pStyle w:val="132"/>
                    <w:rPr>
                      <w:rFonts w:hint="default" w:ascii="Times New Roman" w:hAnsi="Times New Roman" w:eastAsia="宋体" w:cs="Times New Roman"/>
                      <w:b/>
                      <w:color w:val="auto"/>
                    </w:rPr>
                  </w:pPr>
                </w:p>
              </w:tc>
              <w:tc>
                <w:tcPr>
                  <w:tcW w:w="430" w:type="pct"/>
                  <w:tcBorders>
                    <w:tl2br w:val="nil"/>
                    <w:tr2bl w:val="nil"/>
                  </w:tcBorders>
                  <w:noWrap w:val="0"/>
                  <w:vAlign w:val="center"/>
                </w:tcPr>
                <w:p w14:paraId="145F4D59">
                  <w:pPr>
                    <w:spacing w:line="3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迁建前</w:t>
                  </w:r>
                </w:p>
              </w:tc>
              <w:tc>
                <w:tcPr>
                  <w:tcW w:w="468" w:type="pct"/>
                  <w:tcBorders>
                    <w:tl2br w:val="nil"/>
                    <w:tr2bl w:val="nil"/>
                  </w:tcBorders>
                  <w:noWrap w:val="0"/>
                  <w:vAlign w:val="center"/>
                </w:tcPr>
                <w:p w14:paraId="4C153E4A">
                  <w:pPr>
                    <w:spacing w:line="3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迁建后</w:t>
                  </w:r>
                </w:p>
              </w:tc>
              <w:tc>
                <w:tcPr>
                  <w:tcW w:w="514" w:type="pct"/>
                  <w:tcBorders>
                    <w:tl2br w:val="nil"/>
                    <w:tr2bl w:val="nil"/>
                  </w:tcBorders>
                  <w:noWrap w:val="0"/>
                  <w:vAlign w:val="center"/>
                </w:tcPr>
                <w:p w14:paraId="3808BC38">
                  <w:pPr>
                    <w:spacing w:line="3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增减量</w:t>
                  </w:r>
                </w:p>
              </w:tc>
              <w:tc>
                <w:tcPr>
                  <w:tcW w:w="460" w:type="pct"/>
                  <w:vMerge w:val="continue"/>
                  <w:tcBorders>
                    <w:tl2br w:val="nil"/>
                    <w:tr2bl w:val="nil"/>
                  </w:tcBorders>
                  <w:noWrap w:val="0"/>
                  <w:vAlign w:val="center"/>
                </w:tcPr>
                <w:p w14:paraId="3D410057">
                  <w:pPr>
                    <w:pStyle w:val="132"/>
                    <w:rPr>
                      <w:rFonts w:hint="default" w:ascii="Times New Roman" w:hAnsi="Times New Roman" w:eastAsia="宋体" w:cs="Times New Roman"/>
                      <w:b/>
                      <w:color w:val="auto"/>
                    </w:rPr>
                  </w:pPr>
                </w:p>
              </w:tc>
              <w:tc>
                <w:tcPr>
                  <w:tcW w:w="377" w:type="pct"/>
                  <w:vMerge w:val="continue"/>
                  <w:tcBorders>
                    <w:tl2br w:val="nil"/>
                    <w:tr2bl w:val="nil"/>
                  </w:tcBorders>
                  <w:noWrap w:val="0"/>
                  <w:vAlign w:val="center"/>
                </w:tcPr>
                <w:p w14:paraId="5056BC0C">
                  <w:pPr>
                    <w:pStyle w:val="132"/>
                    <w:rPr>
                      <w:rFonts w:hint="default" w:ascii="Times New Roman" w:hAnsi="Times New Roman" w:eastAsia="宋体" w:cs="Times New Roman"/>
                      <w:b/>
                      <w:color w:val="auto"/>
                    </w:rPr>
                  </w:pPr>
                </w:p>
              </w:tc>
              <w:tc>
                <w:tcPr>
                  <w:tcW w:w="634" w:type="pct"/>
                  <w:vMerge w:val="continue"/>
                  <w:tcBorders>
                    <w:tl2br w:val="nil"/>
                    <w:tr2bl w:val="nil"/>
                  </w:tcBorders>
                  <w:noWrap w:val="0"/>
                  <w:vAlign w:val="center"/>
                </w:tcPr>
                <w:p w14:paraId="6BDBC5DA">
                  <w:pPr>
                    <w:pStyle w:val="132"/>
                    <w:rPr>
                      <w:rFonts w:hint="default" w:ascii="Times New Roman" w:hAnsi="Times New Roman" w:eastAsia="宋体" w:cs="Times New Roman"/>
                      <w:b/>
                      <w:color w:val="auto"/>
                    </w:rPr>
                  </w:pPr>
                </w:p>
              </w:tc>
              <w:tc>
                <w:tcPr>
                  <w:tcW w:w="603" w:type="pct"/>
                  <w:vMerge w:val="continue"/>
                  <w:tcBorders>
                    <w:tl2br w:val="nil"/>
                    <w:tr2bl w:val="nil"/>
                  </w:tcBorders>
                  <w:noWrap w:val="0"/>
                  <w:vAlign w:val="center"/>
                </w:tcPr>
                <w:p w14:paraId="56394BBF">
                  <w:pPr>
                    <w:pStyle w:val="132"/>
                    <w:rPr>
                      <w:rFonts w:hint="default" w:ascii="Times New Roman" w:hAnsi="Times New Roman" w:eastAsia="宋体" w:cs="Times New Roman"/>
                      <w:b/>
                      <w:color w:val="auto"/>
                    </w:rPr>
                  </w:pPr>
                </w:p>
              </w:tc>
            </w:tr>
            <w:tr w14:paraId="247C27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9" w:type="pct"/>
                  <w:tcBorders>
                    <w:tl2br w:val="nil"/>
                    <w:tr2bl w:val="nil"/>
                  </w:tcBorders>
                  <w:noWrap w:val="0"/>
                  <w:vAlign w:val="center"/>
                </w:tcPr>
                <w:p w14:paraId="59CDA363">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rPr>
                    <w:t>1</w:t>
                  </w:r>
                </w:p>
              </w:tc>
              <w:tc>
                <w:tcPr>
                  <w:tcW w:w="528" w:type="pct"/>
                  <w:tcBorders>
                    <w:tl2br w:val="nil"/>
                    <w:tr2bl w:val="nil"/>
                  </w:tcBorders>
                  <w:noWrap w:val="0"/>
                  <w:vAlign w:val="center"/>
                </w:tcPr>
                <w:p w14:paraId="747B6BEE">
                  <w:pPr>
                    <w:pStyle w:val="132"/>
                    <w:rPr>
                      <w:rFonts w:hint="default" w:ascii="Times New Roman" w:hAnsi="Times New Roman" w:eastAsia="宋体" w:cs="Times New Roman"/>
                      <w:color w:val="auto"/>
                    </w:rPr>
                  </w:pPr>
                  <w:r>
                    <w:rPr>
                      <w:rFonts w:hint="default" w:ascii="Times New Roman" w:hAnsi="Times New Roman" w:eastAsia="宋体" w:cs="Times New Roman"/>
                      <w:color w:val="auto"/>
                    </w:rPr>
                    <w:t>PP粒子</w:t>
                  </w:r>
                </w:p>
              </w:tc>
              <w:tc>
                <w:tcPr>
                  <w:tcW w:w="724" w:type="pct"/>
                  <w:tcBorders>
                    <w:tl2br w:val="nil"/>
                    <w:tr2bl w:val="nil"/>
                  </w:tcBorders>
                  <w:noWrap w:val="0"/>
                  <w:vAlign w:val="center"/>
                </w:tcPr>
                <w:p w14:paraId="19729DF2">
                  <w:pPr>
                    <w:pStyle w:val="132"/>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聚丙烯</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粒径为4-5mm</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新料</w:t>
                  </w:r>
                </w:p>
              </w:tc>
              <w:tc>
                <w:tcPr>
                  <w:tcW w:w="430" w:type="pct"/>
                  <w:tcBorders>
                    <w:tl2br w:val="nil"/>
                    <w:tr2bl w:val="nil"/>
                  </w:tcBorders>
                  <w:shd w:val="clear" w:color="auto" w:fill="auto"/>
                  <w:noWrap w:val="0"/>
                  <w:vAlign w:val="center"/>
                </w:tcPr>
                <w:p w14:paraId="43E73BB9">
                  <w:pPr>
                    <w:pStyle w:val="132"/>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val="en-US" w:eastAsia="zh-CN"/>
                    </w:rPr>
                    <w:t>420</w:t>
                  </w:r>
                </w:p>
              </w:tc>
              <w:tc>
                <w:tcPr>
                  <w:tcW w:w="468" w:type="pct"/>
                  <w:tcBorders>
                    <w:tl2br w:val="nil"/>
                    <w:tr2bl w:val="nil"/>
                  </w:tcBorders>
                  <w:noWrap w:val="0"/>
                  <w:vAlign w:val="center"/>
                </w:tcPr>
                <w:p w14:paraId="013FC189">
                  <w:pPr>
                    <w:pStyle w:val="132"/>
                    <w:rPr>
                      <w:rFonts w:hint="default" w:ascii="Times New Roman" w:hAnsi="Times New Roman" w:eastAsia="宋体" w:cs="Times New Roman"/>
                      <w:bCs/>
                      <w:color w:val="auto"/>
                      <w:highlight w:val="none"/>
                      <w:lang w:val="en-US" w:eastAsia="zh-CN"/>
                    </w:rPr>
                  </w:pPr>
                  <w:r>
                    <w:rPr>
                      <w:rFonts w:hint="eastAsia" w:cs="Times New Roman"/>
                      <w:bCs/>
                      <w:color w:val="auto"/>
                      <w:highlight w:val="none"/>
                      <w:lang w:val="en-US" w:eastAsia="zh-CN"/>
                    </w:rPr>
                    <w:t>560</w:t>
                  </w:r>
                </w:p>
              </w:tc>
              <w:tc>
                <w:tcPr>
                  <w:tcW w:w="514" w:type="pct"/>
                  <w:tcBorders>
                    <w:tl2br w:val="nil"/>
                    <w:tr2bl w:val="nil"/>
                  </w:tcBorders>
                  <w:noWrap w:val="0"/>
                  <w:vAlign w:val="center"/>
                </w:tcPr>
                <w:p w14:paraId="2993A521">
                  <w:pPr>
                    <w:pStyle w:val="132"/>
                    <w:rPr>
                      <w:rFonts w:hint="default" w:ascii="Times New Roman" w:hAnsi="Times New Roman" w:eastAsia="宋体" w:cs="Times New Roman"/>
                      <w:bCs/>
                      <w:color w:val="auto"/>
                      <w:highlight w:val="none"/>
                      <w:lang w:val="en-US" w:eastAsia="zh-CN"/>
                    </w:rPr>
                  </w:pPr>
                  <w:r>
                    <w:rPr>
                      <w:rFonts w:hint="eastAsia" w:cs="Times New Roman"/>
                      <w:bCs/>
                      <w:color w:val="auto"/>
                      <w:highlight w:val="none"/>
                      <w:lang w:val="en-US" w:eastAsia="zh-CN"/>
                    </w:rPr>
                    <w:t>+140</w:t>
                  </w:r>
                </w:p>
              </w:tc>
              <w:tc>
                <w:tcPr>
                  <w:tcW w:w="460" w:type="pct"/>
                  <w:tcBorders>
                    <w:tl2br w:val="nil"/>
                    <w:tr2bl w:val="nil"/>
                  </w:tcBorders>
                  <w:noWrap w:val="0"/>
                  <w:vAlign w:val="center"/>
                </w:tcPr>
                <w:p w14:paraId="69AAD8DE">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25</w:t>
                  </w:r>
                </w:p>
              </w:tc>
              <w:tc>
                <w:tcPr>
                  <w:tcW w:w="377" w:type="pct"/>
                  <w:vMerge w:val="restart"/>
                  <w:tcBorders>
                    <w:tl2br w:val="nil"/>
                    <w:tr2bl w:val="nil"/>
                  </w:tcBorders>
                  <w:noWrap w:val="0"/>
                  <w:vAlign w:val="center"/>
                </w:tcPr>
                <w:p w14:paraId="0CD84215">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原料仓库</w:t>
                  </w:r>
                </w:p>
              </w:tc>
              <w:tc>
                <w:tcPr>
                  <w:tcW w:w="634" w:type="pct"/>
                  <w:tcBorders>
                    <w:tl2br w:val="nil"/>
                    <w:tr2bl w:val="nil"/>
                  </w:tcBorders>
                  <w:noWrap w:val="0"/>
                  <w:vAlign w:val="center"/>
                </w:tcPr>
                <w:p w14:paraId="6B45CEA8">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rPr>
                    <w:t>袋装/25kg</w:t>
                  </w:r>
                </w:p>
              </w:tc>
              <w:tc>
                <w:tcPr>
                  <w:tcW w:w="603" w:type="pct"/>
                  <w:tcBorders>
                    <w:tl2br w:val="nil"/>
                    <w:tr2bl w:val="nil"/>
                  </w:tcBorders>
                  <w:noWrap w:val="0"/>
                  <w:vAlign w:val="center"/>
                </w:tcPr>
                <w:p w14:paraId="77717779">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rPr>
                    <w:t>国内、汽运</w:t>
                  </w:r>
                </w:p>
              </w:tc>
            </w:tr>
            <w:tr w14:paraId="00FDB1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9" w:type="pct"/>
                  <w:tcBorders>
                    <w:tl2br w:val="nil"/>
                    <w:tr2bl w:val="nil"/>
                  </w:tcBorders>
                  <w:noWrap w:val="0"/>
                  <w:vAlign w:val="center"/>
                </w:tcPr>
                <w:p w14:paraId="4F8BF5C4">
                  <w:pPr>
                    <w:widowControl/>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w:t>
                  </w:r>
                </w:p>
              </w:tc>
              <w:tc>
                <w:tcPr>
                  <w:tcW w:w="528" w:type="pct"/>
                  <w:tcBorders>
                    <w:tl2br w:val="nil"/>
                    <w:tr2bl w:val="nil"/>
                  </w:tcBorders>
                  <w:noWrap w:val="0"/>
                  <w:vAlign w:val="center"/>
                </w:tcPr>
                <w:p w14:paraId="33046A28">
                  <w:pPr>
                    <w:pStyle w:val="132"/>
                    <w:rPr>
                      <w:rFonts w:hint="default" w:ascii="Times New Roman" w:hAnsi="Times New Roman" w:eastAsia="宋体" w:cs="Times New Roman"/>
                      <w:color w:val="auto"/>
                    </w:rPr>
                  </w:pPr>
                  <w:r>
                    <w:rPr>
                      <w:rFonts w:hint="default" w:ascii="Times New Roman" w:hAnsi="Times New Roman" w:eastAsia="宋体" w:cs="Times New Roman"/>
                      <w:color w:val="auto"/>
                    </w:rPr>
                    <w:t>PE粒子</w:t>
                  </w:r>
                </w:p>
              </w:tc>
              <w:tc>
                <w:tcPr>
                  <w:tcW w:w="724" w:type="pct"/>
                  <w:tcBorders>
                    <w:tl2br w:val="nil"/>
                    <w:tr2bl w:val="nil"/>
                  </w:tcBorders>
                  <w:noWrap w:val="0"/>
                  <w:vAlign w:val="center"/>
                </w:tcPr>
                <w:p w14:paraId="01129F23">
                  <w:pPr>
                    <w:pStyle w:val="132"/>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聚乙烯</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粒径为4-5mm</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新料</w:t>
                  </w:r>
                </w:p>
              </w:tc>
              <w:tc>
                <w:tcPr>
                  <w:tcW w:w="430" w:type="pct"/>
                  <w:tcBorders>
                    <w:tl2br w:val="nil"/>
                    <w:tr2bl w:val="nil"/>
                  </w:tcBorders>
                  <w:shd w:val="clear" w:color="auto" w:fill="auto"/>
                  <w:noWrap w:val="0"/>
                  <w:vAlign w:val="center"/>
                </w:tcPr>
                <w:p w14:paraId="17A33520">
                  <w:pPr>
                    <w:pStyle w:val="132"/>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val="en-US" w:eastAsia="zh-CN"/>
                    </w:rPr>
                    <w:t>415</w:t>
                  </w:r>
                </w:p>
              </w:tc>
              <w:tc>
                <w:tcPr>
                  <w:tcW w:w="468" w:type="pct"/>
                  <w:tcBorders>
                    <w:tl2br w:val="nil"/>
                    <w:tr2bl w:val="nil"/>
                  </w:tcBorders>
                  <w:noWrap w:val="0"/>
                  <w:vAlign w:val="center"/>
                </w:tcPr>
                <w:p w14:paraId="48BE8E8F">
                  <w:pPr>
                    <w:pStyle w:val="132"/>
                    <w:rPr>
                      <w:rFonts w:hint="default" w:ascii="Times New Roman" w:hAnsi="Times New Roman" w:eastAsia="宋体" w:cs="Times New Roman"/>
                      <w:bCs/>
                      <w:color w:val="auto"/>
                      <w:highlight w:val="none"/>
                      <w:lang w:val="en-US" w:eastAsia="zh-CN"/>
                    </w:rPr>
                  </w:pPr>
                  <w:r>
                    <w:rPr>
                      <w:rFonts w:hint="eastAsia" w:cs="Times New Roman"/>
                      <w:bCs/>
                      <w:color w:val="auto"/>
                      <w:highlight w:val="none"/>
                      <w:lang w:val="en-US" w:eastAsia="zh-CN"/>
                    </w:rPr>
                    <w:t>560</w:t>
                  </w:r>
                </w:p>
              </w:tc>
              <w:tc>
                <w:tcPr>
                  <w:tcW w:w="514" w:type="pct"/>
                  <w:tcBorders>
                    <w:tl2br w:val="nil"/>
                    <w:tr2bl w:val="nil"/>
                  </w:tcBorders>
                  <w:noWrap w:val="0"/>
                  <w:vAlign w:val="center"/>
                </w:tcPr>
                <w:p w14:paraId="182B1469">
                  <w:pPr>
                    <w:pStyle w:val="132"/>
                    <w:rPr>
                      <w:rFonts w:hint="default" w:ascii="Times New Roman" w:hAnsi="Times New Roman" w:eastAsia="宋体" w:cs="Times New Roman"/>
                      <w:bCs/>
                      <w:color w:val="auto"/>
                      <w:highlight w:val="none"/>
                      <w:lang w:val="en-US" w:eastAsia="zh-CN"/>
                    </w:rPr>
                  </w:pPr>
                  <w:r>
                    <w:rPr>
                      <w:rFonts w:hint="eastAsia" w:cs="Times New Roman"/>
                      <w:bCs/>
                      <w:color w:val="auto"/>
                      <w:highlight w:val="none"/>
                      <w:lang w:val="en-US" w:eastAsia="zh-CN"/>
                    </w:rPr>
                    <w:t>+145</w:t>
                  </w:r>
                </w:p>
              </w:tc>
              <w:tc>
                <w:tcPr>
                  <w:tcW w:w="460" w:type="pct"/>
                  <w:tcBorders>
                    <w:tl2br w:val="nil"/>
                    <w:tr2bl w:val="nil"/>
                  </w:tcBorders>
                  <w:noWrap w:val="0"/>
                  <w:vAlign w:val="center"/>
                </w:tcPr>
                <w:p w14:paraId="7EC05310">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lang w:val="en-US" w:eastAsia="zh-CN"/>
                    </w:rPr>
                    <w:t>25</w:t>
                  </w:r>
                </w:p>
              </w:tc>
              <w:tc>
                <w:tcPr>
                  <w:tcW w:w="377" w:type="pct"/>
                  <w:vMerge w:val="continue"/>
                  <w:tcBorders>
                    <w:tl2br w:val="nil"/>
                    <w:tr2bl w:val="nil"/>
                  </w:tcBorders>
                  <w:noWrap w:val="0"/>
                  <w:vAlign w:val="center"/>
                </w:tcPr>
                <w:p w14:paraId="08621B75">
                  <w:pPr>
                    <w:widowControl/>
                    <w:jc w:val="center"/>
                    <w:rPr>
                      <w:rFonts w:hint="default" w:ascii="Times New Roman" w:hAnsi="Times New Roman" w:eastAsia="宋体" w:cs="Times New Roman"/>
                      <w:bCs/>
                      <w:color w:val="auto"/>
                    </w:rPr>
                  </w:pPr>
                </w:p>
              </w:tc>
              <w:tc>
                <w:tcPr>
                  <w:tcW w:w="634" w:type="pct"/>
                  <w:tcBorders>
                    <w:tl2br w:val="nil"/>
                    <w:tr2bl w:val="nil"/>
                  </w:tcBorders>
                  <w:noWrap w:val="0"/>
                  <w:vAlign w:val="center"/>
                </w:tcPr>
                <w:p w14:paraId="32B0EB72">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rPr>
                    <w:t>袋装/25kg</w:t>
                  </w:r>
                </w:p>
              </w:tc>
              <w:tc>
                <w:tcPr>
                  <w:tcW w:w="603" w:type="pct"/>
                  <w:tcBorders>
                    <w:tl2br w:val="nil"/>
                    <w:tr2bl w:val="nil"/>
                  </w:tcBorders>
                  <w:noWrap w:val="0"/>
                  <w:vAlign w:val="center"/>
                </w:tcPr>
                <w:p w14:paraId="70AF2BAE">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rPr>
                    <w:t>国内、汽运</w:t>
                  </w:r>
                </w:p>
              </w:tc>
            </w:tr>
            <w:tr w14:paraId="085CCE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9" w:type="pct"/>
                  <w:tcBorders>
                    <w:tl2br w:val="nil"/>
                    <w:tr2bl w:val="nil"/>
                  </w:tcBorders>
                  <w:noWrap w:val="0"/>
                  <w:vAlign w:val="center"/>
                </w:tcPr>
                <w:p w14:paraId="08D02AB9">
                  <w:pPr>
                    <w:widowControl/>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3</w:t>
                  </w:r>
                </w:p>
              </w:tc>
              <w:tc>
                <w:tcPr>
                  <w:tcW w:w="528" w:type="pct"/>
                  <w:tcBorders>
                    <w:tl2br w:val="nil"/>
                    <w:tr2bl w:val="nil"/>
                  </w:tcBorders>
                  <w:noWrap w:val="0"/>
                  <w:vAlign w:val="center"/>
                </w:tcPr>
                <w:p w14:paraId="1617437E">
                  <w:pPr>
                    <w:pStyle w:val="132"/>
                    <w:rPr>
                      <w:rFonts w:hint="default" w:ascii="Times New Roman" w:hAnsi="Times New Roman" w:eastAsia="宋体" w:cs="Times New Roman"/>
                      <w:bCs/>
                      <w:color w:val="auto"/>
                    </w:rPr>
                  </w:pPr>
                  <w:r>
                    <w:rPr>
                      <w:rFonts w:hint="default" w:ascii="Times New Roman" w:hAnsi="Times New Roman" w:eastAsia="宋体" w:cs="Times New Roman"/>
                      <w:color w:val="auto"/>
                    </w:rPr>
                    <w:t>外购配件</w:t>
                  </w:r>
                </w:p>
              </w:tc>
              <w:tc>
                <w:tcPr>
                  <w:tcW w:w="724" w:type="pct"/>
                  <w:tcBorders>
                    <w:tl2br w:val="nil"/>
                    <w:tr2bl w:val="nil"/>
                  </w:tcBorders>
                  <w:noWrap w:val="0"/>
                  <w:vAlign w:val="center"/>
                </w:tcPr>
                <w:p w14:paraId="0C898ACA">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rPr>
                    <w:t>塑料、弹簧、吸管、垫片</w:t>
                  </w:r>
                </w:p>
              </w:tc>
              <w:tc>
                <w:tcPr>
                  <w:tcW w:w="430" w:type="pct"/>
                  <w:tcBorders>
                    <w:tl2br w:val="nil"/>
                    <w:tr2bl w:val="nil"/>
                  </w:tcBorders>
                  <w:shd w:val="clear" w:color="auto" w:fill="auto"/>
                  <w:noWrap w:val="0"/>
                  <w:vAlign w:val="center"/>
                </w:tcPr>
                <w:p w14:paraId="7C241C99">
                  <w:pPr>
                    <w:pStyle w:val="132"/>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lang w:val="en-US" w:eastAsia="zh-CN"/>
                    </w:rPr>
                    <w:t>5</w:t>
                  </w:r>
                  <w:r>
                    <w:rPr>
                      <w:rFonts w:hint="default" w:ascii="Times New Roman" w:hAnsi="Times New Roman" w:eastAsia="宋体" w:cs="Times New Roman"/>
                      <w:bCs/>
                      <w:color w:val="auto"/>
                    </w:rPr>
                    <w:t>00</w:t>
                  </w:r>
                </w:p>
              </w:tc>
              <w:tc>
                <w:tcPr>
                  <w:tcW w:w="468" w:type="pct"/>
                  <w:tcBorders>
                    <w:tl2br w:val="nil"/>
                    <w:tr2bl w:val="nil"/>
                  </w:tcBorders>
                  <w:noWrap w:val="0"/>
                  <w:vAlign w:val="center"/>
                </w:tcPr>
                <w:p w14:paraId="756DB87E">
                  <w:pPr>
                    <w:pStyle w:val="132"/>
                    <w:rPr>
                      <w:rFonts w:hint="default" w:ascii="Times New Roman" w:hAnsi="Times New Roman" w:eastAsia="宋体" w:cs="Times New Roman"/>
                      <w:bCs/>
                      <w:color w:val="auto"/>
                      <w:lang w:val="en-US" w:eastAsia="zh-CN"/>
                    </w:rPr>
                  </w:pPr>
                  <w:r>
                    <w:rPr>
                      <w:rFonts w:hint="eastAsia" w:cs="Times New Roman"/>
                      <w:bCs/>
                      <w:color w:val="auto"/>
                      <w:lang w:val="en-US" w:eastAsia="zh-CN"/>
                    </w:rPr>
                    <w:t>878</w:t>
                  </w:r>
                </w:p>
              </w:tc>
              <w:tc>
                <w:tcPr>
                  <w:tcW w:w="514" w:type="pct"/>
                  <w:tcBorders>
                    <w:tl2br w:val="nil"/>
                    <w:tr2bl w:val="nil"/>
                  </w:tcBorders>
                  <w:noWrap w:val="0"/>
                  <w:vAlign w:val="center"/>
                </w:tcPr>
                <w:p w14:paraId="62E3A400">
                  <w:pPr>
                    <w:pStyle w:val="132"/>
                    <w:rPr>
                      <w:rFonts w:hint="default" w:ascii="Times New Roman" w:hAnsi="Times New Roman" w:eastAsia="宋体" w:cs="Times New Roman"/>
                      <w:bCs/>
                      <w:color w:val="auto"/>
                      <w:lang w:val="en-US" w:eastAsia="zh-CN"/>
                    </w:rPr>
                  </w:pPr>
                  <w:r>
                    <w:rPr>
                      <w:rFonts w:hint="eastAsia" w:cs="Times New Roman"/>
                      <w:bCs/>
                      <w:color w:val="auto"/>
                      <w:lang w:val="en-US" w:eastAsia="zh-CN"/>
                    </w:rPr>
                    <w:t>+378</w:t>
                  </w:r>
                </w:p>
              </w:tc>
              <w:tc>
                <w:tcPr>
                  <w:tcW w:w="460" w:type="pct"/>
                  <w:tcBorders>
                    <w:tl2br w:val="nil"/>
                    <w:tr2bl w:val="nil"/>
                  </w:tcBorders>
                  <w:noWrap w:val="0"/>
                  <w:vAlign w:val="center"/>
                </w:tcPr>
                <w:p w14:paraId="34F2D2B7">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25</w:t>
                  </w:r>
                </w:p>
              </w:tc>
              <w:tc>
                <w:tcPr>
                  <w:tcW w:w="377" w:type="pct"/>
                  <w:vMerge w:val="continue"/>
                  <w:tcBorders>
                    <w:tl2br w:val="nil"/>
                    <w:tr2bl w:val="nil"/>
                  </w:tcBorders>
                  <w:noWrap w:val="0"/>
                  <w:vAlign w:val="center"/>
                </w:tcPr>
                <w:p w14:paraId="49DB1627">
                  <w:pPr>
                    <w:widowControl/>
                    <w:jc w:val="center"/>
                    <w:rPr>
                      <w:rFonts w:hint="default" w:ascii="Times New Roman" w:hAnsi="Times New Roman" w:eastAsia="宋体" w:cs="Times New Roman"/>
                      <w:bCs/>
                      <w:color w:val="auto"/>
                    </w:rPr>
                  </w:pPr>
                </w:p>
              </w:tc>
              <w:tc>
                <w:tcPr>
                  <w:tcW w:w="634" w:type="pct"/>
                  <w:tcBorders>
                    <w:tl2br w:val="nil"/>
                    <w:tr2bl w:val="nil"/>
                  </w:tcBorders>
                  <w:noWrap w:val="0"/>
                  <w:vAlign w:val="center"/>
                </w:tcPr>
                <w:p w14:paraId="20CDE174">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rPr>
                    <w:t>散装</w:t>
                  </w:r>
                </w:p>
              </w:tc>
              <w:tc>
                <w:tcPr>
                  <w:tcW w:w="603" w:type="pct"/>
                  <w:tcBorders>
                    <w:tl2br w:val="nil"/>
                    <w:tr2bl w:val="nil"/>
                  </w:tcBorders>
                  <w:noWrap w:val="0"/>
                  <w:vAlign w:val="center"/>
                </w:tcPr>
                <w:p w14:paraId="1C9C6ECA">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rPr>
                    <w:t>国内、汽运</w:t>
                  </w:r>
                </w:p>
              </w:tc>
            </w:tr>
            <w:tr w14:paraId="21E247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9" w:type="pct"/>
                  <w:tcBorders>
                    <w:tl2br w:val="nil"/>
                    <w:tr2bl w:val="nil"/>
                  </w:tcBorders>
                  <w:noWrap w:val="0"/>
                  <w:vAlign w:val="center"/>
                </w:tcPr>
                <w:p w14:paraId="0631DD80">
                  <w:pPr>
                    <w:widowControl/>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4</w:t>
                  </w:r>
                </w:p>
              </w:tc>
              <w:tc>
                <w:tcPr>
                  <w:tcW w:w="528" w:type="pct"/>
                  <w:tcBorders>
                    <w:tl2br w:val="nil"/>
                    <w:tr2bl w:val="nil"/>
                  </w:tcBorders>
                  <w:noWrap w:val="0"/>
                  <w:vAlign w:val="center"/>
                </w:tcPr>
                <w:p w14:paraId="2AE6C429">
                  <w:pPr>
                    <w:pStyle w:val="132"/>
                    <w:rPr>
                      <w:rFonts w:hint="default" w:ascii="Times New Roman" w:hAnsi="Times New Roman" w:eastAsia="宋体" w:cs="Times New Roman"/>
                      <w:color w:val="auto"/>
                    </w:rPr>
                  </w:pPr>
                  <w:r>
                    <w:rPr>
                      <w:rFonts w:hint="default" w:ascii="Times New Roman" w:hAnsi="Times New Roman" w:eastAsia="宋体" w:cs="Times New Roman"/>
                      <w:color w:val="auto"/>
                    </w:rPr>
                    <w:t>色母粒</w:t>
                  </w:r>
                </w:p>
              </w:tc>
              <w:tc>
                <w:tcPr>
                  <w:tcW w:w="724" w:type="pct"/>
                  <w:tcBorders>
                    <w:tl2br w:val="nil"/>
                    <w:tr2bl w:val="nil"/>
                  </w:tcBorders>
                  <w:noWrap w:val="0"/>
                  <w:vAlign w:val="center"/>
                </w:tcPr>
                <w:p w14:paraId="78F7E708">
                  <w:pPr>
                    <w:pStyle w:val="132"/>
                    <w:rPr>
                      <w:rFonts w:hint="default" w:ascii="Times New Roman" w:hAnsi="Times New Roman" w:eastAsia="宋体" w:cs="Times New Roman"/>
                      <w:bCs/>
                      <w:color w:val="auto"/>
                    </w:rPr>
                  </w:pPr>
                  <w:r>
                    <w:rPr>
                      <w:rFonts w:hint="default" w:ascii="Times New Roman" w:hAnsi="Times New Roman" w:eastAsia="宋体" w:cs="Times New Roman"/>
                      <w:color w:val="auto"/>
                    </w:rPr>
                    <w:t>PP、PE</w:t>
                  </w:r>
                </w:p>
              </w:tc>
              <w:tc>
                <w:tcPr>
                  <w:tcW w:w="430" w:type="pct"/>
                  <w:tcBorders>
                    <w:tl2br w:val="nil"/>
                    <w:tr2bl w:val="nil"/>
                  </w:tcBorders>
                  <w:shd w:val="clear" w:color="auto" w:fill="auto"/>
                  <w:noWrap w:val="0"/>
                  <w:vAlign w:val="center"/>
                </w:tcPr>
                <w:p w14:paraId="29096568">
                  <w:pPr>
                    <w:pStyle w:val="132"/>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rPr>
                    <w:t>5</w:t>
                  </w:r>
                </w:p>
              </w:tc>
              <w:tc>
                <w:tcPr>
                  <w:tcW w:w="468" w:type="pct"/>
                  <w:tcBorders>
                    <w:tl2br w:val="nil"/>
                    <w:tr2bl w:val="nil"/>
                  </w:tcBorders>
                  <w:noWrap w:val="0"/>
                  <w:vAlign w:val="center"/>
                </w:tcPr>
                <w:p w14:paraId="0115483B">
                  <w:pPr>
                    <w:pStyle w:val="132"/>
                    <w:rPr>
                      <w:rFonts w:hint="default" w:ascii="Times New Roman" w:hAnsi="Times New Roman" w:eastAsia="宋体" w:cs="Times New Roman"/>
                      <w:bCs/>
                      <w:color w:val="auto"/>
                      <w:lang w:val="en-US" w:eastAsia="zh-CN"/>
                    </w:rPr>
                  </w:pPr>
                  <w:r>
                    <w:rPr>
                      <w:rFonts w:hint="eastAsia" w:cs="Times New Roman"/>
                      <w:bCs/>
                      <w:color w:val="auto"/>
                      <w:lang w:val="en-US" w:eastAsia="zh-CN"/>
                    </w:rPr>
                    <w:t>7</w:t>
                  </w:r>
                </w:p>
              </w:tc>
              <w:tc>
                <w:tcPr>
                  <w:tcW w:w="514" w:type="pct"/>
                  <w:tcBorders>
                    <w:tl2br w:val="nil"/>
                    <w:tr2bl w:val="nil"/>
                  </w:tcBorders>
                  <w:noWrap w:val="0"/>
                  <w:vAlign w:val="center"/>
                </w:tcPr>
                <w:p w14:paraId="5DEF9431">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w:t>
                  </w:r>
                  <w:r>
                    <w:rPr>
                      <w:rFonts w:hint="eastAsia" w:cs="Times New Roman"/>
                      <w:bCs/>
                      <w:color w:val="auto"/>
                      <w:lang w:val="en-US" w:eastAsia="zh-CN"/>
                    </w:rPr>
                    <w:t>2</w:t>
                  </w:r>
                </w:p>
              </w:tc>
              <w:tc>
                <w:tcPr>
                  <w:tcW w:w="460" w:type="pct"/>
                  <w:tcBorders>
                    <w:tl2br w:val="nil"/>
                    <w:tr2bl w:val="nil"/>
                  </w:tcBorders>
                  <w:noWrap w:val="0"/>
                  <w:vAlign w:val="center"/>
                </w:tcPr>
                <w:p w14:paraId="0203026F">
                  <w:pPr>
                    <w:pStyle w:val="132"/>
                    <w:rPr>
                      <w:rFonts w:hint="eastAsia" w:ascii="Times New Roman" w:hAnsi="Times New Roman" w:eastAsia="宋体" w:cs="Times New Roman"/>
                      <w:bCs/>
                      <w:color w:val="auto"/>
                      <w:lang w:eastAsia="zh-CN"/>
                    </w:rPr>
                  </w:pPr>
                  <w:r>
                    <w:rPr>
                      <w:rFonts w:hint="eastAsia" w:cs="Times New Roman"/>
                      <w:bCs/>
                      <w:color w:val="auto"/>
                      <w:lang w:val="en-US" w:eastAsia="zh-CN"/>
                    </w:rPr>
                    <w:t>2</w:t>
                  </w:r>
                </w:p>
              </w:tc>
              <w:tc>
                <w:tcPr>
                  <w:tcW w:w="377" w:type="pct"/>
                  <w:vMerge w:val="continue"/>
                  <w:tcBorders>
                    <w:tl2br w:val="nil"/>
                    <w:tr2bl w:val="nil"/>
                  </w:tcBorders>
                  <w:noWrap w:val="0"/>
                  <w:vAlign w:val="center"/>
                </w:tcPr>
                <w:p w14:paraId="0459EFFB">
                  <w:pPr>
                    <w:widowControl/>
                    <w:jc w:val="center"/>
                    <w:rPr>
                      <w:rFonts w:hint="default" w:ascii="Times New Roman" w:hAnsi="Times New Roman" w:eastAsia="宋体" w:cs="Times New Roman"/>
                      <w:bCs/>
                      <w:color w:val="auto"/>
                    </w:rPr>
                  </w:pPr>
                </w:p>
              </w:tc>
              <w:tc>
                <w:tcPr>
                  <w:tcW w:w="634" w:type="pct"/>
                  <w:tcBorders>
                    <w:tl2br w:val="nil"/>
                    <w:tr2bl w:val="nil"/>
                  </w:tcBorders>
                  <w:noWrap w:val="0"/>
                  <w:vAlign w:val="center"/>
                </w:tcPr>
                <w:p w14:paraId="4F9238B7">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rPr>
                    <w:t>袋装/25kg</w:t>
                  </w:r>
                </w:p>
              </w:tc>
              <w:tc>
                <w:tcPr>
                  <w:tcW w:w="603" w:type="pct"/>
                  <w:tcBorders>
                    <w:tl2br w:val="nil"/>
                    <w:tr2bl w:val="nil"/>
                  </w:tcBorders>
                  <w:noWrap w:val="0"/>
                  <w:vAlign w:val="center"/>
                </w:tcPr>
                <w:p w14:paraId="475E28A9">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rPr>
                    <w:t>国内、汽运</w:t>
                  </w:r>
                </w:p>
              </w:tc>
            </w:tr>
            <w:tr w14:paraId="31D90C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9" w:type="pct"/>
                  <w:tcBorders>
                    <w:tl2br w:val="nil"/>
                    <w:tr2bl w:val="nil"/>
                  </w:tcBorders>
                  <w:noWrap w:val="0"/>
                  <w:vAlign w:val="center"/>
                </w:tcPr>
                <w:p w14:paraId="26F9D65F">
                  <w:pPr>
                    <w:widowControl/>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5</w:t>
                  </w:r>
                </w:p>
              </w:tc>
              <w:tc>
                <w:tcPr>
                  <w:tcW w:w="528" w:type="pct"/>
                  <w:tcBorders>
                    <w:tl2br w:val="nil"/>
                    <w:tr2bl w:val="nil"/>
                  </w:tcBorders>
                  <w:noWrap w:val="0"/>
                  <w:vAlign w:val="center"/>
                </w:tcPr>
                <w:p w14:paraId="00B63264">
                  <w:pPr>
                    <w:pStyle w:val="132"/>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机油</w:t>
                  </w:r>
                </w:p>
              </w:tc>
              <w:tc>
                <w:tcPr>
                  <w:tcW w:w="724" w:type="pct"/>
                  <w:tcBorders>
                    <w:tl2br w:val="nil"/>
                    <w:tr2bl w:val="nil"/>
                  </w:tcBorders>
                  <w:noWrap w:val="0"/>
                  <w:vAlign w:val="center"/>
                </w:tcPr>
                <w:p w14:paraId="57D3FFFB">
                  <w:pPr>
                    <w:pStyle w:val="132"/>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矿物油</w:t>
                  </w:r>
                </w:p>
              </w:tc>
              <w:tc>
                <w:tcPr>
                  <w:tcW w:w="430" w:type="pct"/>
                  <w:tcBorders>
                    <w:tl2br w:val="nil"/>
                    <w:tr2bl w:val="nil"/>
                  </w:tcBorders>
                  <w:noWrap w:val="0"/>
                  <w:vAlign w:val="center"/>
                </w:tcPr>
                <w:p w14:paraId="53762828">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0.1</w:t>
                  </w:r>
                </w:p>
              </w:tc>
              <w:tc>
                <w:tcPr>
                  <w:tcW w:w="468" w:type="pct"/>
                  <w:tcBorders>
                    <w:tl2br w:val="nil"/>
                    <w:tr2bl w:val="nil"/>
                  </w:tcBorders>
                  <w:noWrap w:val="0"/>
                  <w:vAlign w:val="center"/>
                </w:tcPr>
                <w:p w14:paraId="663ABB11">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0.1</w:t>
                  </w:r>
                </w:p>
              </w:tc>
              <w:tc>
                <w:tcPr>
                  <w:tcW w:w="514" w:type="pct"/>
                  <w:tcBorders>
                    <w:tl2br w:val="nil"/>
                    <w:tr2bl w:val="nil"/>
                  </w:tcBorders>
                  <w:noWrap w:val="0"/>
                  <w:vAlign w:val="center"/>
                </w:tcPr>
                <w:p w14:paraId="076513BF">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0</w:t>
                  </w:r>
                </w:p>
              </w:tc>
              <w:tc>
                <w:tcPr>
                  <w:tcW w:w="460" w:type="pct"/>
                  <w:tcBorders>
                    <w:tl2br w:val="nil"/>
                    <w:tr2bl w:val="nil"/>
                  </w:tcBorders>
                  <w:noWrap w:val="0"/>
                  <w:vAlign w:val="center"/>
                </w:tcPr>
                <w:p w14:paraId="7C67634F">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0.1</w:t>
                  </w:r>
                </w:p>
              </w:tc>
              <w:tc>
                <w:tcPr>
                  <w:tcW w:w="377" w:type="pct"/>
                  <w:vMerge w:val="continue"/>
                  <w:tcBorders>
                    <w:tl2br w:val="nil"/>
                    <w:tr2bl w:val="nil"/>
                  </w:tcBorders>
                  <w:noWrap w:val="0"/>
                  <w:vAlign w:val="center"/>
                </w:tcPr>
                <w:p w14:paraId="42A2D153">
                  <w:pPr>
                    <w:widowControl/>
                    <w:jc w:val="center"/>
                    <w:rPr>
                      <w:rFonts w:hint="default" w:ascii="Times New Roman" w:hAnsi="Times New Roman" w:eastAsia="宋体" w:cs="Times New Roman"/>
                      <w:bCs/>
                      <w:color w:val="auto"/>
                    </w:rPr>
                  </w:pPr>
                </w:p>
              </w:tc>
              <w:tc>
                <w:tcPr>
                  <w:tcW w:w="634" w:type="pct"/>
                  <w:tcBorders>
                    <w:tl2br w:val="nil"/>
                    <w:tr2bl w:val="nil"/>
                  </w:tcBorders>
                  <w:noWrap w:val="0"/>
                  <w:vAlign w:val="center"/>
                </w:tcPr>
                <w:p w14:paraId="0BD40D0D">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桶装</w:t>
                  </w:r>
                  <w:r>
                    <w:rPr>
                      <w:rFonts w:hint="default" w:ascii="Times New Roman" w:hAnsi="Times New Roman" w:eastAsia="宋体" w:cs="Times New Roman"/>
                      <w:bCs/>
                      <w:color w:val="auto"/>
                    </w:rPr>
                    <w:t>/25kg</w:t>
                  </w:r>
                </w:p>
              </w:tc>
              <w:tc>
                <w:tcPr>
                  <w:tcW w:w="603" w:type="pct"/>
                  <w:tcBorders>
                    <w:tl2br w:val="nil"/>
                    <w:tr2bl w:val="nil"/>
                  </w:tcBorders>
                  <w:noWrap w:val="0"/>
                  <w:vAlign w:val="center"/>
                </w:tcPr>
                <w:p w14:paraId="4DF4F9BB">
                  <w:pPr>
                    <w:pStyle w:val="132"/>
                    <w:rPr>
                      <w:rFonts w:hint="default" w:ascii="Times New Roman" w:hAnsi="Times New Roman" w:eastAsia="宋体" w:cs="Times New Roman"/>
                      <w:bCs/>
                      <w:color w:val="auto"/>
                    </w:rPr>
                  </w:pPr>
                  <w:r>
                    <w:rPr>
                      <w:rFonts w:hint="default" w:ascii="Times New Roman" w:hAnsi="Times New Roman" w:eastAsia="宋体" w:cs="Times New Roman"/>
                      <w:bCs/>
                      <w:color w:val="auto"/>
                    </w:rPr>
                    <w:t>国内、汽运</w:t>
                  </w:r>
                </w:p>
              </w:tc>
            </w:tr>
            <w:tr w14:paraId="2FE11A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9" w:type="pct"/>
                  <w:tcBorders>
                    <w:tl2br w:val="nil"/>
                    <w:tr2bl w:val="nil"/>
                  </w:tcBorders>
                  <w:noWrap w:val="0"/>
                  <w:vAlign w:val="center"/>
                </w:tcPr>
                <w:p w14:paraId="264AB564">
                  <w:pPr>
                    <w:widowControl/>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6</w:t>
                  </w:r>
                </w:p>
              </w:tc>
              <w:tc>
                <w:tcPr>
                  <w:tcW w:w="528" w:type="pct"/>
                  <w:tcBorders>
                    <w:tl2br w:val="nil"/>
                    <w:tr2bl w:val="nil"/>
                  </w:tcBorders>
                  <w:noWrap w:val="0"/>
                  <w:vAlign w:val="center"/>
                </w:tcPr>
                <w:p w14:paraId="79AF97BB">
                  <w:pPr>
                    <w:pStyle w:val="132"/>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模具</w:t>
                  </w:r>
                </w:p>
              </w:tc>
              <w:tc>
                <w:tcPr>
                  <w:tcW w:w="724" w:type="pct"/>
                  <w:tcBorders>
                    <w:tl2br w:val="nil"/>
                    <w:tr2bl w:val="nil"/>
                  </w:tcBorders>
                  <w:noWrap w:val="0"/>
                  <w:vAlign w:val="center"/>
                </w:tcPr>
                <w:p w14:paraId="2A8E3512">
                  <w:pPr>
                    <w:pStyle w:val="132"/>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金属</w:t>
                  </w:r>
                </w:p>
              </w:tc>
              <w:tc>
                <w:tcPr>
                  <w:tcW w:w="430" w:type="pct"/>
                  <w:tcBorders>
                    <w:tl2br w:val="nil"/>
                    <w:tr2bl w:val="nil"/>
                  </w:tcBorders>
                  <w:noWrap w:val="0"/>
                  <w:vAlign w:val="center"/>
                </w:tcPr>
                <w:p w14:paraId="1E6FD432">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0</w:t>
                  </w:r>
                </w:p>
              </w:tc>
              <w:tc>
                <w:tcPr>
                  <w:tcW w:w="468" w:type="pct"/>
                  <w:tcBorders>
                    <w:tl2br w:val="nil"/>
                    <w:tr2bl w:val="nil"/>
                  </w:tcBorders>
                  <w:noWrap w:val="0"/>
                  <w:vAlign w:val="center"/>
                </w:tcPr>
                <w:p w14:paraId="1FAE892E">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1</w:t>
                  </w:r>
                </w:p>
              </w:tc>
              <w:tc>
                <w:tcPr>
                  <w:tcW w:w="514" w:type="pct"/>
                  <w:tcBorders>
                    <w:tl2br w:val="nil"/>
                    <w:tr2bl w:val="nil"/>
                  </w:tcBorders>
                  <w:noWrap w:val="0"/>
                  <w:vAlign w:val="center"/>
                </w:tcPr>
                <w:p w14:paraId="786C7D5E">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+1</w:t>
                  </w:r>
                </w:p>
              </w:tc>
              <w:tc>
                <w:tcPr>
                  <w:tcW w:w="460" w:type="pct"/>
                  <w:tcBorders>
                    <w:tl2br w:val="nil"/>
                    <w:tr2bl w:val="nil"/>
                  </w:tcBorders>
                  <w:noWrap w:val="0"/>
                  <w:vAlign w:val="center"/>
                </w:tcPr>
                <w:p w14:paraId="4C29DF13">
                  <w:pPr>
                    <w:pStyle w:val="132"/>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0.25</w:t>
                  </w:r>
                </w:p>
              </w:tc>
              <w:tc>
                <w:tcPr>
                  <w:tcW w:w="377" w:type="pct"/>
                  <w:vMerge w:val="continue"/>
                  <w:tcBorders>
                    <w:tl2br w:val="nil"/>
                    <w:tr2bl w:val="nil"/>
                  </w:tcBorders>
                  <w:noWrap w:val="0"/>
                  <w:vAlign w:val="center"/>
                </w:tcPr>
                <w:p w14:paraId="1AB2D399">
                  <w:pPr>
                    <w:widowControl/>
                    <w:jc w:val="center"/>
                    <w:rPr>
                      <w:rFonts w:hint="default" w:ascii="Times New Roman" w:hAnsi="Times New Roman" w:eastAsia="宋体" w:cs="Times New Roman"/>
                      <w:bCs/>
                      <w:color w:val="auto"/>
                    </w:rPr>
                  </w:pPr>
                </w:p>
              </w:tc>
              <w:tc>
                <w:tcPr>
                  <w:tcW w:w="634" w:type="pct"/>
                  <w:tcBorders>
                    <w:tl2br w:val="nil"/>
                    <w:tr2bl w:val="nil"/>
                  </w:tcBorders>
                  <w:shd w:val="clear" w:color="auto" w:fill="auto"/>
                  <w:noWrap w:val="0"/>
                  <w:vAlign w:val="center"/>
                </w:tcPr>
                <w:p w14:paraId="211EFAAD">
                  <w:pPr>
                    <w:pStyle w:val="132"/>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rPr>
                    <w:t>散装</w:t>
                  </w:r>
                </w:p>
              </w:tc>
              <w:tc>
                <w:tcPr>
                  <w:tcW w:w="603" w:type="pct"/>
                  <w:tcBorders>
                    <w:tl2br w:val="nil"/>
                    <w:tr2bl w:val="nil"/>
                  </w:tcBorders>
                  <w:shd w:val="clear" w:color="auto" w:fill="auto"/>
                  <w:noWrap w:val="0"/>
                  <w:vAlign w:val="center"/>
                </w:tcPr>
                <w:p w14:paraId="70EBE2A4">
                  <w:pPr>
                    <w:pStyle w:val="132"/>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rPr>
                    <w:t>国内、汽运</w:t>
                  </w:r>
                </w:p>
              </w:tc>
            </w:tr>
            <w:tr w14:paraId="5AB06C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59" w:type="pct"/>
                  <w:tcBorders>
                    <w:tl2br w:val="nil"/>
                    <w:tr2bl w:val="nil"/>
                  </w:tcBorders>
                  <w:noWrap w:val="0"/>
                  <w:vAlign w:val="center"/>
                </w:tcPr>
                <w:p w14:paraId="2E0C8CFB">
                  <w:pPr>
                    <w:widowControl/>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7</w:t>
                  </w:r>
                </w:p>
              </w:tc>
              <w:tc>
                <w:tcPr>
                  <w:tcW w:w="528" w:type="pct"/>
                  <w:tcBorders>
                    <w:tl2br w:val="nil"/>
                    <w:tr2bl w:val="nil"/>
                  </w:tcBorders>
                  <w:noWrap w:val="0"/>
                  <w:vAlign w:val="center"/>
                </w:tcPr>
                <w:p w14:paraId="4F5BE5BB">
                  <w:pPr>
                    <w:pStyle w:val="132"/>
                    <w:rPr>
                      <w:rFonts w:hint="default" w:ascii="Times New Roman" w:hAnsi="Times New Roman" w:eastAsia="宋体" w:cs="Times New Roman"/>
                      <w:color w:val="auto"/>
                      <w:lang w:val="en-US" w:eastAsia="zh-CN"/>
                    </w:rPr>
                  </w:pPr>
                  <w:r>
                    <w:rPr>
                      <w:rFonts w:hint="eastAsia" w:cs="Times New Roman"/>
                      <w:color w:val="auto"/>
                      <w:lang w:val="en-US" w:eastAsia="zh-CN"/>
                    </w:rPr>
                    <w:t>活性炭</w:t>
                  </w:r>
                </w:p>
              </w:tc>
              <w:tc>
                <w:tcPr>
                  <w:tcW w:w="724" w:type="pct"/>
                  <w:tcBorders>
                    <w:tl2br w:val="nil"/>
                    <w:tr2bl w:val="nil"/>
                  </w:tcBorders>
                  <w:noWrap w:val="0"/>
                  <w:vAlign w:val="center"/>
                </w:tcPr>
                <w:p w14:paraId="1EA110AA">
                  <w:pPr>
                    <w:pStyle w:val="132"/>
                    <w:rPr>
                      <w:rFonts w:hint="default" w:ascii="Times New Roman" w:hAnsi="Times New Roman" w:eastAsia="宋体" w:cs="Times New Roman"/>
                      <w:color w:val="auto"/>
                      <w:lang w:val="en-US" w:eastAsia="zh-CN"/>
                    </w:rPr>
                  </w:pPr>
                  <w:r>
                    <w:rPr>
                      <w:rFonts w:hint="eastAsia" w:cs="Times New Roman"/>
                      <w:color w:val="auto"/>
                      <w:lang w:val="en-US" w:eastAsia="zh-CN"/>
                    </w:rPr>
                    <w:t>碘值&gt;800</w:t>
                  </w:r>
                </w:p>
              </w:tc>
              <w:tc>
                <w:tcPr>
                  <w:tcW w:w="430" w:type="pct"/>
                  <w:tcBorders>
                    <w:tl2br w:val="nil"/>
                    <w:tr2bl w:val="nil"/>
                  </w:tcBorders>
                  <w:noWrap w:val="0"/>
                  <w:vAlign w:val="center"/>
                </w:tcPr>
                <w:p w14:paraId="60D4632F">
                  <w:pPr>
                    <w:pStyle w:val="132"/>
                    <w:rPr>
                      <w:rFonts w:hint="default" w:ascii="Times New Roman" w:hAnsi="Times New Roman" w:eastAsia="宋体" w:cs="Times New Roman"/>
                      <w:bCs/>
                      <w:color w:val="auto"/>
                      <w:lang w:val="en-US" w:eastAsia="zh-CN"/>
                    </w:rPr>
                  </w:pPr>
                  <w:r>
                    <w:rPr>
                      <w:rFonts w:hint="eastAsia" w:cs="Times New Roman"/>
                      <w:bCs/>
                      <w:color w:val="auto"/>
                      <w:lang w:val="en-US" w:eastAsia="zh-CN"/>
                    </w:rPr>
                    <w:t>2.2</w:t>
                  </w:r>
                </w:p>
              </w:tc>
              <w:tc>
                <w:tcPr>
                  <w:tcW w:w="468" w:type="pct"/>
                  <w:tcBorders>
                    <w:tl2br w:val="nil"/>
                    <w:tr2bl w:val="nil"/>
                  </w:tcBorders>
                  <w:noWrap w:val="0"/>
                  <w:vAlign w:val="center"/>
                </w:tcPr>
                <w:p w14:paraId="328ACFED">
                  <w:pPr>
                    <w:pStyle w:val="132"/>
                    <w:rPr>
                      <w:rFonts w:hint="default" w:ascii="Times New Roman" w:hAnsi="Times New Roman" w:eastAsia="宋体" w:cs="Times New Roman"/>
                      <w:bCs/>
                      <w:color w:val="auto"/>
                      <w:lang w:val="en-US" w:eastAsia="zh-CN"/>
                    </w:rPr>
                  </w:pPr>
                  <w:r>
                    <w:rPr>
                      <w:rFonts w:hint="eastAsia" w:cs="Times New Roman"/>
                      <w:bCs/>
                      <w:color w:val="auto"/>
                      <w:lang w:val="en-US" w:eastAsia="zh-CN"/>
                    </w:rPr>
                    <w:t>12</w:t>
                  </w:r>
                </w:p>
              </w:tc>
              <w:tc>
                <w:tcPr>
                  <w:tcW w:w="514" w:type="pct"/>
                  <w:tcBorders>
                    <w:tl2br w:val="nil"/>
                    <w:tr2bl w:val="nil"/>
                  </w:tcBorders>
                  <w:noWrap w:val="0"/>
                  <w:vAlign w:val="center"/>
                </w:tcPr>
                <w:p w14:paraId="55D8FA62">
                  <w:pPr>
                    <w:pStyle w:val="132"/>
                    <w:rPr>
                      <w:rFonts w:hint="default" w:ascii="Times New Roman" w:hAnsi="Times New Roman" w:eastAsia="宋体" w:cs="Times New Roman"/>
                      <w:bCs/>
                      <w:color w:val="auto"/>
                      <w:lang w:val="en-US" w:eastAsia="zh-CN"/>
                    </w:rPr>
                  </w:pPr>
                  <w:r>
                    <w:rPr>
                      <w:rFonts w:hint="eastAsia" w:cs="Times New Roman"/>
                      <w:bCs/>
                      <w:color w:val="auto"/>
                      <w:lang w:val="en-US" w:eastAsia="zh-CN"/>
                    </w:rPr>
                    <w:t>+9.8</w:t>
                  </w:r>
                </w:p>
              </w:tc>
              <w:tc>
                <w:tcPr>
                  <w:tcW w:w="460" w:type="pct"/>
                  <w:tcBorders>
                    <w:tl2br w:val="nil"/>
                    <w:tr2bl w:val="nil"/>
                  </w:tcBorders>
                  <w:noWrap w:val="0"/>
                  <w:vAlign w:val="center"/>
                </w:tcPr>
                <w:p w14:paraId="61228F9D">
                  <w:pPr>
                    <w:pStyle w:val="132"/>
                    <w:rPr>
                      <w:rFonts w:hint="default" w:ascii="Times New Roman" w:hAnsi="Times New Roman" w:eastAsia="宋体" w:cs="Times New Roman"/>
                      <w:bCs/>
                      <w:color w:val="auto"/>
                      <w:lang w:val="en-US" w:eastAsia="zh-CN"/>
                    </w:rPr>
                  </w:pPr>
                  <w:r>
                    <w:rPr>
                      <w:rFonts w:hint="eastAsia" w:cs="Times New Roman"/>
                      <w:bCs/>
                      <w:color w:val="auto"/>
                      <w:lang w:val="en-US" w:eastAsia="zh-CN"/>
                    </w:rPr>
                    <w:t>3</w:t>
                  </w:r>
                </w:p>
              </w:tc>
              <w:tc>
                <w:tcPr>
                  <w:tcW w:w="377" w:type="pct"/>
                  <w:vMerge w:val="continue"/>
                  <w:tcBorders>
                    <w:tl2br w:val="nil"/>
                    <w:tr2bl w:val="nil"/>
                  </w:tcBorders>
                  <w:noWrap w:val="0"/>
                  <w:vAlign w:val="center"/>
                </w:tcPr>
                <w:p w14:paraId="187BF24E">
                  <w:pPr>
                    <w:widowControl/>
                    <w:jc w:val="center"/>
                    <w:rPr>
                      <w:rFonts w:hint="default" w:ascii="Times New Roman" w:hAnsi="Times New Roman" w:eastAsia="宋体" w:cs="Times New Roman"/>
                      <w:bCs/>
                      <w:color w:val="auto"/>
                    </w:rPr>
                  </w:pPr>
                </w:p>
              </w:tc>
              <w:tc>
                <w:tcPr>
                  <w:tcW w:w="634" w:type="pct"/>
                  <w:tcBorders>
                    <w:tl2br w:val="nil"/>
                    <w:tr2bl w:val="nil"/>
                  </w:tcBorders>
                  <w:shd w:val="clear" w:color="auto" w:fill="auto"/>
                  <w:noWrap w:val="0"/>
                  <w:vAlign w:val="center"/>
                </w:tcPr>
                <w:p w14:paraId="68D30D90">
                  <w:pPr>
                    <w:pStyle w:val="132"/>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rPr>
                    <w:t>散装</w:t>
                  </w:r>
                </w:p>
              </w:tc>
              <w:tc>
                <w:tcPr>
                  <w:tcW w:w="603" w:type="pct"/>
                  <w:tcBorders>
                    <w:tl2br w:val="nil"/>
                    <w:tr2bl w:val="nil"/>
                  </w:tcBorders>
                  <w:shd w:val="clear" w:color="auto" w:fill="auto"/>
                  <w:noWrap w:val="0"/>
                  <w:vAlign w:val="center"/>
                </w:tcPr>
                <w:p w14:paraId="0B5D3A64">
                  <w:pPr>
                    <w:pStyle w:val="132"/>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rPr>
                    <w:t>国内、汽运</w:t>
                  </w:r>
                </w:p>
              </w:tc>
            </w:tr>
          </w:tbl>
          <w:p w14:paraId="0946BD82">
            <w:pPr>
              <w:keepNext w:val="0"/>
              <w:keepLines w:val="0"/>
              <w:pageBreakBefore w:val="0"/>
              <w:widowControl w:val="0"/>
              <w:kinsoku/>
              <w:wordWrap/>
              <w:overflowPunct/>
              <w:topLinePunct w:val="0"/>
              <w:autoSpaceDE/>
              <w:autoSpaceDN/>
              <w:bidi w:val="0"/>
              <w:adjustRightInd w:val="0"/>
              <w:snapToGrid w:val="0"/>
              <w:spacing w:before="156" w:beforeLines="50" w:line="360" w:lineRule="auto"/>
              <w:textAlignment w:val="auto"/>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4、主要设备</w:t>
            </w:r>
          </w:p>
          <w:p w14:paraId="79E0E8EF">
            <w:pPr>
              <w:adjustRightInd w:val="0"/>
              <w:snapToGrid w:val="0"/>
              <w:ind w:firstLine="420" w:firstLineChars="200"/>
              <w:rPr>
                <w:color w:val="auto"/>
                <w:sz w:val="21"/>
                <w:szCs w:val="21"/>
              </w:rPr>
            </w:pPr>
            <w:r>
              <w:rPr>
                <w:color w:val="auto"/>
                <w:sz w:val="21"/>
                <w:szCs w:val="21"/>
              </w:rPr>
              <w:t>本项目涉及的</w:t>
            </w:r>
            <w:r>
              <w:rPr>
                <w:color w:val="auto"/>
                <w:kern w:val="0"/>
                <w:sz w:val="21"/>
                <w:szCs w:val="21"/>
              </w:rPr>
              <w:t>主要设备见表2-</w:t>
            </w:r>
            <w:r>
              <w:rPr>
                <w:rFonts w:hint="eastAsia"/>
                <w:color w:val="auto"/>
                <w:kern w:val="0"/>
                <w:sz w:val="21"/>
                <w:szCs w:val="21"/>
                <w:lang w:val="en-US" w:eastAsia="zh-CN"/>
              </w:rPr>
              <w:t>5</w:t>
            </w:r>
            <w:r>
              <w:rPr>
                <w:color w:val="auto"/>
                <w:kern w:val="0"/>
                <w:sz w:val="21"/>
                <w:szCs w:val="21"/>
              </w:rPr>
              <w:t>。</w:t>
            </w:r>
          </w:p>
          <w:p w14:paraId="44550851">
            <w:pPr>
              <w:spacing w:line="320" w:lineRule="exact"/>
              <w:jc w:val="center"/>
              <w:rPr>
                <w:rFonts w:eastAsiaTheme="majorEastAsia"/>
                <w:b/>
                <w:color w:val="auto"/>
                <w:sz w:val="21"/>
                <w:szCs w:val="21"/>
              </w:rPr>
            </w:pPr>
            <w:r>
              <w:rPr>
                <w:rFonts w:eastAsiaTheme="majorEastAsia"/>
                <w:b/>
                <w:color w:val="auto"/>
                <w:sz w:val="21"/>
                <w:szCs w:val="21"/>
              </w:rPr>
              <w:t>表2-</w:t>
            </w:r>
            <w:r>
              <w:rPr>
                <w:rFonts w:hint="eastAsia" w:eastAsiaTheme="majorEastAsia"/>
                <w:b/>
                <w:color w:val="auto"/>
                <w:sz w:val="21"/>
                <w:szCs w:val="21"/>
                <w:lang w:val="en-US" w:eastAsia="zh-CN"/>
              </w:rPr>
              <w:t>5</w:t>
            </w:r>
            <w:r>
              <w:rPr>
                <w:rFonts w:eastAsiaTheme="majorEastAsia"/>
                <w:b/>
                <w:color w:val="auto"/>
                <w:sz w:val="21"/>
                <w:szCs w:val="21"/>
              </w:rPr>
              <w:t>主要生产设备</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82"/>
              <w:gridCol w:w="807"/>
              <w:gridCol w:w="893"/>
              <w:gridCol w:w="1491"/>
              <w:gridCol w:w="889"/>
              <w:gridCol w:w="1125"/>
              <w:gridCol w:w="919"/>
              <w:gridCol w:w="1573"/>
            </w:tblGrid>
            <w:tr w14:paraId="505A6D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352" w:type="pct"/>
                  <w:vMerge w:val="restart"/>
                  <w:tcBorders>
                    <w:tl2br w:val="nil"/>
                    <w:tr2bl w:val="nil"/>
                  </w:tcBorders>
                  <w:noWrap w:val="0"/>
                  <w:vAlign w:val="center"/>
                </w:tcPr>
                <w:p w14:paraId="7B394BD4">
                  <w:pPr>
                    <w:adjustRightInd w:val="0"/>
                    <w:snapToGrid w:val="0"/>
                    <w:jc w:val="center"/>
                    <w:rPr>
                      <w:rFonts w:hint="default" w:ascii="Times New Roman" w:hAnsi="Times New Roman" w:eastAsia="宋体" w:cs="Times New Roman"/>
                      <w:b/>
                      <w:color w:val="auto"/>
                      <w:sz w:val="21"/>
                      <w:szCs w:val="21"/>
                    </w:rPr>
                  </w:pPr>
                  <w:bookmarkStart w:id="3" w:name="_Hlk51750113"/>
                  <w:r>
                    <w:rPr>
                      <w:rFonts w:hint="default" w:ascii="Times New Roman" w:hAnsi="Times New Roman" w:eastAsia="宋体" w:cs="Times New Roman"/>
                      <w:b/>
                      <w:color w:val="auto"/>
                      <w:sz w:val="21"/>
                      <w:szCs w:val="21"/>
                    </w:rPr>
                    <w:t>序号</w:t>
                  </w:r>
                </w:p>
              </w:tc>
              <w:tc>
                <w:tcPr>
                  <w:tcW w:w="487" w:type="pct"/>
                  <w:vMerge w:val="restart"/>
                  <w:tcBorders>
                    <w:tl2br w:val="nil"/>
                    <w:tr2bl w:val="nil"/>
                  </w:tcBorders>
                  <w:noWrap w:val="0"/>
                  <w:vAlign w:val="center"/>
                </w:tcPr>
                <w:p w14:paraId="70774030">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生产单元</w:t>
                  </w:r>
                </w:p>
              </w:tc>
              <w:tc>
                <w:tcPr>
                  <w:tcW w:w="539" w:type="pct"/>
                  <w:vMerge w:val="restart"/>
                  <w:tcBorders>
                    <w:tl2br w:val="nil"/>
                    <w:tr2bl w:val="nil"/>
                  </w:tcBorders>
                  <w:shd w:val="clear" w:color="auto" w:fill="auto"/>
                  <w:noWrap w:val="0"/>
                  <w:vAlign w:val="center"/>
                </w:tcPr>
                <w:p w14:paraId="7A27BF5C">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名称</w:t>
                  </w:r>
                </w:p>
              </w:tc>
              <w:tc>
                <w:tcPr>
                  <w:tcW w:w="899" w:type="pct"/>
                  <w:vMerge w:val="restart"/>
                  <w:tcBorders>
                    <w:tl2br w:val="nil"/>
                    <w:tr2bl w:val="nil"/>
                  </w:tcBorders>
                  <w:noWrap w:val="0"/>
                  <w:vAlign w:val="center"/>
                </w:tcPr>
                <w:p w14:paraId="69134138">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规格或型号</w:t>
                  </w:r>
                </w:p>
              </w:tc>
              <w:tc>
                <w:tcPr>
                  <w:tcW w:w="1771" w:type="pct"/>
                  <w:gridSpan w:val="3"/>
                  <w:tcBorders>
                    <w:tl2br w:val="nil"/>
                    <w:tr2bl w:val="nil"/>
                  </w:tcBorders>
                  <w:noWrap w:val="0"/>
                  <w:vAlign w:val="center"/>
                </w:tcPr>
                <w:p w14:paraId="59D7A959">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数量台（套）</w:t>
                  </w:r>
                </w:p>
              </w:tc>
              <w:tc>
                <w:tcPr>
                  <w:tcW w:w="950" w:type="pct"/>
                  <w:vMerge w:val="restart"/>
                  <w:tcBorders>
                    <w:tl2br w:val="nil"/>
                    <w:tr2bl w:val="nil"/>
                  </w:tcBorders>
                  <w:noWrap w:val="0"/>
                  <w:vAlign w:val="center"/>
                </w:tcPr>
                <w:p w14:paraId="4E056CB6">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备注</w:t>
                  </w:r>
                </w:p>
              </w:tc>
            </w:tr>
            <w:tr w14:paraId="2DA2CF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352" w:type="pct"/>
                  <w:vMerge w:val="continue"/>
                  <w:tcBorders>
                    <w:tl2br w:val="nil"/>
                    <w:tr2bl w:val="nil"/>
                  </w:tcBorders>
                  <w:noWrap w:val="0"/>
                  <w:vAlign w:val="center"/>
                </w:tcPr>
                <w:p w14:paraId="28280F11">
                  <w:pPr>
                    <w:adjustRightInd w:val="0"/>
                    <w:snapToGrid w:val="0"/>
                    <w:jc w:val="center"/>
                    <w:rPr>
                      <w:rFonts w:hint="default" w:ascii="Times New Roman" w:hAnsi="Times New Roman" w:eastAsia="宋体" w:cs="Times New Roman"/>
                      <w:b/>
                      <w:color w:val="auto"/>
                      <w:sz w:val="21"/>
                      <w:szCs w:val="21"/>
                    </w:rPr>
                  </w:pPr>
                </w:p>
              </w:tc>
              <w:tc>
                <w:tcPr>
                  <w:tcW w:w="487" w:type="pct"/>
                  <w:vMerge w:val="continue"/>
                  <w:tcBorders>
                    <w:tl2br w:val="nil"/>
                    <w:tr2bl w:val="nil"/>
                  </w:tcBorders>
                  <w:noWrap w:val="0"/>
                  <w:vAlign w:val="center"/>
                </w:tcPr>
                <w:p w14:paraId="3A70BAC0">
                  <w:pPr>
                    <w:adjustRightInd w:val="0"/>
                    <w:snapToGrid w:val="0"/>
                    <w:jc w:val="center"/>
                    <w:rPr>
                      <w:rFonts w:hint="default" w:ascii="Times New Roman" w:hAnsi="Times New Roman" w:eastAsia="宋体" w:cs="Times New Roman"/>
                      <w:b/>
                      <w:color w:val="auto"/>
                      <w:sz w:val="21"/>
                      <w:szCs w:val="21"/>
                    </w:rPr>
                  </w:pPr>
                </w:p>
              </w:tc>
              <w:tc>
                <w:tcPr>
                  <w:tcW w:w="539" w:type="pct"/>
                  <w:vMerge w:val="continue"/>
                  <w:tcBorders>
                    <w:tl2br w:val="nil"/>
                    <w:tr2bl w:val="nil"/>
                  </w:tcBorders>
                  <w:noWrap w:val="0"/>
                  <w:vAlign w:val="center"/>
                </w:tcPr>
                <w:p w14:paraId="0810B1D5">
                  <w:pPr>
                    <w:adjustRightInd w:val="0"/>
                    <w:snapToGrid w:val="0"/>
                    <w:jc w:val="center"/>
                    <w:rPr>
                      <w:rFonts w:hint="default" w:ascii="Times New Roman" w:hAnsi="Times New Roman" w:eastAsia="宋体" w:cs="Times New Roman"/>
                      <w:b/>
                      <w:color w:val="auto"/>
                      <w:sz w:val="21"/>
                      <w:szCs w:val="21"/>
                    </w:rPr>
                  </w:pPr>
                </w:p>
              </w:tc>
              <w:tc>
                <w:tcPr>
                  <w:tcW w:w="899" w:type="pct"/>
                  <w:vMerge w:val="continue"/>
                  <w:tcBorders>
                    <w:tl2br w:val="nil"/>
                    <w:tr2bl w:val="nil"/>
                  </w:tcBorders>
                  <w:noWrap w:val="0"/>
                  <w:vAlign w:val="center"/>
                </w:tcPr>
                <w:p w14:paraId="2BFFF2BB">
                  <w:pPr>
                    <w:adjustRightInd w:val="0"/>
                    <w:snapToGrid w:val="0"/>
                    <w:jc w:val="center"/>
                    <w:rPr>
                      <w:rFonts w:hint="default" w:ascii="Times New Roman" w:hAnsi="Times New Roman" w:eastAsia="宋体" w:cs="Times New Roman"/>
                      <w:b/>
                      <w:color w:val="auto"/>
                      <w:sz w:val="21"/>
                      <w:szCs w:val="21"/>
                    </w:rPr>
                  </w:pPr>
                </w:p>
              </w:tc>
              <w:tc>
                <w:tcPr>
                  <w:tcW w:w="537" w:type="pct"/>
                  <w:tcBorders>
                    <w:tl2br w:val="nil"/>
                    <w:tr2bl w:val="nil"/>
                  </w:tcBorders>
                  <w:noWrap w:val="0"/>
                  <w:vAlign w:val="center"/>
                </w:tcPr>
                <w:p w14:paraId="2E188B7C">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迁建前</w:t>
                  </w:r>
                </w:p>
              </w:tc>
              <w:tc>
                <w:tcPr>
                  <w:tcW w:w="679" w:type="pct"/>
                  <w:tcBorders>
                    <w:tl2br w:val="nil"/>
                    <w:tr2bl w:val="nil"/>
                  </w:tcBorders>
                  <w:noWrap w:val="0"/>
                  <w:vAlign w:val="center"/>
                </w:tcPr>
                <w:p w14:paraId="72C5D755">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迁建后</w:t>
                  </w:r>
                </w:p>
              </w:tc>
              <w:tc>
                <w:tcPr>
                  <w:tcW w:w="554" w:type="pct"/>
                  <w:tcBorders>
                    <w:tl2br w:val="nil"/>
                    <w:tr2bl w:val="nil"/>
                  </w:tcBorders>
                  <w:noWrap w:val="0"/>
                  <w:vAlign w:val="center"/>
                </w:tcPr>
                <w:p w14:paraId="05E1CC81">
                  <w:pPr>
                    <w:spacing w:line="30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增减量</w:t>
                  </w:r>
                </w:p>
              </w:tc>
              <w:tc>
                <w:tcPr>
                  <w:tcW w:w="950" w:type="pct"/>
                  <w:vMerge w:val="continue"/>
                  <w:tcBorders>
                    <w:tl2br w:val="nil"/>
                    <w:tr2bl w:val="nil"/>
                  </w:tcBorders>
                  <w:noWrap w:val="0"/>
                  <w:vAlign w:val="center"/>
                </w:tcPr>
                <w:p w14:paraId="73F25005">
                  <w:pPr>
                    <w:adjustRightInd w:val="0"/>
                    <w:snapToGrid w:val="0"/>
                    <w:jc w:val="center"/>
                    <w:rPr>
                      <w:rFonts w:hint="default" w:ascii="Times New Roman" w:hAnsi="Times New Roman" w:eastAsia="宋体" w:cs="Times New Roman"/>
                      <w:b/>
                      <w:color w:val="auto"/>
                      <w:sz w:val="21"/>
                      <w:szCs w:val="21"/>
                    </w:rPr>
                  </w:pPr>
                </w:p>
              </w:tc>
            </w:tr>
            <w:tr w14:paraId="60ABA6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352" w:type="pct"/>
                  <w:tcBorders>
                    <w:tl2br w:val="nil"/>
                    <w:tr2bl w:val="nil"/>
                  </w:tcBorders>
                  <w:shd w:val="clear" w:color="auto" w:fill="auto"/>
                  <w:noWrap w:val="0"/>
                  <w:vAlign w:val="center"/>
                </w:tcPr>
                <w:p w14:paraId="1DA3C30F">
                  <w:pPr>
                    <w:tabs>
                      <w:tab w:val="center" w:pos="-10"/>
                      <w:tab w:val="left" w:pos="430"/>
                      <w:tab w:val="left" w:pos="618"/>
                    </w:tabs>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1</w:t>
                  </w:r>
                </w:p>
              </w:tc>
              <w:tc>
                <w:tcPr>
                  <w:tcW w:w="487" w:type="pct"/>
                  <w:tcBorders>
                    <w:tl2br w:val="nil"/>
                    <w:tr2bl w:val="nil"/>
                  </w:tcBorders>
                  <w:noWrap w:val="0"/>
                  <w:vAlign w:val="center"/>
                </w:tcPr>
                <w:p w14:paraId="01DB015F">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混料</w:t>
                  </w:r>
                </w:p>
              </w:tc>
              <w:tc>
                <w:tcPr>
                  <w:tcW w:w="539" w:type="pct"/>
                  <w:tcBorders>
                    <w:tl2br w:val="nil"/>
                    <w:tr2bl w:val="nil"/>
                  </w:tcBorders>
                  <w:shd w:val="clear" w:color="auto" w:fill="auto"/>
                  <w:noWrap w:val="0"/>
                  <w:vAlign w:val="center"/>
                </w:tcPr>
                <w:p w14:paraId="4E652864">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混料机</w:t>
                  </w:r>
                </w:p>
              </w:tc>
              <w:tc>
                <w:tcPr>
                  <w:tcW w:w="899" w:type="pct"/>
                  <w:tcBorders>
                    <w:tl2br w:val="nil"/>
                    <w:tr2bl w:val="nil"/>
                  </w:tcBorders>
                  <w:shd w:val="clear" w:color="auto" w:fill="auto"/>
                  <w:noWrap w:val="0"/>
                  <w:vAlign w:val="center"/>
                </w:tcPr>
                <w:p w14:paraId="3861C5C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537" w:type="pct"/>
                  <w:tcBorders>
                    <w:tl2br w:val="nil"/>
                    <w:tr2bl w:val="nil"/>
                  </w:tcBorders>
                  <w:shd w:val="clear" w:color="auto" w:fill="auto"/>
                  <w:noWrap w:val="0"/>
                  <w:vAlign w:val="center"/>
                </w:tcPr>
                <w:p w14:paraId="624179B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8</w:t>
                  </w:r>
                </w:p>
              </w:tc>
              <w:tc>
                <w:tcPr>
                  <w:tcW w:w="679" w:type="pct"/>
                  <w:tcBorders>
                    <w:tl2br w:val="nil"/>
                    <w:tr2bl w:val="nil"/>
                  </w:tcBorders>
                  <w:shd w:val="clear" w:color="auto" w:fill="auto"/>
                  <w:noWrap w:val="0"/>
                  <w:vAlign w:val="center"/>
                </w:tcPr>
                <w:p w14:paraId="1AA2553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8</w:t>
                  </w:r>
                </w:p>
              </w:tc>
              <w:tc>
                <w:tcPr>
                  <w:tcW w:w="554" w:type="pct"/>
                  <w:tcBorders>
                    <w:tl2br w:val="nil"/>
                    <w:tr2bl w:val="nil"/>
                  </w:tcBorders>
                  <w:noWrap w:val="0"/>
                  <w:vAlign w:val="center"/>
                </w:tcPr>
                <w:p w14:paraId="5C685401">
                  <w:pPr>
                    <w:pStyle w:val="19"/>
                    <w:adjustRightInd w:val="0"/>
                    <w:snapToGrid w:val="0"/>
                    <w:spacing w:line="240" w:lineRule="auto"/>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0</w:t>
                  </w:r>
                </w:p>
              </w:tc>
              <w:tc>
                <w:tcPr>
                  <w:tcW w:w="950" w:type="pct"/>
                  <w:tcBorders>
                    <w:tl2br w:val="nil"/>
                    <w:tr2bl w:val="nil"/>
                  </w:tcBorders>
                  <w:noWrap w:val="0"/>
                  <w:vAlign w:val="center"/>
                </w:tcPr>
                <w:p w14:paraId="2BC833C4">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搬迁</w:t>
                  </w:r>
                </w:p>
              </w:tc>
            </w:tr>
            <w:tr w14:paraId="2D0A07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352" w:type="pct"/>
                  <w:tcBorders>
                    <w:tl2br w:val="nil"/>
                    <w:tr2bl w:val="nil"/>
                  </w:tcBorders>
                  <w:shd w:val="clear" w:color="auto" w:fill="auto"/>
                  <w:noWrap w:val="0"/>
                  <w:vAlign w:val="center"/>
                </w:tcPr>
                <w:p w14:paraId="50BF7406">
                  <w:pPr>
                    <w:tabs>
                      <w:tab w:val="center" w:pos="-10"/>
                      <w:tab w:val="left" w:pos="430"/>
                      <w:tab w:val="left" w:pos="618"/>
                    </w:tabs>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2</w:t>
                  </w:r>
                </w:p>
              </w:tc>
              <w:tc>
                <w:tcPr>
                  <w:tcW w:w="487" w:type="pct"/>
                  <w:vMerge w:val="restart"/>
                  <w:tcBorders>
                    <w:tl2br w:val="nil"/>
                    <w:tr2bl w:val="nil"/>
                  </w:tcBorders>
                  <w:noWrap w:val="0"/>
                  <w:vAlign w:val="center"/>
                </w:tcPr>
                <w:p w14:paraId="1E569962">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注塑成型</w:t>
                  </w:r>
                </w:p>
              </w:tc>
              <w:tc>
                <w:tcPr>
                  <w:tcW w:w="539" w:type="pct"/>
                  <w:tcBorders>
                    <w:tl2br w:val="nil"/>
                    <w:tr2bl w:val="nil"/>
                  </w:tcBorders>
                  <w:shd w:val="clear" w:color="auto" w:fill="auto"/>
                  <w:noWrap w:val="0"/>
                  <w:vAlign w:val="center"/>
                </w:tcPr>
                <w:p w14:paraId="6626E801">
                  <w:pPr>
                    <w:widowControl/>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注塑机</w:t>
                  </w:r>
                </w:p>
              </w:tc>
              <w:tc>
                <w:tcPr>
                  <w:tcW w:w="899" w:type="pct"/>
                  <w:tcBorders>
                    <w:tl2br w:val="nil"/>
                    <w:tr2bl w:val="nil"/>
                  </w:tcBorders>
                  <w:noWrap w:val="0"/>
                  <w:vAlign w:val="center"/>
                </w:tcPr>
                <w:p w14:paraId="1E4A6EA7">
                  <w:pPr>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UN160A5-V</w:t>
                  </w:r>
                </w:p>
              </w:tc>
              <w:tc>
                <w:tcPr>
                  <w:tcW w:w="537" w:type="pct"/>
                  <w:tcBorders>
                    <w:tl2br w:val="nil"/>
                    <w:tr2bl w:val="nil"/>
                  </w:tcBorders>
                  <w:shd w:val="clear" w:color="auto" w:fill="auto"/>
                  <w:noWrap w:val="0"/>
                  <w:vAlign w:val="center"/>
                </w:tcPr>
                <w:p w14:paraId="761845E5">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20</w:t>
                  </w:r>
                </w:p>
              </w:tc>
              <w:tc>
                <w:tcPr>
                  <w:tcW w:w="679" w:type="pct"/>
                  <w:tcBorders>
                    <w:tl2br w:val="nil"/>
                    <w:tr2bl w:val="nil"/>
                  </w:tcBorders>
                  <w:shd w:val="clear" w:color="auto" w:fill="auto"/>
                  <w:noWrap w:val="0"/>
                  <w:vAlign w:val="center"/>
                </w:tcPr>
                <w:p w14:paraId="0CB28B16">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20</w:t>
                  </w:r>
                </w:p>
              </w:tc>
              <w:tc>
                <w:tcPr>
                  <w:tcW w:w="554" w:type="pct"/>
                  <w:tcBorders>
                    <w:tl2br w:val="nil"/>
                    <w:tr2bl w:val="nil"/>
                  </w:tcBorders>
                  <w:noWrap w:val="0"/>
                  <w:vAlign w:val="center"/>
                </w:tcPr>
                <w:p w14:paraId="25C4D778">
                  <w:pPr>
                    <w:pStyle w:val="19"/>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w:t>
                  </w:r>
                </w:p>
              </w:tc>
              <w:tc>
                <w:tcPr>
                  <w:tcW w:w="950" w:type="pct"/>
                  <w:tcBorders>
                    <w:tl2br w:val="nil"/>
                    <w:tr2bl w:val="nil"/>
                  </w:tcBorders>
                  <w:noWrap w:val="0"/>
                  <w:vAlign w:val="center"/>
                </w:tcPr>
                <w:p w14:paraId="418540D8">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搬迁</w:t>
                  </w:r>
                </w:p>
              </w:tc>
            </w:tr>
            <w:tr w14:paraId="6018F4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352" w:type="pct"/>
                  <w:tcBorders>
                    <w:tl2br w:val="nil"/>
                    <w:tr2bl w:val="nil"/>
                  </w:tcBorders>
                  <w:shd w:val="clear" w:color="auto" w:fill="auto"/>
                  <w:noWrap w:val="0"/>
                  <w:vAlign w:val="center"/>
                </w:tcPr>
                <w:p w14:paraId="6722D136">
                  <w:pPr>
                    <w:tabs>
                      <w:tab w:val="center" w:pos="-10"/>
                      <w:tab w:val="left" w:pos="430"/>
                      <w:tab w:val="left" w:pos="618"/>
                    </w:tabs>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3</w:t>
                  </w:r>
                </w:p>
              </w:tc>
              <w:tc>
                <w:tcPr>
                  <w:tcW w:w="487" w:type="pct"/>
                  <w:vMerge w:val="continue"/>
                  <w:tcBorders>
                    <w:tl2br w:val="nil"/>
                    <w:tr2bl w:val="nil"/>
                  </w:tcBorders>
                  <w:noWrap w:val="0"/>
                  <w:vAlign w:val="center"/>
                </w:tcPr>
                <w:p w14:paraId="3388E0F1">
                  <w:pPr>
                    <w:jc w:val="center"/>
                    <w:rPr>
                      <w:rFonts w:hint="default" w:ascii="Times New Roman" w:hAnsi="Times New Roman" w:eastAsia="宋体" w:cs="Times New Roman"/>
                      <w:color w:val="auto"/>
                      <w:sz w:val="21"/>
                      <w:szCs w:val="21"/>
                    </w:rPr>
                  </w:pPr>
                </w:p>
              </w:tc>
              <w:tc>
                <w:tcPr>
                  <w:tcW w:w="539" w:type="pct"/>
                  <w:tcBorders>
                    <w:tl2br w:val="nil"/>
                    <w:tr2bl w:val="nil"/>
                  </w:tcBorders>
                  <w:shd w:val="clear" w:color="auto" w:fill="auto"/>
                  <w:noWrap w:val="0"/>
                  <w:vAlign w:val="center"/>
                </w:tcPr>
                <w:p w14:paraId="126B90A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注塑机</w:t>
                  </w:r>
                </w:p>
              </w:tc>
              <w:tc>
                <w:tcPr>
                  <w:tcW w:w="899" w:type="pct"/>
                  <w:tcBorders>
                    <w:tl2br w:val="nil"/>
                    <w:tr2bl w:val="nil"/>
                  </w:tcBorders>
                  <w:noWrap w:val="0"/>
                  <w:vAlign w:val="center"/>
                </w:tcPr>
                <w:p w14:paraId="299249BB">
                  <w:pPr>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NU200SKⅡ</w:t>
                  </w:r>
                </w:p>
              </w:tc>
              <w:tc>
                <w:tcPr>
                  <w:tcW w:w="537" w:type="pct"/>
                  <w:tcBorders>
                    <w:tl2br w:val="nil"/>
                    <w:tr2bl w:val="nil"/>
                  </w:tcBorders>
                  <w:shd w:val="clear" w:color="auto" w:fill="auto"/>
                  <w:noWrap w:val="0"/>
                  <w:vAlign w:val="center"/>
                </w:tcPr>
                <w:p w14:paraId="2B5676D4">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20</w:t>
                  </w:r>
                </w:p>
              </w:tc>
              <w:tc>
                <w:tcPr>
                  <w:tcW w:w="679" w:type="pct"/>
                  <w:tcBorders>
                    <w:tl2br w:val="nil"/>
                    <w:tr2bl w:val="nil"/>
                  </w:tcBorders>
                  <w:shd w:val="clear" w:color="auto" w:fill="auto"/>
                  <w:noWrap w:val="0"/>
                  <w:vAlign w:val="center"/>
                </w:tcPr>
                <w:p w14:paraId="5F1DCF87">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w:t>
                  </w:r>
                  <w:r>
                    <w:rPr>
                      <w:rFonts w:hint="default" w:ascii="Times New Roman" w:hAnsi="Times New Roman" w:eastAsia="宋体" w:cs="Times New Roman"/>
                      <w:bCs/>
                      <w:color w:val="auto"/>
                      <w:sz w:val="21"/>
                      <w:szCs w:val="21"/>
                    </w:rPr>
                    <w:t>0</w:t>
                  </w:r>
                </w:p>
              </w:tc>
              <w:tc>
                <w:tcPr>
                  <w:tcW w:w="554" w:type="pct"/>
                  <w:tcBorders>
                    <w:tl2br w:val="nil"/>
                    <w:tr2bl w:val="nil"/>
                  </w:tcBorders>
                  <w:noWrap w:val="0"/>
                  <w:vAlign w:val="center"/>
                </w:tcPr>
                <w:p w14:paraId="014092E1">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+10</w:t>
                  </w:r>
                </w:p>
              </w:tc>
              <w:tc>
                <w:tcPr>
                  <w:tcW w:w="950" w:type="pct"/>
                  <w:tcBorders>
                    <w:tl2br w:val="nil"/>
                    <w:tr2bl w:val="nil"/>
                  </w:tcBorders>
                  <w:noWrap w:val="0"/>
                  <w:vAlign w:val="center"/>
                </w:tcPr>
                <w:p w14:paraId="7FA991FA">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搬迁20台，新增10台</w:t>
                  </w:r>
                </w:p>
              </w:tc>
            </w:tr>
            <w:tr w14:paraId="4235A2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52" w:type="pct"/>
                  <w:tcBorders>
                    <w:tl2br w:val="nil"/>
                    <w:tr2bl w:val="nil"/>
                  </w:tcBorders>
                  <w:shd w:val="clear" w:color="auto" w:fill="auto"/>
                  <w:noWrap w:val="0"/>
                  <w:vAlign w:val="center"/>
                </w:tcPr>
                <w:p w14:paraId="2FD32839">
                  <w:pPr>
                    <w:tabs>
                      <w:tab w:val="center" w:pos="-10"/>
                      <w:tab w:val="left" w:pos="430"/>
                      <w:tab w:val="left" w:pos="618"/>
                    </w:tabs>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4</w:t>
                  </w:r>
                </w:p>
              </w:tc>
              <w:tc>
                <w:tcPr>
                  <w:tcW w:w="487" w:type="pct"/>
                  <w:vMerge w:val="restart"/>
                  <w:tcBorders>
                    <w:tl2br w:val="nil"/>
                    <w:tr2bl w:val="nil"/>
                  </w:tcBorders>
                  <w:noWrap w:val="0"/>
                  <w:vAlign w:val="center"/>
                </w:tcPr>
                <w:p w14:paraId="3D98CFE5">
                  <w:pPr>
                    <w:jc w:val="center"/>
                    <w:rPr>
                      <w:rFonts w:hint="default" w:ascii="Times New Roman" w:hAnsi="Times New Roman" w:eastAsia="宋体" w:cs="Times New Roman"/>
                      <w:color w:val="auto"/>
                      <w:sz w:val="21"/>
                      <w:szCs w:val="21"/>
                      <w:lang w:val="en-US" w:eastAsia="zh-CN"/>
                    </w:rPr>
                  </w:pPr>
                  <w:r>
                    <w:rPr>
                      <w:rFonts w:hint="eastAsia" w:cs="Times New Roman"/>
                      <w:color w:val="auto"/>
                      <w:lang w:val="en-US" w:eastAsia="zh-CN"/>
                    </w:rPr>
                    <w:t>粉碎</w:t>
                  </w:r>
                </w:p>
              </w:tc>
              <w:tc>
                <w:tcPr>
                  <w:tcW w:w="539" w:type="pct"/>
                  <w:tcBorders>
                    <w:tl2br w:val="nil"/>
                    <w:tr2bl w:val="nil"/>
                  </w:tcBorders>
                  <w:shd w:val="clear" w:color="auto" w:fill="auto"/>
                  <w:noWrap w:val="0"/>
                  <w:vAlign w:val="center"/>
                </w:tcPr>
                <w:p w14:paraId="28D04CE6">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粉碎机</w:t>
                  </w:r>
                </w:p>
              </w:tc>
              <w:tc>
                <w:tcPr>
                  <w:tcW w:w="899" w:type="pct"/>
                  <w:tcBorders>
                    <w:tl2br w:val="nil"/>
                    <w:tr2bl w:val="nil"/>
                  </w:tcBorders>
                  <w:shd w:val="clear" w:color="auto" w:fill="auto"/>
                  <w:noWrap w:val="0"/>
                  <w:vAlign w:val="center"/>
                </w:tcPr>
                <w:p w14:paraId="0E85FDBC">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PC-400</w:t>
                  </w:r>
                </w:p>
              </w:tc>
              <w:tc>
                <w:tcPr>
                  <w:tcW w:w="537" w:type="pct"/>
                  <w:tcBorders>
                    <w:tl2br w:val="nil"/>
                    <w:tr2bl w:val="nil"/>
                  </w:tcBorders>
                  <w:shd w:val="clear" w:color="auto" w:fill="auto"/>
                  <w:noWrap w:val="0"/>
                  <w:vAlign w:val="center"/>
                </w:tcPr>
                <w:p w14:paraId="69D6B275">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2</w:t>
                  </w:r>
                </w:p>
              </w:tc>
              <w:tc>
                <w:tcPr>
                  <w:tcW w:w="679" w:type="pct"/>
                  <w:tcBorders>
                    <w:tl2br w:val="nil"/>
                    <w:tr2bl w:val="nil"/>
                  </w:tcBorders>
                  <w:shd w:val="clear" w:color="auto" w:fill="auto"/>
                  <w:noWrap w:val="0"/>
                  <w:vAlign w:val="center"/>
                </w:tcPr>
                <w:p w14:paraId="07081008">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w:t>
                  </w:r>
                </w:p>
              </w:tc>
              <w:tc>
                <w:tcPr>
                  <w:tcW w:w="554" w:type="pct"/>
                  <w:tcBorders>
                    <w:tl2br w:val="nil"/>
                    <w:tr2bl w:val="nil"/>
                  </w:tcBorders>
                  <w:noWrap w:val="0"/>
                  <w:vAlign w:val="center"/>
                </w:tcPr>
                <w:p w14:paraId="24153909">
                  <w:pPr>
                    <w:jc w:val="center"/>
                    <w:rPr>
                      <w:rFonts w:hint="default" w:ascii="Times New Roman" w:hAnsi="Times New Roman" w:eastAsia="宋体" w:cs="Times New Roman"/>
                      <w:bCs/>
                      <w:color w:val="auto"/>
                      <w:sz w:val="21"/>
                      <w:szCs w:val="21"/>
                      <w:lang w:val="en-US" w:eastAsia="zh-CN"/>
                    </w:rPr>
                  </w:pPr>
                </w:p>
              </w:tc>
              <w:tc>
                <w:tcPr>
                  <w:tcW w:w="950" w:type="pct"/>
                  <w:tcBorders>
                    <w:tl2br w:val="nil"/>
                    <w:tr2bl w:val="nil"/>
                  </w:tcBorders>
                  <w:noWrap w:val="0"/>
                  <w:vAlign w:val="center"/>
                </w:tcPr>
                <w:p w14:paraId="6B29836D">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搬迁</w:t>
                  </w:r>
                </w:p>
              </w:tc>
            </w:tr>
            <w:tr w14:paraId="102650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352" w:type="pct"/>
                  <w:tcBorders>
                    <w:tl2br w:val="nil"/>
                    <w:tr2bl w:val="nil"/>
                  </w:tcBorders>
                  <w:shd w:val="clear" w:color="auto" w:fill="auto"/>
                  <w:noWrap w:val="0"/>
                  <w:vAlign w:val="center"/>
                </w:tcPr>
                <w:p w14:paraId="767C02F3">
                  <w:pPr>
                    <w:tabs>
                      <w:tab w:val="center" w:pos="-10"/>
                      <w:tab w:val="left" w:pos="430"/>
                      <w:tab w:val="left" w:pos="618"/>
                    </w:tabs>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5</w:t>
                  </w:r>
                </w:p>
              </w:tc>
              <w:tc>
                <w:tcPr>
                  <w:tcW w:w="487" w:type="pct"/>
                  <w:vMerge w:val="continue"/>
                  <w:tcBorders>
                    <w:tl2br w:val="nil"/>
                    <w:tr2bl w:val="nil"/>
                  </w:tcBorders>
                  <w:noWrap w:val="0"/>
                  <w:vAlign w:val="center"/>
                </w:tcPr>
                <w:p w14:paraId="2A50367A">
                  <w:pPr>
                    <w:jc w:val="center"/>
                    <w:rPr>
                      <w:rFonts w:hint="default" w:ascii="Times New Roman" w:hAnsi="Times New Roman" w:eastAsia="宋体" w:cs="Times New Roman"/>
                      <w:color w:val="auto"/>
                      <w:sz w:val="21"/>
                      <w:szCs w:val="21"/>
                      <w:lang w:val="en-US" w:eastAsia="zh-CN"/>
                    </w:rPr>
                  </w:pPr>
                </w:p>
              </w:tc>
              <w:tc>
                <w:tcPr>
                  <w:tcW w:w="539" w:type="pct"/>
                  <w:tcBorders>
                    <w:tl2br w:val="nil"/>
                    <w:tr2bl w:val="nil"/>
                  </w:tcBorders>
                  <w:shd w:val="clear" w:color="auto" w:fill="auto"/>
                  <w:noWrap w:val="0"/>
                  <w:vAlign w:val="center"/>
                </w:tcPr>
                <w:p w14:paraId="16A3A616">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粉碎机</w:t>
                  </w:r>
                </w:p>
              </w:tc>
              <w:tc>
                <w:tcPr>
                  <w:tcW w:w="899" w:type="pct"/>
                  <w:tcBorders>
                    <w:tl2br w:val="nil"/>
                    <w:tr2bl w:val="nil"/>
                  </w:tcBorders>
                  <w:shd w:val="clear" w:color="auto" w:fill="auto"/>
                  <w:noWrap w:val="0"/>
                  <w:vAlign w:val="center"/>
                </w:tcPr>
                <w:p w14:paraId="46443480">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PC-200（粉碎能力50kg/h）</w:t>
                  </w:r>
                </w:p>
              </w:tc>
              <w:tc>
                <w:tcPr>
                  <w:tcW w:w="537" w:type="pct"/>
                  <w:tcBorders>
                    <w:tl2br w:val="nil"/>
                    <w:tr2bl w:val="nil"/>
                  </w:tcBorders>
                  <w:shd w:val="clear" w:color="auto" w:fill="auto"/>
                  <w:noWrap w:val="0"/>
                  <w:vAlign w:val="center"/>
                </w:tcPr>
                <w:p w14:paraId="44B3E9F3">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w:t>
                  </w:r>
                </w:p>
              </w:tc>
              <w:tc>
                <w:tcPr>
                  <w:tcW w:w="679" w:type="pct"/>
                  <w:tcBorders>
                    <w:tl2br w:val="nil"/>
                    <w:tr2bl w:val="nil"/>
                  </w:tcBorders>
                  <w:shd w:val="clear" w:color="auto" w:fill="auto"/>
                  <w:noWrap w:val="0"/>
                  <w:vAlign w:val="center"/>
                </w:tcPr>
                <w:p w14:paraId="4086D61F">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3</w:t>
                  </w:r>
                </w:p>
              </w:tc>
              <w:tc>
                <w:tcPr>
                  <w:tcW w:w="554" w:type="pct"/>
                  <w:tcBorders>
                    <w:tl2br w:val="nil"/>
                    <w:tr2bl w:val="nil"/>
                  </w:tcBorders>
                  <w:noWrap w:val="0"/>
                  <w:vAlign w:val="center"/>
                </w:tcPr>
                <w:p w14:paraId="0D9B1F33">
                  <w:pPr>
                    <w:jc w:val="center"/>
                    <w:rPr>
                      <w:rFonts w:hint="default" w:ascii="Times New Roman" w:hAnsi="Times New Roman" w:eastAsia="宋体" w:cs="Times New Roman"/>
                      <w:bCs/>
                      <w:color w:val="auto"/>
                      <w:sz w:val="21"/>
                      <w:szCs w:val="21"/>
                      <w:lang w:val="en-US" w:eastAsia="zh-CN"/>
                    </w:rPr>
                  </w:pPr>
                </w:p>
              </w:tc>
              <w:tc>
                <w:tcPr>
                  <w:tcW w:w="950" w:type="pct"/>
                  <w:tcBorders>
                    <w:tl2br w:val="nil"/>
                    <w:tr2bl w:val="nil"/>
                  </w:tcBorders>
                  <w:noWrap w:val="0"/>
                  <w:vAlign w:val="center"/>
                </w:tcPr>
                <w:p w14:paraId="39D7B5CE">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搬迁</w:t>
                  </w:r>
                </w:p>
              </w:tc>
            </w:tr>
            <w:tr w14:paraId="67AC70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352" w:type="pct"/>
                  <w:tcBorders>
                    <w:tl2br w:val="nil"/>
                    <w:tr2bl w:val="nil"/>
                  </w:tcBorders>
                  <w:shd w:val="clear" w:color="auto" w:fill="auto"/>
                  <w:noWrap w:val="0"/>
                  <w:vAlign w:val="center"/>
                </w:tcPr>
                <w:p w14:paraId="6369CDC2">
                  <w:pPr>
                    <w:tabs>
                      <w:tab w:val="center" w:pos="-10"/>
                      <w:tab w:val="left" w:pos="430"/>
                      <w:tab w:val="left" w:pos="618"/>
                    </w:tabs>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5</w:t>
                  </w:r>
                </w:p>
              </w:tc>
              <w:tc>
                <w:tcPr>
                  <w:tcW w:w="487" w:type="pct"/>
                  <w:vMerge w:val="restart"/>
                  <w:tcBorders>
                    <w:tl2br w:val="nil"/>
                    <w:tr2bl w:val="nil"/>
                  </w:tcBorders>
                  <w:noWrap w:val="0"/>
                  <w:vAlign w:val="center"/>
                </w:tcPr>
                <w:p w14:paraId="4899F0F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其他</w:t>
                  </w:r>
                </w:p>
              </w:tc>
              <w:tc>
                <w:tcPr>
                  <w:tcW w:w="539" w:type="pct"/>
                  <w:tcBorders>
                    <w:tl2br w:val="nil"/>
                    <w:tr2bl w:val="nil"/>
                  </w:tcBorders>
                  <w:shd w:val="clear" w:color="auto" w:fill="auto"/>
                  <w:noWrap w:val="0"/>
                  <w:vAlign w:val="center"/>
                </w:tcPr>
                <w:p w14:paraId="5DBAE90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空压机</w:t>
                  </w:r>
                </w:p>
              </w:tc>
              <w:tc>
                <w:tcPr>
                  <w:tcW w:w="899" w:type="pct"/>
                  <w:tcBorders>
                    <w:tl2br w:val="nil"/>
                    <w:tr2bl w:val="nil"/>
                  </w:tcBorders>
                  <w:noWrap w:val="0"/>
                  <w:vAlign w:val="center"/>
                </w:tcPr>
                <w:p w14:paraId="6191172E">
                  <w:pPr>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LG-3.6/80</w:t>
                  </w:r>
                </w:p>
              </w:tc>
              <w:tc>
                <w:tcPr>
                  <w:tcW w:w="537" w:type="pct"/>
                  <w:tcBorders>
                    <w:tl2br w:val="nil"/>
                    <w:tr2bl w:val="nil"/>
                  </w:tcBorders>
                  <w:shd w:val="clear" w:color="auto" w:fill="auto"/>
                  <w:noWrap w:val="0"/>
                  <w:vAlign w:val="center"/>
                </w:tcPr>
                <w:p w14:paraId="20AE80F5">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2</w:t>
                  </w:r>
                </w:p>
              </w:tc>
              <w:tc>
                <w:tcPr>
                  <w:tcW w:w="679" w:type="pct"/>
                  <w:tcBorders>
                    <w:tl2br w:val="nil"/>
                    <w:tr2bl w:val="nil"/>
                  </w:tcBorders>
                  <w:shd w:val="clear" w:color="auto" w:fill="auto"/>
                  <w:noWrap w:val="0"/>
                  <w:vAlign w:val="center"/>
                </w:tcPr>
                <w:p w14:paraId="246B0512">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2</w:t>
                  </w:r>
                </w:p>
              </w:tc>
              <w:tc>
                <w:tcPr>
                  <w:tcW w:w="554" w:type="pct"/>
                  <w:tcBorders>
                    <w:tl2br w:val="nil"/>
                    <w:tr2bl w:val="nil"/>
                  </w:tcBorders>
                  <w:noWrap w:val="0"/>
                  <w:vAlign w:val="center"/>
                </w:tcPr>
                <w:p w14:paraId="3DB55845">
                  <w:pPr>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 w:val="0"/>
                      <w:bCs/>
                      <w:color w:val="auto"/>
                      <w:sz w:val="21"/>
                      <w:szCs w:val="21"/>
                      <w:lang w:val="en-US" w:eastAsia="zh-CN"/>
                    </w:rPr>
                    <w:t>0</w:t>
                  </w:r>
                </w:p>
              </w:tc>
              <w:tc>
                <w:tcPr>
                  <w:tcW w:w="950" w:type="pct"/>
                  <w:tcBorders>
                    <w:tl2br w:val="nil"/>
                    <w:tr2bl w:val="nil"/>
                  </w:tcBorders>
                  <w:noWrap w:val="0"/>
                  <w:vAlign w:val="center"/>
                </w:tcPr>
                <w:p w14:paraId="262EAEB0">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搬迁</w:t>
                  </w:r>
                </w:p>
              </w:tc>
            </w:tr>
            <w:tr w14:paraId="1C8370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352" w:type="pct"/>
                  <w:tcBorders>
                    <w:tl2br w:val="nil"/>
                    <w:tr2bl w:val="nil"/>
                  </w:tcBorders>
                  <w:shd w:val="clear" w:color="auto" w:fill="auto"/>
                  <w:noWrap w:val="0"/>
                  <w:vAlign w:val="center"/>
                </w:tcPr>
                <w:p w14:paraId="47391511">
                  <w:pPr>
                    <w:tabs>
                      <w:tab w:val="center" w:pos="-10"/>
                      <w:tab w:val="left" w:pos="430"/>
                      <w:tab w:val="left" w:pos="618"/>
                    </w:tabs>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6</w:t>
                  </w:r>
                </w:p>
              </w:tc>
              <w:tc>
                <w:tcPr>
                  <w:tcW w:w="487" w:type="pct"/>
                  <w:vMerge w:val="continue"/>
                  <w:tcBorders>
                    <w:tl2br w:val="nil"/>
                    <w:tr2bl w:val="nil"/>
                  </w:tcBorders>
                  <w:noWrap w:val="0"/>
                  <w:vAlign w:val="center"/>
                </w:tcPr>
                <w:p w14:paraId="177E968B">
                  <w:pPr>
                    <w:jc w:val="center"/>
                    <w:rPr>
                      <w:rFonts w:hint="default" w:ascii="Times New Roman" w:hAnsi="Times New Roman" w:eastAsia="宋体" w:cs="Times New Roman"/>
                      <w:bCs/>
                      <w:color w:val="auto"/>
                      <w:sz w:val="21"/>
                      <w:szCs w:val="21"/>
                    </w:rPr>
                  </w:pPr>
                </w:p>
              </w:tc>
              <w:tc>
                <w:tcPr>
                  <w:tcW w:w="539" w:type="pct"/>
                  <w:tcBorders>
                    <w:tl2br w:val="nil"/>
                    <w:tr2bl w:val="nil"/>
                  </w:tcBorders>
                  <w:shd w:val="clear" w:color="auto" w:fill="auto"/>
                  <w:noWrap w:val="0"/>
                  <w:vAlign w:val="center"/>
                </w:tcPr>
                <w:p w14:paraId="1EDA9139">
                  <w:pPr>
                    <w:widowControl/>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冷却塔</w:t>
                  </w:r>
                </w:p>
              </w:tc>
              <w:tc>
                <w:tcPr>
                  <w:tcW w:w="899" w:type="pct"/>
                  <w:tcBorders>
                    <w:tl2br w:val="nil"/>
                    <w:tr2bl w:val="nil"/>
                  </w:tcBorders>
                  <w:shd w:val="clear" w:color="auto" w:fill="auto"/>
                  <w:noWrap w:val="0"/>
                  <w:vAlign w:val="center"/>
                </w:tcPr>
                <w:p w14:paraId="2D29E996">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SCT-60</w:t>
                  </w:r>
                </w:p>
              </w:tc>
              <w:tc>
                <w:tcPr>
                  <w:tcW w:w="537" w:type="pct"/>
                  <w:tcBorders>
                    <w:tl2br w:val="nil"/>
                    <w:tr2bl w:val="nil"/>
                  </w:tcBorders>
                  <w:shd w:val="clear" w:color="auto" w:fill="auto"/>
                  <w:noWrap w:val="0"/>
                  <w:vAlign w:val="center"/>
                </w:tcPr>
                <w:p w14:paraId="128FEC81">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2</w:t>
                  </w:r>
                </w:p>
              </w:tc>
              <w:tc>
                <w:tcPr>
                  <w:tcW w:w="679" w:type="pct"/>
                  <w:tcBorders>
                    <w:tl2br w:val="nil"/>
                    <w:tr2bl w:val="nil"/>
                  </w:tcBorders>
                  <w:shd w:val="clear" w:color="auto" w:fill="auto"/>
                  <w:noWrap w:val="0"/>
                  <w:vAlign w:val="center"/>
                </w:tcPr>
                <w:p w14:paraId="3AA7D8EF">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2</w:t>
                  </w:r>
                </w:p>
              </w:tc>
              <w:tc>
                <w:tcPr>
                  <w:tcW w:w="554" w:type="pct"/>
                  <w:tcBorders>
                    <w:tl2br w:val="nil"/>
                    <w:tr2bl w:val="nil"/>
                  </w:tcBorders>
                  <w:noWrap w:val="0"/>
                  <w:vAlign w:val="center"/>
                </w:tcPr>
                <w:p w14:paraId="4DA486B8">
                  <w:pPr>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 w:val="0"/>
                      <w:bCs/>
                      <w:color w:val="auto"/>
                      <w:sz w:val="21"/>
                      <w:szCs w:val="21"/>
                      <w:lang w:val="en-US" w:eastAsia="zh-CN"/>
                    </w:rPr>
                    <w:t>0</w:t>
                  </w:r>
                </w:p>
              </w:tc>
              <w:tc>
                <w:tcPr>
                  <w:tcW w:w="950" w:type="pct"/>
                  <w:tcBorders>
                    <w:tl2br w:val="nil"/>
                    <w:tr2bl w:val="nil"/>
                  </w:tcBorders>
                  <w:noWrap w:val="0"/>
                  <w:vAlign w:val="center"/>
                </w:tcPr>
                <w:p w14:paraId="46ADA243">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搬迁</w:t>
                  </w:r>
                </w:p>
              </w:tc>
            </w:tr>
            <w:tr w14:paraId="2C1C16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352" w:type="pct"/>
                  <w:tcBorders>
                    <w:tl2br w:val="nil"/>
                    <w:tr2bl w:val="nil"/>
                  </w:tcBorders>
                  <w:shd w:val="clear" w:color="auto" w:fill="auto"/>
                  <w:noWrap w:val="0"/>
                  <w:vAlign w:val="center"/>
                </w:tcPr>
                <w:p w14:paraId="28B74955">
                  <w:pPr>
                    <w:tabs>
                      <w:tab w:val="center" w:pos="-10"/>
                      <w:tab w:val="left" w:pos="430"/>
                      <w:tab w:val="left" w:pos="618"/>
                    </w:tabs>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7</w:t>
                  </w:r>
                </w:p>
              </w:tc>
              <w:tc>
                <w:tcPr>
                  <w:tcW w:w="487" w:type="pct"/>
                  <w:vMerge w:val="continue"/>
                  <w:tcBorders>
                    <w:tl2br w:val="nil"/>
                    <w:tr2bl w:val="nil"/>
                  </w:tcBorders>
                  <w:noWrap w:val="0"/>
                  <w:vAlign w:val="center"/>
                </w:tcPr>
                <w:p w14:paraId="6FB1BCBF">
                  <w:pPr>
                    <w:jc w:val="center"/>
                    <w:rPr>
                      <w:rFonts w:hint="default" w:ascii="Times New Roman" w:hAnsi="Times New Roman" w:eastAsia="宋体" w:cs="Times New Roman"/>
                      <w:bCs/>
                      <w:color w:val="auto"/>
                      <w:sz w:val="21"/>
                      <w:szCs w:val="21"/>
                      <w:lang w:val="en-US" w:eastAsia="zh-CN"/>
                    </w:rPr>
                  </w:pPr>
                </w:p>
              </w:tc>
              <w:tc>
                <w:tcPr>
                  <w:tcW w:w="539" w:type="pct"/>
                  <w:tcBorders>
                    <w:tl2br w:val="nil"/>
                    <w:tr2bl w:val="nil"/>
                  </w:tcBorders>
                  <w:shd w:val="clear" w:color="auto" w:fill="auto"/>
                  <w:noWrap w:val="0"/>
                  <w:vAlign w:val="center"/>
                </w:tcPr>
                <w:p w14:paraId="66586F8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自动组装机</w:t>
                  </w:r>
                </w:p>
              </w:tc>
              <w:tc>
                <w:tcPr>
                  <w:tcW w:w="899" w:type="pct"/>
                  <w:tcBorders>
                    <w:tl2br w:val="nil"/>
                    <w:tr2bl w:val="nil"/>
                  </w:tcBorders>
                  <w:shd w:val="clear" w:color="auto" w:fill="auto"/>
                  <w:noWrap w:val="0"/>
                  <w:vAlign w:val="center"/>
                </w:tcPr>
                <w:p w14:paraId="36561BE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537" w:type="pct"/>
                  <w:tcBorders>
                    <w:tl2br w:val="nil"/>
                    <w:tr2bl w:val="nil"/>
                  </w:tcBorders>
                  <w:shd w:val="clear" w:color="auto" w:fill="auto"/>
                  <w:noWrap w:val="0"/>
                  <w:vAlign w:val="center"/>
                </w:tcPr>
                <w:p w14:paraId="441F06E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w:t>
                  </w:r>
                </w:p>
              </w:tc>
              <w:tc>
                <w:tcPr>
                  <w:tcW w:w="679" w:type="pct"/>
                  <w:tcBorders>
                    <w:tl2br w:val="nil"/>
                    <w:tr2bl w:val="nil"/>
                  </w:tcBorders>
                  <w:shd w:val="clear" w:color="auto" w:fill="auto"/>
                  <w:noWrap w:val="0"/>
                  <w:vAlign w:val="center"/>
                </w:tcPr>
                <w:p w14:paraId="39D984E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26</w:t>
                  </w:r>
                </w:p>
              </w:tc>
              <w:tc>
                <w:tcPr>
                  <w:tcW w:w="554" w:type="pct"/>
                  <w:tcBorders>
                    <w:tl2br w:val="nil"/>
                    <w:tr2bl w:val="nil"/>
                  </w:tcBorders>
                  <w:noWrap w:val="0"/>
                  <w:vAlign w:val="center"/>
                </w:tcPr>
                <w:p w14:paraId="6C224608">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0</w:t>
                  </w:r>
                </w:p>
              </w:tc>
              <w:tc>
                <w:tcPr>
                  <w:tcW w:w="950" w:type="pct"/>
                  <w:tcBorders>
                    <w:tl2br w:val="nil"/>
                    <w:tr2bl w:val="nil"/>
                  </w:tcBorders>
                  <w:noWrap w:val="0"/>
                  <w:vAlign w:val="center"/>
                </w:tcPr>
                <w:p w14:paraId="6750A5C7">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搬迁</w:t>
                  </w:r>
                </w:p>
              </w:tc>
            </w:tr>
            <w:tr w14:paraId="0D22BD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jc w:val="center"/>
              </w:trPr>
              <w:tc>
                <w:tcPr>
                  <w:tcW w:w="352" w:type="pct"/>
                  <w:tcBorders>
                    <w:tl2br w:val="nil"/>
                    <w:tr2bl w:val="nil"/>
                  </w:tcBorders>
                  <w:shd w:val="clear" w:color="auto" w:fill="auto"/>
                  <w:noWrap w:val="0"/>
                  <w:vAlign w:val="center"/>
                </w:tcPr>
                <w:p w14:paraId="63935696">
                  <w:pPr>
                    <w:tabs>
                      <w:tab w:val="center" w:pos="-10"/>
                      <w:tab w:val="left" w:pos="430"/>
                      <w:tab w:val="left" w:pos="618"/>
                    </w:tabs>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8</w:t>
                  </w:r>
                </w:p>
              </w:tc>
              <w:tc>
                <w:tcPr>
                  <w:tcW w:w="487" w:type="pct"/>
                  <w:vMerge w:val="continue"/>
                  <w:tcBorders>
                    <w:tl2br w:val="nil"/>
                    <w:tr2bl w:val="nil"/>
                  </w:tcBorders>
                  <w:noWrap w:val="0"/>
                  <w:vAlign w:val="center"/>
                </w:tcPr>
                <w:p w14:paraId="5BF57091">
                  <w:pPr>
                    <w:widowControl/>
                    <w:jc w:val="center"/>
                    <w:rPr>
                      <w:rFonts w:hint="default" w:ascii="Times New Roman" w:hAnsi="Times New Roman" w:eastAsia="宋体" w:cs="Times New Roman"/>
                      <w:color w:val="auto"/>
                      <w:kern w:val="0"/>
                      <w:sz w:val="21"/>
                      <w:szCs w:val="21"/>
                    </w:rPr>
                  </w:pPr>
                </w:p>
              </w:tc>
              <w:tc>
                <w:tcPr>
                  <w:tcW w:w="539" w:type="pct"/>
                  <w:tcBorders>
                    <w:tl2br w:val="nil"/>
                    <w:tr2bl w:val="nil"/>
                  </w:tcBorders>
                  <w:shd w:val="clear" w:color="auto" w:fill="auto"/>
                  <w:noWrap w:val="0"/>
                  <w:vAlign w:val="center"/>
                </w:tcPr>
                <w:p w14:paraId="24071AD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干燥机</w:t>
                  </w:r>
                </w:p>
              </w:tc>
              <w:tc>
                <w:tcPr>
                  <w:tcW w:w="899" w:type="pct"/>
                  <w:tcBorders>
                    <w:tl2br w:val="nil"/>
                    <w:tr2bl w:val="nil"/>
                  </w:tcBorders>
                  <w:shd w:val="clear" w:color="auto" w:fill="auto"/>
                  <w:noWrap w:val="0"/>
                  <w:vAlign w:val="center"/>
                </w:tcPr>
                <w:p w14:paraId="71F0664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537" w:type="pct"/>
                  <w:tcBorders>
                    <w:tl2br w:val="nil"/>
                    <w:tr2bl w:val="nil"/>
                  </w:tcBorders>
                  <w:shd w:val="clear" w:color="auto" w:fill="auto"/>
                  <w:noWrap w:val="0"/>
                  <w:vAlign w:val="center"/>
                </w:tcPr>
                <w:p w14:paraId="3BF2E3D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10</w:t>
                  </w:r>
                </w:p>
              </w:tc>
              <w:tc>
                <w:tcPr>
                  <w:tcW w:w="679" w:type="pct"/>
                  <w:tcBorders>
                    <w:tl2br w:val="nil"/>
                    <w:tr2bl w:val="nil"/>
                  </w:tcBorders>
                  <w:shd w:val="clear" w:color="auto" w:fill="auto"/>
                  <w:noWrap w:val="0"/>
                  <w:vAlign w:val="center"/>
                </w:tcPr>
                <w:p w14:paraId="17E04E0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10</w:t>
                  </w:r>
                </w:p>
              </w:tc>
              <w:tc>
                <w:tcPr>
                  <w:tcW w:w="554" w:type="pct"/>
                  <w:tcBorders>
                    <w:tl2br w:val="nil"/>
                    <w:tr2bl w:val="nil"/>
                  </w:tcBorders>
                  <w:noWrap w:val="0"/>
                  <w:vAlign w:val="center"/>
                </w:tcPr>
                <w:p w14:paraId="461FAD4E">
                  <w:pPr>
                    <w:adjustRightInd w:val="0"/>
                    <w:snapToGrid w:val="0"/>
                    <w:spacing w:line="240" w:lineRule="auto"/>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0</w:t>
                  </w:r>
                </w:p>
              </w:tc>
              <w:tc>
                <w:tcPr>
                  <w:tcW w:w="950" w:type="pct"/>
                  <w:tcBorders>
                    <w:tl2br w:val="nil"/>
                    <w:tr2bl w:val="nil"/>
                  </w:tcBorders>
                  <w:noWrap w:val="0"/>
                  <w:vAlign w:val="center"/>
                </w:tcPr>
                <w:p w14:paraId="0568629B">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搬迁</w:t>
                  </w:r>
                </w:p>
              </w:tc>
            </w:tr>
            <w:tr w14:paraId="3D35A3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2278" w:type="pct"/>
                  <w:gridSpan w:val="4"/>
                  <w:tcBorders>
                    <w:tl2br w:val="nil"/>
                    <w:tr2bl w:val="nil"/>
                  </w:tcBorders>
                  <w:noWrap w:val="0"/>
                  <w:vAlign w:val="center"/>
                </w:tcPr>
                <w:p w14:paraId="2464E5E0">
                  <w:pPr>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合计</w:t>
                  </w:r>
                </w:p>
              </w:tc>
              <w:tc>
                <w:tcPr>
                  <w:tcW w:w="537" w:type="pct"/>
                  <w:tcBorders>
                    <w:tl2br w:val="nil"/>
                    <w:tr2bl w:val="nil"/>
                  </w:tcBorders>
                  <w:noWrap w:val="0"/>
                  <w:vAlign w:val="center"/>
                </w:tcPr>
                <w:p w14:paraId="09F96212">
                  <w:pPr>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93</w:t>
                  </w:r>
                </w:p>
              </w:tc>
              <w:tc>
                <w:tcPr>
                  <w:tcW w:w="679" w:type="pct"/>
                  <w:tcBorders>
                    <w:tl2br w:val="nil"/>
                    <w:tr2bl w:val="nil"/>
                  </w:tcBorders>
                  <w:noWrap w:val="0"/>
                  <w:vAlign w:val="center"/>
                </w:tcPr>
                <w:p w14:paraId="0498294C">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103</w:t>
                  </w:r>
                </w:p>
              </w:tc>
              <w:tc>
                <w:tcPr>
                  <w:tcW w:w="554" w:type="pct"/>
                  <w:tcBorders>
                    <w:tl2br w:val="nil"/>
                    <w:tr2bl w:val="nil"/>
                  </w:tcBorders>
                  <w:noWrap w:val="0"/>
                  <w:vAlign w:val="center"/>
                </w:tcPr>
                <w:p w14:paraId="509907CB">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+10</w:t>
                  </w:r>
                </w:p>
              </w:tc>
              <w:tc>
                <w:tcPr>
                  <w:tcW w:w="950" w:type="pct"/>
                  <w:tcBorders>
                    <w:tl2br w:val="nil"/>
                    <w:tr2bl w:val="nil"/>
                  </w:tcBorders>
                  <w:shd w:val="clear" w:color="auto" w:fill="auto"/>
                  <w:noWrap w:val="0"/>
                  <w:vAlign w:val="center"/>
                </w:tcPr>
                <w:p w14:paraId="10A00048">
                  <w:pPr>
                    <w:jc w:val="center"/>
                    <w:rPr>
                      <w:rFonts w:hint="default" w:ascii="Times New Roman" w:hAnsi="Times New Roman" w:eastAsia="宋体" w:cs="Times New Roman"/>
                      <w:bCs/>
                      <w:color w:val="auto"/>
                      <w:kern w:val="2"/>
                      <w:sz w:val="21"/>
                      <w:szCs w:val="21"/>
                      <w:lang w:val="en-US" w:eastAsia="zh-CN" w:bidi="ar-SA"/>
                    </w:rPr>
                  </w:pPr>
                </w:p>
              </w:tc>
            </w:tr>
            <w:bookmarkEnd w:id="3"/>
          </w:tbl>
          <w:p w14:paraId="2A124620">
            <w:pPr>
              <w:keepNext w:val="0"/>
              <w:keepLines w:val="0"/>
              <w:pageBreakBefore w:val="0"/>
              <w:widowControl w:val="0"/>
              <w:kinsoku/>
              <w:wordWrap/>
              <w:overflowPunct/>
              <w:topLinePunct w:val="0"/>
              <w:autoSpaceDE/>
              <w:autoSpaceDN/>
              <w:bidi w:val="0"/>
              <w:adjustRightInd w:val="0"/>
              <w:snapToGrid w:val="0"/>
              <w:spacing w:before="156" w:beforeLines="50" w:line="360" w:lineRule="auto"/>
              <w:textAlignment w:val="auto"/>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5</w:t>
            </w:r>
            <w:r>
              <w:rPr>
                <w:rFonts w:hint="eastAsia" w:ascii="Times New Roman" w:hAnsi="Times New Roman" w:eastAsia="宋体" w:cs="Times New Roman"/>
                <w:b/>
                <w:bCs/>
                <w:color w:val="000000" w:themeColor="text1"/>
                <w:szCs w:val="21"/>
                <w14:textFill>
                  <w14:solidFill>
                    <w14:schemeClr w14:val="tx1"/>
                  </w14:solidFill>
                </w14:textFill>
              </w:rPr>
              <w:t>、建设项目地理位置、厂区平面布置及厂界周围</w:t>
            </w:r>
            <w:r>
              <w:rPr>
                <w:rFonts w:ascii="Times New Roman" w:hAnsi="Times New Roman" w:eastAsia="宋体" w:cs="Times New Roman"/>
                <w:b/>
                <w:bCs/>
                <w:color w:val="000000" w:themeColor="text1"/>
                <w:szCs w:val="21"/>
                <w14:textFill>
                  <w14:solidFill>
                    <w14:schemeClr w14:val="tx1"/>
                  </w14:solidFill>
                </w14:textFill>
              </w:rPr>
              <w:t>500</w:t>
            </w:r>
            <w:r>
              <w:rPr>
                <w:rFonts w:hint="eastAsia" w:ascii="Times New Roman" w:hAnsi="Times New Roman" w:eastAsia="宋体" w:cs="Times New Roman"/>
                <w:b/>
                <w:bCs/>
                <w:color w:val="000000" w:themeColor="text1"/>
                <w:szCs w:val="21"/>
                <w14:textFill>
                  <w14:solidFill>
                    <w14:schemeClr w14:val="tx1"/>
                  </w14:solidFill>
                </w14:textFill>
              </w:rPr>
              <w:t>米土地利用现状</w:t>
            </w:r>
          </w:p>
          <w:p w14:paraId="7FDC6765">
            <w:pPr>
              <w:pStyle w:val="135"/>
              <w:ind w:firstLine="496"/>
              <w:rPr>
                <w:rFonts w:hint="eastAsia"/>
                <w:color w:val="auto"/>
              </w:rPr>
            </w:pPr>
            <w:r>
              <w:rPr>
                <w:rFonts w:hint="eastAsia"/>
                <w:color w:val="auto"/>
              </w:rPr>
              <w:t>地理位置：江苏省</w:t>
            </w:r>
            <w:r>
              <w:rPr>
                <w:rFonts w:hint="default" w:ascii="Times New Roman" w:hAnsi="Times New Roman" w:eastAsia="宋体" w:cs="Times New Roman"/>
                <w:color w:val="000000" w:themeColor="text1"/>
                <w:szCs w:val="21"/>
                <w14:textFill>
                  <w14:solidFill>
                    <w14:schemeClr w14:val="tx1"/>
                  </w14:solidFill>
                </w14:textFill>
              </w:rPr>
              <w:t>无锡市江阴市月城镇月翔路15号</w:t>
            </w:r>
            <w:r>
              <w:rPr>
                <w:rFonts w:hint="eastAsia"/>
                <w:color w:val="auto"/>
              </w:rPr>
              <w:t>，具体地理位置见附图</w:t>
            </w:r>
            <w:r>
              <w:rPr>
                <w:color w:val="auto"/>
              </w:rPr>
              <w:t>1</w:t>
            </w:r>
            <w:r>
              <w:rPr>
                <w:rFonts w:hint="eastAsia"/>
                <w:color w:val="auto"/>
              </w:rPr>
              <w:t>。</w:t>
            </w:r>
          </w:p>
          <w:p w14:paraId="1A1901B5">
            <w:pPr>
              <w:pStyle w:val="135"/>
              <w:ind w:firstLine="496"/>
              <w:rPr>
                <w:rFonts w:hint="eastAsia"/>
                <w:color w:val="auto"/>
              </w:rPr>
            </w:pPr>
            <w:r>
              <w:rPr>
                <w:rFonts w:hint="eastAsia"/>
                <w:color w:val="auto"/>
              </w:rPr>
              <w:t>厂区平面</w:t>
            </w:r>
            <w:r>
              <w:rPr>
                <w:rFonts w:hint="eastAsia" w:ascii="Times New Roman" w:hAnsi="Times New Roman" w:eastAsia="宋体" w:cs="Times New Roman"/>
                <w:color w:val="auto"/>
              </w:rPr>
              <w:t>布置：本项目利用租赁厂房进行建</w:t>
            </w:r>
            <w:r>
              <w:rPr>
                <w:rFonts w:hint="eastAsia"/>
                <w:color w:val="auto"/>
              </w:rPr>
              <w:t>设，租赁</w:t>
            </w:r>
            <w:r>
              <w:rPr>
                <w:rFonts w:hint="eastAsia" w:ascii="Times New Roman" w:hAnsi="Times New Roman" w:eastAsia="宋体" w:cs="Times New Roman"/>
                <w:color w:val="000000" w:themeColor="text1"/>
                <w:szCs w:val="21"/>
                <w:lang w:val="en-US" w:eastAsia="zh-CN"/>
                <w14:textFill>
                  <w14:solidFill>
                    <w14:schemeClr w14:val="tx1"/>
                  </w14:solidFill>
                </w14:textFill>
              </w:rPr>
              <w:t>江阴市昊远包装材料有限公司1000m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新建厂房，1楼设置生产车间，2楼设置</w:t>
            </w:r>
            <w:r>
              <w:rPr>
                <w:rFonts w:hint="default" w:ascii="Times New Roman" w:hAnsi="Times New Roman" w:eastAsia="宋体" w:cs="Times New Roman"/>
                <w:color w:val="auto"/>
              </w:rPr>
              <w:t>原料仓库</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成品仓库</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危废仓库，</w:t>
            </w:r>
            <w:r>
              <w:rPr>
                <w:rFonts w:hint="eastAsia"/>
                <w:color w:val="auto"/>
              </w:rPr>
              <w:t>建设项目厂区平面布置具体见附图</w:t>
            </w:r>
            <w:r>
              <w:rPr>
                <w:rFonts w:hint="eastAsia"/>
                <w:color w:val="auto"/>
                <w:lang w:val="en-US" w:eastAsia="zh-CN"/>
              </w:rPr>
              <w:t>2</w:t>
            </w:r>
            <w:r>
              <w:rPr>
                <w:rFonts w:hint="eastAsia"/>
                <w:color w:val="auto"/>
              </w:rPr>
              <w:t>。</w:t>
            </w:r>
          </w:p>
          <w:p w14:paraId="0D748918">
            <w:pPr>
              <w:pStyle w:val="135"/>
              <w:ind w:firstLine="496"/>
              <w:rPr>
                <w:rFonts w:hint="default" w:eastAsia="宋体"/>
                <w:color w:val="auto"/>
                <w:lang w:val="en-US" w:eastAsia="zh-CN"/>
              </w:rPr>
            </w:pPr>
            <w:r>
              <w:rPr>
                <w:rFonts w:hint="eastAsia"/>
                <w:color w:val="auto"/>
                <w:lang w:val="zh-CN"/>
              </w:rPr>
              <w:t>建设项目厂界周围</w:t>
            </w:r>
            <w:r>
              <w:rPr>
                <w:color w:val="auto"/>
                <w:lang w:val="zh-CN"/>
              </w:rPr>
              <w:t>500</w:t>
            </w:r>
            <w:r>
              <w:rPr>
                <w:rFonts w:hint="eastAsia"/>
                <w:color w:val="auto"/>
                <w:lang w:val="zh-CN"/>
              </w:rPr>
              <w:t>米土地利用现状：项目位于</w:t>
            </w:r>
            <w:r>
              <w:rPr>
                <w:rFonts w:hint="eastAsia"/>
                <w:color w:val="auto"/>
              </w:rPr>
              <w:t>江苏省无锡市</w:t>
            </w:r>
            <w:r>
              <w:rPr>
                <w:rFonts w:hint="default" w:ascii="Times New Roman" w:hAnsi="Times New Roman" w:eastAsia="宋体" w:cs="Times New Roman"/>
                <w:color w:val="000000" w:themeColor="text1"/>
                <w:szCs w:val="21"/>
                <w14:textFill>
                  <w14:solidFill>
                    <w14:schemeClr w14:val="tx1"/>
                  </w14:solidFill>
                </w14:textFill>
              </w:rPr>
              <w:t>江阴市月城镇月翔路15号</w:t>
            </w:r>
            <w:r>
              <w:rPr>
                <w:rFonts w:hint="eastAsia"/>
                <w:color w:val="auto"/>
                <w:lang w:val="zh-CN"/>
              </w:rPr>
              <w:t>，根据现场勘查，</w:t>
            </w:r>
            <w:r>
              <w:rPr>
                <w:rFonts w:hint="eastAsia"/>
                <w:color w:val="auto"/>
                <w:lang w:val="en-US" w:eastAsia="zh-CN"/>
              </w:rPr>
              <w:t>厂房</w:t>
            </w:r>
            <w:r>
              <w:rPr>
                <w:rFonts w:hint="eastAsia"/>
                <w:color w:val="auto"/>
                <w:lang w:val="zh-CN"/>
              </w:rPr>
              <w:t>西侧为江阴庄道智能家居有限公司，</w:t>
            </w:r>
            <w:r>
              <w:rPr>
                <w:rFonts w:hint="eastAsia"/>
                <w:color w:val="auto"/>
                <w:lang w:val="en-US" w:eastAsia="zh-CN"/>
              </w:rPr>
              <w:t>南侧为鼎言密封件制造有限公司，东侧为农副产品配供中心，北侧隔月翔路为江阴机械制造有限公司。</w:t>
            </w:r>
            <w:r>
              <w:rPr>
                <w:rFonts w:hint="eastAsia"/>
                <w:color w:val="auto"/>
                <w:lang w:val="zh-CN"/>
              </w:rPr>
              <w:t>建设项目厂界周围</w:t>
            </w:r>
            <w:r>
              <w:rPr>
                <w:color w:val="auto"/>
                <w:lang w:val="zh-CN"/>
              </w:rPr>
              <w:t>500</w:t>
            </w:r>
            <w:r>
              <w:rPr>
                <w:rFonts w:hint="eastAsia"/>
                <w:color w:val="auto"/>
                <w:lang w:val="zh-CN"/>
              </w:rPr>
              <w:t>米内土地利用现状见附图</w:t>
            </w:r>
            <w:r>
              <w:rPr>
                <w:rFonts w:hint="eastAsia"/>
                <w:color w:val="auto"/>
                <w:lang w:val="en-US" w:eastAsia="zh-CN"/>
              </w:rPr>
              <w:t>3</w:t>
            </w:r>
            <w:r>
              <w:rPr>
                <w:rFonts w:hint="eastAsia"/>
                <w:color w:val="auto"/>
                <w:lang w:val="zh-CN"/>
              </w:rPr>
              <w:t>。</w:t>
            </w:r>
          </w:p>
          <w:p w14:paraId="014E54DF">
            <w:pPr>
              <w:keepNext w:val="0"/>
              <w:keepLines w:val="0"/>
              <w:pageBreakBefore w:val="0"/>
              <w:widowControl w:val="0"/>
              <w:kinsoku/>
              <w:wordWrap/>
              <w:overflowPunct/>
              <w:topLinePunct w:val="0"/>
              <w:autoSpaceDE/>
              <w:autoSpaceDN/>
              <w:bidi w:val="0"/>
              <w:adjustRightInd w:val="0"/>
              <w:snapToGrid w:val="0"/>
              <w:spacing w:before="156" w:beforeLines="50" w:line="360" w:lineRule="auto"/>
              <w:textAlignment w:val="auto"/>
              <w:rPr>
                <w:rFonts w:hint="eastAsia"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6、工作制度及劳动定员</w:t>
            </w:r>
          </w:p>
          <w:p w14:paraId="129BCCFE">
            <w:pPr>
              <w:pStyle w:val="135"/>
              <w:ind w:firstLine="496"/>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劳动定员：</w:t>
            </w:r>
            <w:r>
              <w:rPr>
                <w:rFonts w:hint="default" w:ascii="Times New Roman" w:hAnsi="Times New Roman" w:eastAsia="宋体" w:cs="Times New Roman"/>
                <w:color w:val="auto"/>
                <w:lang w:val="en-US" w:eastAsia="zh-CN"/>
              </w:rPr>
              <w:t>该公司</w:t>
            </w:r>
            <w:r>
              <w:rPr>
                <w:rFonts w:hint="eastAsia" w:ascii="Times New Roman" w:hAnsi="Times New Roman" w:eastAsia="宋体" w:cs="Times New Roman"/>
                <w:color w:val="auto"/>
                <w:lang w:val="en-US" w:eastAsia="zh-CN"/>
              </w:rPr>
              <w:t>搬迁</w:t>
            </w:r>
            <w:r>
              <w:rPr>
                <w:rFonts w:hint="default" w:ascii="Times New Roman" w:hAnsi="Times New Roman" w:eastAsia="宋体" w:cs="Times New Roman"/>
                <w:color w:val="auto"/>
                <w:lang w:val="en-US" w:eastAsia="zh-CN"/>
              </w:rPr>
              <w:t>前劳动定员</w:t>
            </w:r>
            <w:r>
              <w:rPr>
                <w:rFonts w:hint="eastAsia" w:ascii="Times New Roman" w:hAnsi="Times New Roman" w:eastAsia="宋体" w:cs="Times New Roman"/>
                <w:color w:val="auto"/>
                <w:lang w:val="en-US" w:eastAsia="zh-CN"/>
              </w:rPr>
              <w:t>30</w:t>
            </w:r>
            <w:r>
              <w:rPr>
                <w:rFonts w:hint="default" w:ascii="Times New Roman" w:hAnsi="Times New Roman" w:eastAsia="宋体" w:cs="Times New Roman"/>
                <w:color w:val="auto"/>
                <w:lang w:val="en-US" w:eastAsia="zh-CN"/>
              </w:rPr>
              <w:t>人</w:t>
            </w:r>
            <w:r>
              <w:rPr>
                <w:rFonts w:hint="eastAsia" w:ascii="Times New Roman" w:hAnsi="Times New Roman" w:eastAsia="宋体" w:cs="Times New Roman"/>
                <w:color w:val="auto"/>
                <w:lang w:val="en-US" w:eastAsia="zh-CN"/>
              </w:rPr>
              <w:t>，搬迁</w:t>
            </w:r>
            <w:r>
              <w:rPr>
                <w:rFonts w:hint="default" w:ascii="Times New Roman" w:hAnsi="Times New Roman" w:eastAsia="宋体" w:cs="Times New Roman"/>
                <w:color w:val="auto"/>
                <w:lang w:val="en-US" w:eastAsia="zh-CN"/>
              </w:rPr>
              <w:t>后</w:t>
            </w:r>
            <w:r>
              <w:rPr>
                <w:rFonts w:hint="eastAsia" w:ascii="Times New Roman" w:hAnsi="Times New Roman" w:eastAsia="宋体" w:cs="Times New Roman"/>
                <w:color w:val="auto"/>
                <w:lang w:val="en-US" w:eastAsia="zh-CN"/>
              </w:rPr>
              <w:t>全公司职工人数为30人。</w:t>
            </w:r>
          </w:p>
          <w:p w14:paraId="7B74DB76">
            <w:pPr>
              <w:pStyle w:val="135"/>
              <w:ind w:firstLine="496"/>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工作制度：该公司实行昼间一班8小时工作制，具体工作时间为8:00-17:00，中午休息1小时，年有效工作日为300天。（无宿舍、浴室）</w:t>
            </w:r>
          </w:p>
          <w:p w14:paraId="621B328E">
            <w:pPr>
              <w:keepNext w:val="0"/>
              <w:keepLines w:val="0"/>
              <w:pageBreakBefore w:val="0"/>
              <w:widowControl w:val="0"/>
              <w:kinsoku/>
              <w:wordWrap/>
              <w:overflowPunct/>
              <w:topLinePunct w:val="0"/>
              <w:autoSpaceDE/>
              <w:autoSpaceDN/>
              <w:bidi w:val="0"/>
              <w:adjustRightInd w:val="0"/>
              <w:snapToGrid w:val="0"/>
              <w:spacing w:before="156" w:beforeLines="50" w:line="360" w:lineRule="auto"/>
              <w:textAlignment w:val="auto"/>
              <w:rPr>
                <w:rFonts w:hint="eastAsia"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7、水平衡</w:t>
            </w:r>
          </w:p>
          <w:p w14:paraId="489D9140">
            <w:pPr>
              <w:pStyle w:val="135"/>
              <w:ind w:firstLine="496"/>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本项目用水主要为职工生活用水、隔套冷却水补充水，均采用自来水。</w:t>
            </w:r>
          </w:p>
          <w:p w14:paraId="3E53459A">
            <w:pPr>
              <w:pStyle w:val="135"/>
              <w:ind w:firstLine="496"/>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（1）水量平衡依据</w:t>
            </w:r>
          </w:p>
          <w:p w14:paraId="6D77183B">
            <w:pPr>
              <w:pStyle w:val="135"/>
              <w:ind w:firstLine="496"/>
              <w:rPr>
                <w:rFonts w:hint="default" w:ascii="Times New Roman" w:hAnsi="Times New Roman" w:eastAsia="宋体" w:cs="Times New Roman"/>
                <w:color w:val="auto"/>
                <w:lang w:val="en-US" w:eastAsia="zh-CN"/>
              </w:rPr>
            </w:pPr>
            <w:r>
              <w:rPr>
                <w:rFonts w:hint="default" w:ascii="Times New Roman" w:hAnsi="Times New Roman" w:eastAsia="宋体" w:cs="Times New Roman"/>
                <w:bCs/>
                <w:color w:val="auto"/>
                <w:kern w:val="2"/>
                <w:szCs w:val="24"/>
              </w:rPr>
              <w:t>根据《建筑给水排水设计标准》（GB50015-2019），工业企业建筑管理人员、车间工人的生活用水定额为30L/（人·班）~50L/（人·班），本报告采用50L/（人·班）</w:t>
            </w:r>
            <w:r>
              <w:rPr>
                <w:rFonts w:hint="default" w:ascii="Times New Roman" w:hAnsi="Times New Roman" w:eastAsia="宋体" w:cs="Times New Roman"/>
                <w:color w:val="auto"/>
                <w:lang w:val="en-US" w:eastAsia="zh-CN"/>
              </w:rPr>
              <w:t>，本项目劳动定员30人，年有效工作日300天计，则用水量为450t/a，损耗以20%计，则生活污水排放量为360t/a。</w:t>
            </w:r>
          </w:p>
          <w:p w14:paraId="5356C1FF">
            <w:pPr>
              <w:pStyle w:val="135"/>
              <w:ind w:firstLine="496"/>
              <w:rPr>
                <w:rFonts w:hint="default" w:ascii="Times New Roman" w:hAnsi="Times New Roman" w:eastAsia="宋体" w:cs="Times New Roman"/>
                <w:bCs/>
                <w:color w:val="auto"/>
                <w:kern w:val="2"/>
                <w:szCs w:val="24"/>
              </w:rPr>
            </w:pPr>
            <w:r>
              <w:rPr>
                <w:rFonts w:hint="default" w:ascii="Times New Roman" w:hAnsi="Times New Roman" w:eastAsia="宋体" w:cs="Times New Roman"/>
                <w:color w:val="auto"/>
                <w:lang w:val="en-US" w:eastAsia="zh-CN"/>
              </w:rPr>
              <w:t>隔套冷却水：本项目工艺中需要用到隔套冷却水，冷却水经冷却塔冷却后循环使用，由于蒸发损耗，需定期进行补充，冷却塔设备参数为500升/分钟（30立方米/小时），总</w:t>
            </w:r>
            <w:r>
              <w:rPr>
                <w:rFonts w:hint="default" w:ascii="Times New Roman" w:hAnsi="Times New Roman" w:eastAsia="宋体" w:cs="Times New Roman"/>
                <w:bCs/>
                <w:color w:val="auto"/>
                <w:kern w:val="2"/>
                <w:szCs w:val="24"/>
              </w:rPr>
              <w:t>循环量为</w:t>
            </w:r>
            <w:r>
              <w:rPr>
                <w:rFonts w:hint="default" w:ascii="Times New Roman" w:hAnsi="Times New Roman" w:eastAsia="宋体" w:cs="Times New Roman"/>
                <w:bCs/>
                <w:color w:val="auto"/>
                <w:kern w:val="2"/>
                <w:szCs w:val="24"/>
                <w:lang w:val="en-US" w:eastAsia="zh-CN"/>
              </w:rPr>
              <w:t>60</w:t>
            </w:r>
            <w:r>
              <w:rPr>
                <w:rFonts w:hint="default" w:ascii="Times New Roman" w:hAnsi="Times New Roman" w:eastAsia="宋体" w:cs="Times New Roman"/>
                <w:bCs/>
                <w:color w:val="auto"/>
                <w:kern w:val="2"/>
                <w:szCs w:val="24"/>
              </w:rPr>
              <w:t>t/h</w:t>
            </w:r>
            <w:r>
              <w:rPr>
                <w:rFonts w:hint="default" w:ascii="Times New Roman" w:hAnsi="Times New Roman" w:eastAsia="宋体" w:cs="Times New Roman"/>
                <w:bCs/>
                <w:color w:val="auto"/>
                <w:kern w:val="2"/>
                <w:szCs w:val="24"/>
                <w:lang w:eastAsia="zh-CN"/>
              </w:rPr>
              <w:t>，</w:t>
            </w:r>
            <w:r>
              <w:rPr>
                <w:rFonts w:hint="default" w:ascii="Times New Roman" w:hAnsi="Times New Roman" w:eastAsia="宋体" w:cs="Times New Roman"/>
                <w:bCs/>
                <w:color w:val="auto"/>
                <w:kern w:val="2"/>
                <w:szCs w:val="24"/>
              </w:rPr>
              <w:t>日运行时间为8小时，则循环用水量为</w:t>
            </w:r>
            <w:r>
              <w:rPr>
                <w:rFonts w:hint="default" w:ascii="Times New Roman" w:hAnsi="Times New Roman" w:eastAsia="宋体" w:cs="Times New Roman"/>
                <w:bCs/>
                <w:color w:val="auto"/>
                <w:kern w:val="2"/>
                <w:szCs w:val="24"/>
                <w:lang w:val="en-US" w:eastAsia="zh-CN"/>
              </w:rPr>
              <w:t>480</w:t>
            </w:r>
            <w:r>
              <w:rPr>
                <w:rFonts w:hint="default" w:ascii="Times New Roman" w:hAnsi="Times New Roman" w:eastAsia="宋体" w:cs="Times New Roman"/>
                <w:bCs/>
                <w:color w:val="auto"/>
                <w:kern w:val="2"/>
                <w:szCs w:val="24"/>
              </w:rPr>
              <w:t>t/d（</w:t>
            </w:r>
            <w:r>
              <w:rPr>
                <w:rFonts w:hint="default" w:ascii="Times New Roman" w:hAnsi="Times New Roman" w:eastAsia="宋体" w:cs="Times New Roman"/>
                <w:bCs/>
                <w:color w:val="auto"/>
                <w:kern w:val="2"/>
                <w:szCs w:val="24"/>
                <w:lang w:val="en-US" w:eastAsia="zh-CN"/>
              </w:rPr>
              <w:t>144000</w:t>
            </w:r>
            <w:r>
              <w:rPr>
                <w:rFonts w:hint="default" w:ascii="Times New Roman" w:hAnsi="Times New Roman" w:eastAsia="宋体" w:cs="Times New Roman"/>
                <w:bCs/>
                <w:color w:val="auto"/>
                <w:kern w:val="2"/>
                <w:szCs w:val="24"/>
              </w:rPr>
              <w:t>t/a），补充量按循环量的5%计，则补充量为</w:t>
            </w:r>
            <w:r>
              <w:rPr>
                <w:rFonts w:hint="default" w:ascii="Times New Roman" w:hAnsi="Times New Roman" w:eastAsia="宋体" w:cs="Times New Roman"/>
                <w:bCs/>
                <w:color w:val="auto"/>
                <w:kern w:val="2"/>
                <w:szCs w:val="24"/>
                <w:lang w:val="en-US" w:eastAsia="zh-CN"/>
              </w:rPr>
              <w:t>24</w:t>
            </w:r>
            <w:r>
              <w:rPr>
                <w:rFonts w:hint="default" w:ascii="Times New Roman" w:hAnsi="Times New Roman" w:eastAsia="宋体" w:cs="Times New Roman"/>
                <w:bCs/>
                <w:color w:val="auto"/>
                <w:kern w:val="2"/>
                <w:szCs w:val="24"/>
              </w:rPr>
              <w:t>t/d（</w:t>
            </w:r>
            <w:r>
              <w:rPr>
                <w:rFonts w:hint="default" w:ascii="Times New Roman" w:hAnsi="Times New Roman" w:eastAsia="宋体" w:cs="Times New Roman"/>
                <w:bCs/>
                <w:color w:val="auto"/>
                <w:kern w:val="2"/>
                <w:szCs w:val="24"/>
                <w:lang w:val="en-US" w:eastAsia="zh-CN"/>
              </w:rPr>
              <w:t>7200</w:t>
            </w:r>
            <w:r>
              <w:rPr>
                <w:rFonts w:hint="default" w:ascii="Times New Roman" w:hAnsi="Times New Roman" w:eastAsia="宋体" w:cs="Times New Roman"/>
                <w:bCs/>
                <w:color w:val="auto"/>
                <w:kern w:val="2"/>
                <w:szCs w:val="24"/>
              </w:rPr>
              <w:t>t/a）。</w:t>
            </w:r>
          </w:p>
          <w:p w14:paraId="71ABBE6F">
            <w:pPr>
              <w:pStyle w:val="135"/>
              <w:ind w:firstLine="496"/>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（2）水量平衡图</w:t>
            </w:r>
          </w:p>
          <w:p w14:paraId="17D379C7">
            <w:pPr>
              <w:pStyle w:val="135"/>
              <w:ind w:firstLine="496"/>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本项目水量平衡图见图2-1。</w:t>
            </w:r>
          </w:p>
          <w:p w14:paraId="40557E33">
            <w:pPr>
              <w:pStyle w:val="135"/>
              <w:ind w:firstLine="496"/>
              <w:rPr>
                <w:rFonts w:hint="default" w:ascii="Times New Roman" w:hAnsi="Times New Roman" w:eastAsia="宋体" w:cs="Times New Roman"/>
                <w:bCs/>
                <w:color w:val="auto"/>
                <w:kern w:val="2"/>
                <w:szCs w:val="24"/>
                <w:lang w:val="en-US" w:eastAsia="zh-CN"/>
              </w:rPr>
            </w:pPr>
          </w:p>
          <w:p w14:paraId="7BDF1368">
            <w:pPr>
              <w:spacing w:before="120" w:beforeLines="50" w:line="360" w:lineRule="auto"/>
              <w:rPr>
                <w:rFonts w:hint="eastAsia" w:eastAsia="宋体"/>
                <w:b/>
                <w:color w:val="000000" w:themeColor="text1"/>
                <w:szCs w:val="21"/>
                <w:lang w:eastAsia="zh-CN"/>
                <w14:textFill>
                  <w14:solidFill>
                    <w14:schemeClr w14:val="tx1"/>
                  </w14:solidFill>
                </w14:textFill>
              </w:rPr>
            </w:pPr>
            <w:r>
              <w:rPr>
                <w:sz w:val="21"/>
              </w:rPr>
              <mc:AlternateContent>
                <mc:Choice Requires="wpc">
                  <w:drawing>
                    <wp:inline distT="0" distB="0" distL="114300" distR="114300">
                      <wp:extent cx="5259070" cy="1810385"/>
                      <wp:effectExtent l="0" t="0" r="0" b="0"/>
                      <wp:docPr id="8" name="画布 8"/>
                      <wp:cNvGraphicFramePr/>
                      <a:graphic xmlns:a="http://schemas.openxmlformats.org/drawingml/2006/main">
                        <a:graphicData uri="http://schemas.microsoft.com/office/word/2010/wordprocessingCanvas">
                          <wpc:wpc>
                            <wpc:bg/>
                            <wpc:whole/>
                            <wps:wsp>
                              <wps:cNvPr id="10" name="文本框 10"/>
                              <wps:cNvSpPr txBox="1"/>
                              <wps:spPr>
                                <a:xfrm>
                                  <a:off x="534670" y="648970"/>
                                  <a:ext cx="460375" cy="166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FC22A6D">
                                    <w:pPr>
                                      <w:jc w:val="center"/>
                                      <w:rPr>
                                        <w:rFonts w:hint="eastAsia" w:eastAsia="宋体"/>
                                        <w:lang w:val="en-US" w:eastAsia="zh-CN"/>
                                      </w:rPr>
                                    </w:pPr>
                                    <w:r>
                                      <w:rPr>
                                        <w:rFonts w:hint="eastAsia"/>
                                        <w:lang w:val="en-US" w:eastAsia="zh-CN"/>
                                      </w:rPr>
                                      <w:t>新鲜水</w:t>
                                    </w:r>
                                  </w:p>
                                </w:txbxContent>
                              </wps:txbx>
                              <wps:bodyPr rot="0" spcFirstLastPara="0" vertOverflow="overflow" horzOverflow="overflow" vert="horz" wrap="square" lIns="0" tIns="0" rIns="0" bIns="0" numCol="1" spcCol="0" rtlCol="0" fromWordArt="0" anchor="t" anchorCtr="0" forceAA="0" compatLnSpc="1">
                                <a:noAutofit/>
                              </wps:bodyPr>
                            </wps:wsp>
                            <wps:wsp>
                              <wps:cNvPr id="11" name="直接箭头连接符 11"/>
                              <wps:cNvCnPr/>
                              <wps:spPr>
                                <a:xfrm>
                                  <a:off x="463550" y="803910"/>
                                  <a:ext cx="64262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2" name="文本框 12"/>
                              <wps:cNvSpPr txBox="1"/>
                              <wps:spPr>
                                <a:xfrm>
                                  <a:off x="518795" y="791845"/>
                                  <a:ext cx="46037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D1C31">
                                    <w:pPr>
                                      <w:jc w:val="center"/>
                                      <w:rPr>
                                        <w:rFonts w:hint="default" w:eastAsia="宋体"/>
                                        <w:lang w:val="en-US" w:eastAsia="zh-CN"/>
                                      </w:rPr>
                                    </w:pPr>
                                    <w:r>
                                      <w:rPr>
                                        <w:rFonts w:hint="eastAsia"/>
                                        <w:lang w:val="en-US" w:eastAsia="zh-CN"/>
                                      </w:rPr>
                                      <w:t>7650</w:t>
                                    </w:r>
                                  </w:p>
                                </w:txbxContent>
                              </wps:txbx>
                              <wps:bodyPr rot="0" spcFirstLastPara="0" vertOverflow="overflow" horzOverflow="overflow" vert="horz" wrap="square" lIns="0" tIns="0" rIns="0" bIns="0" numCol="1" spcCol="0" rtlCol="0" fromWordArt="0" anchor="t" anchorCtr="0" forceAA="0" compatLnSpc="1">
                                <a:noAutofit/>
                              </wps:bodyPr>
                            </wps:wsp>
                            <wps:wsp>
                              <wps:cNvPr id="13" name="文本框 13"/>
                              <wps:cNvSpPr txBox="1"/>
                              <wps:spPr>
                                <a:xfrm>
                                  <a:off x="1764665" y="425450"/>
                                  <a:ext cx="675005" cy="1993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30E25E">
                                    <w:pPr>
                                      <w:spacing w:line="360" w:lineRule="auto"/>
                                      <w:jc w:val="center"/>
                                      <w:rPr>
                                        <w:rFonts w:hint="default" w:eastAsia="宋体"/>
                                        <w:lang w:val="en-US" w:eastAsia="zh-CN"/>
                                      </w:rPr>
                                    </w:pPr>
                                    <w:r>
                                      <w:rPr>
                                        <w:rFonts w:hint="eastAsia"/>
                                        <w:lang w:val="en-US" w:eastAsia="zh-CN"/>
                                      </w:rPr>
                                      <w:t>生活用水</w:t>
                                    </w:r>
                                  </w:p>
                                </w:txbxContent>
                              </wps:txbx>
                              <wps:bodyPr rot="0" spcFirstLastPara="0" vertOverflow="overflow" horzOverflow="overflow" vert="horz" wrap="square" lIns="0" tIns="0" rIns="0" bIns="0" numCol="1" spcCol="0" rtlCol="0" fromWordArt="0" anchor="t" anchorCtr="0" forceAA="0" compatLnSpc="1">
                                <a:noAutofit/>
                              </wps:bodyPr>
                            </wps:wsp>
                            <wps:wsp>
                              <wps:cNvPr id="15" name="直接连接符 15"/>
                              <wps:cNvCnPr/>
                              <wps:spPr>
                                <a:xfrm flipH="1">
                                  <a:off x="1121410" y="533400"/>
                                  <a:ext cx="635" cy="73342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6" name="直接箭头连接符 16"/>
                              <wps:cNvCnPr/>
                              <wps:spPr>
                                <a:xfrm>
                                  <a:off x="1122680" y="534035"/>
                                  <a:ext cx="64262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7" name="文本框 17"/>
                              <wps:cNvSpPr txBox="1"/>
                              <wps:spPr>
                                <a:xfrm>
                                  <a:off x="1177925" y="371475"/>
                                  <a:ext cx="46037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6E6BD">
                                    <w:pPr>
                                      <w:jc w:val="center"/>
                                      <w:rPr>
                                        <w:rFonts w:hint="default" w:eastAsia="宋体"/>
                                        <w:lang w:val="en-US" w:eastAsia="zh-CN"/>
                                      </w:rPr>
                                    </w:pPr>
                                    <w:r>
                                      <w:rPr>
                                        <w:rFonts w:hint="eastAsia"/>
                                        <w:lang w:val="en-US" w:eastAsia="zh-CN"/>
                                      </w:rPr>
                                      <w:t>450</w:t>
                                    </w:r>
                                  </w:p>
                                </w:txbxContent>
                              </wps:txbx>
                              <wps:bodyPr rot="0" spcFirstLastPara="0" vertOverflow="overflow" horzOverflow="overflow" vert="horz" wrap="square" lIns="0" tIns="0" rIns="0" bIns="0" numCol="1" spcCol="0" rtlCol="0" fromWordArt="0" anchor="t" anchorCtr="0" forceAA="0" compatLnSpc="1">
                                <a:noAutofit/>
                              </wps:bodyPr>
                            </wps:wsp>
                            <wps:wsp>
                              <wps:cNvPr id="23" name="直接箭头连接符 23"/>
                              <wps:cNvCnPr/>
                              <wps:spPr>
                                <a:xfrm flipV="1">
                                  <a:off x="1836420" y="92075"/>
                                  <a:ext cx="0" cy="333375"/>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5" name="文本框 25"/>
                              <wps:cNvSpPr txBox="1"/>
                              <wps:spPr>
                                <a:xfrm>
                                  <a:off x="1829435" y="244475"/>
                                  <a:ext cx="46037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48A10">
                                    <w:pPr>
                                      <w:jc w:val="center"/>
                                      <w:rPr>
                                        <w:rFonts w:hint="default" w:eastAsia="宋体"/>
                                        <w:lang w:val="en-US" w:eastAsia="zh-CN"/>
                                      </w:rPr>
                                    </w:pPr>
                                    <w:r>
                                      <w:rPr>
                                        <w:rFonts w:hint="eastAsia"/>
                                        <w:lang w:val="en-US" w:eastAsia="zh-CN"/>
                                      </w:rPr>
                                      <w:t>损耗90</w:t>
                                    </w:r>
                                  </w:p>
                                </w:txbxContent>
                              </wps:txbx>
                              <wps:bodyPr rot="0" spcFirstLastPara="0" vertOverflow="overflow" horzOverflow="overflow" vert="horz" wrap="square" lIns="0" tIns="0" rIns="0" bIns="0" numCol="1" spcCol="0" rtlCol="0" fromWordArt="0" anchor="t" anchorCtr="0" forceAA="0" compatLnSpc="1">
                                <a:noAutofit/>
                              </wps:bodyPr>
                            </wps:wsp>
                            <wps:wsp>
                              <wps:cNvPr id="26" name="直接箭头连接符 26"/>
                              <wps:cNvCnPr/>
                              <wps:spPr>
                                <a:xfrm>
                                  <a:off x="2440305" y="526415"/>
                                  <a:ext cx="64262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7" name="文本框 27"/>
                              <wps:cNvSpPr txBox="1"/>
                              <wps:spPr>
                                <a:xfrm>
                                  <a:off x="2503805" y="379730"/>
                                  <a:ext cx="46037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A383E">
                                    <w:pPr>
                                      <w:jc w:val="center"/>
                                      <w:rPr>
                                        <w:rFonts w:hint="default" w:eastAsia="宋体"/>
                                        <w:lang w:val="en-US" w:eastAsia="zh-CN"/>
                                      </w:rPr>
                                    </w:pPr>
                                    <w:r>
                                      <w:rPr>
                                        <w:rFonts w:hint="eastAsia"/>
                                        <w:lang w:val="en-US" w:eastAsia="zh-CN"/>
                                      </w:rPr>
                                      <w:t>360</w:t>
                                    </w:r>
                                  </w:p>
                                </w:txbxContent>
                              </wps:txbx>
                              <wps:bodyPr rot="0" spcFirstLastPara="0" vertOverflow="overflow" horzOverflow="overflow" vert="horz" wrap="square" lIns="0" tIns="0" rIns="0" bIns="0" numCol="1" spcCol="0" rtlCol="0" fromWordArt="0" anchor="t" anchorCtr="0" forceAA="0" compatLnSpc="1">
                                <a:noAutofit/>
                              </wps:bodyPr>
                            </wps:wsp>
                            <wps:wsp>
                              <wps:cNvPr id="28" name="文本框 28"/>
                              <wps:cNvSpPr txBox="1"/>
                              <wps:spPr>
                                <a:xfrm>
                                  <a:off x="3098165" y="425450"/>
                                  <a:ext cx="516255" cy="1993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8C7D7B">
                                    <w:pPr>
                                      <w:spacing w:line="360" w:lineRule="auto"/>
                                      <w:jc w:val="center"/>
                                      <w:rPr>
                                        <w:rFonts w:hint="default" w:eastAsia="宋体"/>
                                        <w:lang w:val="en-US" w:eastAsia="zh-CN"/>
                                      </w:rPr>
                                    </w:pPr>
                                    <w:r>
                                      <w:rPr>
                                        <w:rFonts w:hint="eastAsia" w:eastAsia="宋体"/>
                                        <w:lang w:val="en-US" w:eastAsia="zh-CN"/>
                                      </w:rPr>
                                      <w:t>化粪池</w:t>
                                    </w:r>
                                  </w:p>
                                </w:txbxContent>
                              </wps:txbx>
                              <wps:bodyPr rot="0" spcFirstLastPara="0" vertOverflow="overflow" horzOverflow="overflow" vert="horz" wrap="square" lIns="0" tIns="0" rIns="0" bIns="0" numCol="1" spcCol="0" rtlCol="0" fromWordArt="0" anchor="t" anchorCtr="0" forceAA="0" compatLnSpc="1">
                                <a:noAutofit/>
                              </wps:bodyPr>
                            </wps:wsp>
                            <wps:wsp>
                              <wps:cNvPr id="29" name="直接箭头连接符 29"/>
                              <wps:cNvCnPr/>
                              <wps:spPr>
                                <a:xfrm>
                                  <a:off x="3615055" y="526415"/>
                                  <a:ext cx="387985"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30" name="文本框 30"/>
                              <wps:cNvSpPr txBox="1"/>
                              <wps:spPr>
                                <a:xfrm>
                                  <a:off x="3519805" y="379095"/>
                                  <a:ext cx="46037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74183">
                                    <w:pPr>
                                      <w:jc w:val="center"/>
                                      <w:rPr>
                                        <w:rFonts w:hint="default" w:eastAsia="宋体"/>
                                        <w:lang w:val="en-US" w:eastAsia="zh-CN"/>
                                      </w:rPr>
                                    </w:pPr>
                                    <w:r>
                                      <w:rPr>
                                        <w:rFonts w:hint="eastAsia"/>
                                        <w:lang w:val="en-US" w:eastAsia="zh-CN"/>
                                      </w:rPr>
                                      <w:t>360</w:t>
                                    </w:r>
                                  </w:p>
                                </w:txbxContent>
                              </wps:txbx>
                              <wps:bodyPr rot="0" spcFirstLastPara="0" vertOverflow="overflow" horzOverflow="overflow" vert="horz" wrap="square" lIns="0" tIns="0" rIns="0" bIns="0" numCol="1" spcCol="0" rtlCol="0" fromWordArt="0" anchor="t" anchorCtr="0" forceAA="0" compatLnSpc="1">
                                <a:noAutofit/>
                              </wps:bodyPr>
                            </wps:wsp>
                            <wps:wsp>
                              <wps:cNvPr id="31" name="文本框 31"/>
                              <wps:cNvSpPr txBox="1"/>
                              <wps:spPr>
                                <a:xfrm>
                                  <a:off x="4115435" y="156845"/>
                                  <a:ext cx="785495" cy="847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BB54E">
                                    <w:pPr>
                                      <w:spacing w:line="240" w:lineRule="auto"/>
                                      <w:rPr>
                                        <w:rFonts w:hint="default" w:ascii="Times New Roman" w:hAnsi="Times New Roman" w:eastAsia="宋体" w:cs="Times New Roman"/>
                                        <w:color w:val="auto"/>
                                        <w:sz w:val="21"/>
                                        <w:lang w:bidi="ar"/>
                                      </w:rPr>
                                    </w:pPr>
                                    <w:r>
                                      <w:rPr>
                                        <w:rFonts w:hint="eastAsia" w:ascii="Times New Roman" w:hAnsi="Times New Roman" w:eastAsia="宋体" w:cs="Times New Roman"/>
                                        <w:color w:val="auto"/>
                                        <w:sz w:val="21"/>
                                        <w:lang w:val="en-US" w:eastAsia="zh-CN" w:bidi="ar"/>
                                      </w:rPr>
                                      <w:t>接入</w:t>
                                    </w:r>
                                    <w:r>
                                      <w:rPr>
                                        <w:rFonts w:hint="default" w:ascii="Times New Roman" w:hAnsi="Times New Roman" w:eastAsia="宋体" w:cs="Times New Roman"/>
                                        <w:color w:val="auto"/>
                                        <w:sz w:val="21"/>
                                        <w:lang w:bidi="ar"/>
                                      </w:rPr>
                                      <w:t>江阴市月城综合污水处理有限公司</w:t>
                                    </w:r>
                                    <w:r>
                                      <w:rPr>
                                        <w:rFonts w:hint="eastAsia" w:ascii="Times New Roman" w:hAnsi="Times New Roman" w:eastAsia="宋体" w:cs="Times New Roman"/>
                                        <w:color w:val="auto"/>
                                        <w:sz w:val="21"/>
                                        <w:lang w:bidi="ar"/>
                                      </w:rPr>
                                      <w:t>集中处理</w:t>
                                    </w:r>
                                  </w:p>
                                  <w:p w14:paraId="6F38B0CB">
                                    <w:pPr>
                                      <w:rPr>
                                        <w:rFonts w:hint="default"/>
                                        <w:lang w:val="en-US" w:eastAsia="zh-CN"/>
                                      </w:rPr>
                                    </w:pPr>
                                  </w:p>
                                </w:txbxContent>
                              </wps:txbx>
                              <wps:bodyPr rot="0" spcFirstLastPara="0" vertOverflow="overflow" horzOverflow="overflow" vert="horz" wrap="square" lIns="0" tIns="0" rIns="0" bIns="0" numCol="1" spcCol="0" rtlCol="0" fromWordArt="0" anchor="t" anchorCtr="0" forceAA="0" compatLnSpc="1">
                                <a:noAutofit/>
                              </wps:bodyPr>
                            </wps:wsp>
                            <wps:wsp>
                              <wps:cNvPr id="34" name="直接箭头连接符 34"/>
                              <wps:cNvCnPr/>
                              <wps:spPr>
                                <a:xfrm>
                                  <a:off x="1122680" y="1264920"/>
                                  <a:ext cx="64262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35" name="文本框 35"/>
                              <wps:cNvSpPr txBox="1"/>
                              <wps:spPr>
                                <a:xfrm>
                                  <a:off x="1788160" y="1163320"/>
                                  <a:ext cx="675005" cy="1993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437187">
                                    <w:pPr>
                                      <w:spacing w:line="360" w:lineRule="auto"/>
                                      <w:jc w:val="center"/>
                                      <w:rPr>
                                        <w:rFonts w:hint="default" w:eastAsia="宋体"/>
                                        <w:lang w:val="en-US" w:eastAsia="zh-CN"/>
                                      </w:rPr>
                                    </w:pPr>
                                    <w:r>
                                      <w:rPr>
                                        <w:rFonts w:hint="eastAsia"/>
                                        <w:lang w:val="en-US" w:eastAsia="zh-CN"/>
                                      </w:rPr>
                                      <w:t>循环冷却水</w:t>
                                    </w:r>
                                  </w:p>
                                </w:txbxContent>
                              </wps:txbx>
                              <wps:bodyPr rot="0" spcFirstLastPara="0" vertOverflow="overflow" horzOverflow="overflow" vert="horz" wrap="square" lIns="0" tIns="0" rIns="0" bIns="0" numCol="1" spcCol="0" rtlCol="0" fromWordArt="0" anchor="t" anchorCtr="0" forceAA="0" compatLnSpc="1">
                                <a:noAutofit/>
                              </wps:bodyPr>
                            </wps:wsp>
                            <wps:wsp>
                              <wps:cNvPr id="36" name="文本框 36"/>
                              <wps:cNvSpPr txBox="1"/>
                              <wps:spPr>
                                <a:xfrm>
                                  <a:off x="1202055" y="1101725"/>
                                  <a:ext cx="46037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F7227">
                                    <w:pPr>
                                      <w:jc w:val="center"/>
                                      <w:rPr>
                                        <w:rFonts w:hint="default" w:eastAsia="宋体"/>
                                        <w:lang w:val="en-US" w:eastAsia="zh-CN"/>
                                      </w:rPr>
                                    </w:pPr>
                                    <w:r>
                                      <w:rPr>
                                        <w:rFonts w:hint="eastAsia"/>
                                        <w:lang w:val="en-US" w:eastAsia="zh-CN"/>
                                      </w:rPr>
                                      <w:t>7200</w:t>
                                    </w:r>
                                  </w:p>
                                </w:txbxContent>
                              </wps:txbx>
                              <wps:bodyPr rot="0" spcFirstLastPara="0" vertOverflow="overflow" horzOverflow="overflow" vert="horz" wrap="square" lIns="0" tIns="0" rIns="0" bIns="0" numCol="1" spcCol="0" rtlCol="0" fromWordArt="0" anchor="t" anchorCtr="0" forceAA="0" compatLnSpc="1">
                                <a:noAutofit/>
                              </wps:bodyPr>
                            </wps:wsp>
                            <wps:wsp>
                              <wps:cNvPr id="37" name="直接箭头连接符 37"/>
                              <wps:cNvCnPr/>
                              <wps:spPr>
                                <a:xfrm flipV="1">
                                  <a:off x="1868170" y="845820"/>
                                  <a:ext cx="0" cy="333375"/>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38" name="文本框 38"/>
                              <wps:cNvSpPr txBox="1"/>
                              <wps:spPr>
                                <a:xfrm>
                                  <a:off x="1877060" y="935355"/>
                                  <a:ext cx="68199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916F0">
                                    <w:pPr>
                                      <w:jc w:val="center"/>
                                      <w:rPr>
                                        <w:rFonts w:hint="default" w:eastAsia="宋体"/>
                                        <w:lang w:val="en-US" w:eastAsia="zh-CN"/>
                                      </w:rPr>
                                    </w:pPr>
                                    <w:r>
                                      <w:rPr>
                                        <w:rFonts w:hint="eastAsia"/>
                                        <w:lang w:val="en-US" w:eastAsia="zh-CN"/>
                                      </w:rPr>
                                      <w:t>损耗7200</w:t>
                                    </w:r>
                                  </w:p>
                                </w:txbxContent>
                              </wps:txbx>
                              <wps:bodyPr rot="0" spcFirstLastPara="0" vertOverflow="overflow" horzOverflow="overflow" vert="horz" wrap="square" lIns="0" tIns="0" rIns="0" bIns="0" numCol="1" spcCol="0" rtlCol="0" fromWordArt="0" anchor="t" anchorCtr="0" forceAA="0" compatLnSpc="1">
                                <a:noAutofit/>
                              </wps:bodyPr>
                            </wps:wsp>
                            <wps:wsp>
                              <wps:cNvPr id="39" name="任意多边形 39"/>
                              <wps:cNvSpPr/>
                              <wps:spPr>
                                <a:xfrm>
                                  <a:off x="1875790" y="1263650"/>
                                  <a:ext cx="1158875" cy="436245"/>
                                </a:xfrm>
                                <a:custGeom>
                                  <a:avLst/>
                                  <a:gdLst>
                                    <a:gd name="connisteX0" fmla="*/ 587375 w 1158875"/>
                                    <a:gd name="connsiteY0" fmla="*/ 0 h 436245"/>
                                    <a:gd name="connisteX1" fmla="*/ 1158875 w 1158875"/>
                                    <a:gd name="connsiteY1" fmla="*/ 0 h 436245"/>
                                    <a:gd name="connisteX2" fmla="*/ 1158875 w 1158875"/>
                                    <a:gd name="connsiteY2" fmla="*/ 436245 h 436245"/>
                                    <a:gd name="connisteX3" fmla="*/ 0 w 1158875"/>
                                    <a:gd name="connsiteY3" fmla="*/ 436245 h 436245"/>
                                    <a:gd name="connisteX4" fmla="*/ 0 w 1158875"/>
                                    <a:gd name="connsiteY4" fmla="*/ 134620 h 436245"/>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1158875" h="436245">
                                      <a:moveTo>
                                        <a:pt x="587375" y="0"/>
                                      </a:moveTo>
                                      <a:lnTo>
                                        <a:pt x="1158875" y="0"/>
                                      </a:lnTo>
                                      <a:lnTo>
                                        <a:pt x="1158875" y="436245"/>
                                      </a:lnTo>
                                      <a:lnTo>
                                        <a:pt x="0" y="436245"/>
                                      </a:lnTo>
                                      <a:lnTo>
                                        <a:pt x="0" y="134620"/>
                                      </a:lnTo>
                                    </a:path>
                                  </a:pathLst>
                                </a:custGeom>
                                <a:noFill/>
                                <a:ln w="6350">
                                  <a:solidFill>
                                    <a:schemeClr val="tx1"/>
                                  </a:solidFill>
                                  <a:tailEnd type="triangle"/>
                                </a:ln>
                              </wps:spPr>
                              <wps:style>
                                <a:lnRef idx="2">
                                  <a:schemeClr val="accent1">
                                    <a:lumMod val="75000"/>
                                  </a:schemeClr>
                                </a:lnRef>
                                <a:fillRef idx="1">
                                  <a:schemeClr val="accent1"/>
                                </a:fillRef>
                                <a:effectRef idx="0">
                                  <a:srgbClr val="FFFFFF"/>
                                </a:effectRef>
                                <a:fontRef idx="minor">
                                  <a:schemeClr val="lt1"/>
                                </a:fontRef>
                              </wps:style>
                              <wps:bodyPr/>
                            </wps:wsp>
                            <wps:wsp>
                              <wps:cNvPr id="41" name="文本框 41"/>
                              <wps:cNvSpPr txBox="1"/>
                              <wps:spPr>
                                <a:xfrm>
                                  <a:off x="2416810" y="1490980"/>
                                  <a:ext cx="468630" cy="182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27F9F">
                                    <w:pPr>
                                      <w:rPr>
                                        <w:rFonts w:hint="default"/>
                                        <w:lang w:val="en-US" w:eastAsia="zh-CN"/>
                                      </w:rPr>
                                    </w:pPr>
                                    <w:r>
                                      <w:rPr>
                                        <w:rFonts w:hint="default" w:ascii="Times New Roman" w:hAnsi="Times New Roman" w:eastAsia="宋体" w:cs="Times New Roman"/>
                                        <w:bCs/>
                                        <w:color w:val="auto"/>
                                        <w:kern w:val="2"/>
                                        <w:szCs w:val="24"/>
                                        <w:lang w:val="en-US" w:eastAsia="zh-CN"/>
                                      </w:rPr>
                                      <w:t>144000</w:t>
                                    </w:r>
                                  </w:p>
                                </w:txbxContent>
                              </wps:txbx>
                              <wps:bodyPr rot="0" spcFirstLastPara="0" vertOverflow="overflow" horzOverflow="overflow" vert="horz" wrap="square" lIns="0" tIns="0" rIns="0" bIns="0" numCol="1" spcCol="0" rtlCol="0" fromWordArt="0" anchor="t" anchorCtr="0" forceAA="0" compatLnSpc="1">
                                <a:noAutofit/>
                              </wps:bodyPr>
                            </wps:wsp>
                          </wpc:wpc>
                        </a:graphicData>
                      </a:graphic>
                    </wp:inline>
                  </w:drawing>
                </mc:Choice>
                <mc:Fallback>
                  <w:pict>
                    <v:group id="_x0000_s1026" o:spid="_x0000_s1026" o:spt="203" style="height:142.55pt;width:414.1pt;" coordsize="5259070,1810385" editas="canvas" o:gfxdata="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">
                      <o:lock v:ext="edit" aspectratio="f"/>
                      <v:shape id="_x0000_s1026" o:spid="_x0000_s1026" style="position:absolute;left:0;top:0;height:1810385;width:5259070;" filled="f" stroked="f" coordsize="21600,21600" o:gfxdata="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">
                        <v:fill on="f" focussize="0,0"/>
                        <v:stroke on="f"/>
                        <v:imagedata o:title=""/>
                        <o:lock v:ext="edit" aspectratio="f"/>
                      </v:shape>
                      <v:shape id="_x0000_s1026" o:spid="_x0000_s1026" o:spt="202" type="#_x0000_t202" style="position:absolute;left:534670;top:648970;height:166370;width:460375;" fillcolor="#FFFFFF [3201]" filled="t" stroked="f" coordsize="21600,21600" o:gfxdata="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fJZLbTAAAABQEAAA8AAAAAAAAA&#10;AQAgAAAAIgAAAGRycy9kb3ducmV2LnhtbFBLAQIUABQAAAAIAIdO4kA4aZ61TwIAAIoEAAAOAAAA&#10;AAAAAAEAIAAAACIBAABkcnMvZTJvRG9jLnhtbFBLBQYAAAAABgAGAFkBAADjBQAAAAA=&#10;">
                        <v:fill on="t" focussize="0,0"/>
                        <v:stroke on="f" weight="0.5pt"/>
                        <v:imagedata o:title=""/>
                        <o:lock v:ext="edit" aspectratio="f"/>
                        <v:textbox inset="0mm,0mm,0mm,0mm">
                          <w:txbxContent>
                            <w:p w14:paraId="6FC22A6D">
                              <w:pPr>
                                <w:jc w:val="center"/>
                                <w:rPr>
                                  <w:rFonts w:hint="eastAsia" w:eastAsia="宋体"/>
                                  <w:lang w:val="en-US" w:eastAsia="zh-CN"/>
                                </w:rPr>
                              </w:pPr>
                              <w:r>
                                <w:rPr>
                                  <w:rFonts w:hint="eastAsia"/>
                                  <w:lang w:val="en-US" w:eastAsia="zh-CN"/>
                                </w:rPr>
                                <w:t>新鲜水</w:t>
                              </w:r>
                            </w:p>
                          </w:txbxContent>
                        </v:textbox>
                      </v:shape>
                      <v:shape id="_x0000_s1026" o:spid="_x0000_s1026" o:spt="32" type="#_x0000_t32" style="position:absolute;left:463550;top:803910;height:0;width:642620;" filled="f" stroked="t" coordsize="21600,21600" o:gfxdata="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fMc77UAAAABQEAAA8AAAAAAAAAAQAgAAAA&#10;IgAAAGRycy9kb3ducmV2LnhtbFBLAQIUABQAAAAIAIdO4kBiUITSDwIAAOwDAAAOAAAAAAAAAAEA&#10;IAAAACMBAABkcnMvZTJvRG9jLnhtbFBLBQYAAAAABgAGAFkBAACkBQAAAAA=&#10;">
                        <v:fill on="f" focussize="0,0"/>
                        <v:stroke weight="0.5pt" color="#000000 [3213]" miterlimit="8" joinstyle="miter" endarrow="block"/>
                        <v:imagedata o:title=""/>
                        <o:lock v:ext="edit" aspectratio="f"/>
                      </v:shape>
                      <v:shape id="_x0000_s1026" o:spid="_x0000_s1026" o:spt="202" type="#_x0000_t202" style="position:absolute;left:518795;top:791845;height:166370;width:460375;" filled="f" stroked="f" coordsize="21600,21600" o:gfxdata="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RVbH21AAAAAUBAAAPAAAAAAAAAAEAIAAAACIAAABkcnMv&#10;ZG93bnJldi54bWxQSwECFAAUAAAACACHTuJA+IkThUACAABhBAAADgAAAAAAAAABACAAAAAjAQAA&#10;ZHJzL2Uyb0RvYy54bWxQSwUGAAAAAAYABgBZAQAA1QUAAAAA&#10;">
                        <v:fill on="f" focussize="0,0"/>
                        <v:stroke on="f" weight="0.5pt"/>
                        <v:imagedata o:title=""/>
                        <o:lock v:ext="edit" aspectratio="f"/>
                        <v:textbox inset="0mm,0mm,0mm,0mm">
                          <w:txbxContent>
                            <w:p w14:paraId="245D1C31">
                              <w:pPr>
                                <w:jc w:val="center"/>
                                <w:rPr>
                                  <w:rFonts w:hint="default" w:eastAsia="宋体"/>
                                  <w:lang w:val="en-US" w:eastAsia="zh-CN"/>
                                </w:rPr>
                              </w:pPr>
                              <w:r>
                                <w:rPr>
                                  <w:rFonts w:hint="eastAsia"/>
                                  <w:lang w:val="en-US" w:eastAsia="zh-CN"/>
                                </w:rPr>
                                <w:t>7650</w:t>
                              </w:r>
                            </w:p>
                          </w:txbxContent>
                        </v:textbox>
                      </v:shape>
                      <v:shape id="_x0000_s1026" o:spid="_x0000_s1026" o:spt="202" type="#_x0000_t202" style="position:absolute;left:1764665;top:425450;height:199390;width:675005;" fillcolor="#FFFFFF [3201]" filled="t" stroked="t" coordsize="21600,21600" o:gfxdata="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FaRZn1QAA&#10;AAUBAAAPAAAAAAAAAAEAIAAAACIAAABkcnMvZG93bnJldi54bWxQSwECFAAUAAAACACHTuJApqrL&#10;h1oCAACzBAAADgAAAAAAAAABACAAAAAkAQAAZHJzL2Uyb0RvYy54bWxQSwUGAAAAAAYABgBZAQAA&#10;8AUAAAAA&#10;">
                        <v:fill on="t" focussize="0,0"/>
                        <v:stroke weight="0.5pt" color="#000000 [3204]" joinstyle="round"/>
                        <v:imagedata o:title=""/>
                        <o:lock v:ext="edit" aspectratio="f"/>
                        <v:textbox inset="0mm,0mm,0mm,0mm">
                          <w:txbxContent>
                            <w:p w14:paraId="4330E25E">
                              <w:pPr>
                                <w:spacing w:line="360" w:lineRule="auto"/>
                                <w:jc w:val="center"/>
                                <w:rPr>
                                  <w:rFonts w:hint="default" w:eastAsia="宋体"/>
                                  <w:lang w:val="en-US" w:eastAsia="zh-CN"/>
                                </w:rPr>
                              </w:pPr>
                              <w:r>
                                <w:rPr>
                                  <w:rFonts w:hint="eastAsia"/>
                                  <w:lang w:val="en-US" w:eastAsia="zh-CN"/>
                                </w:rPr>
                                <w:t>生活用水</w:t>
                              </w:r>
                            </w:p>
                          </w:txbxContent>
                        </v:textbox>
                      </v:shape>
                      <v:line id="_x0000_s1026" o:spid="_x0000_s1026" o:spt="20" style="position:absolute;left:1121410;top:533400;flip:x;height:733425;width:635;" filled="f" stroked="t" coordsize="21600,21600" o:gfxdata="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sVN1tUAAAAFAQAADwAAAAAAAAABACAAAAAiAAAAZHJzL2Rvd25yZXYueG1sUEsBAhQA&#10;FAAAAAgAh07iQF6fndL1AQAAyQMAAA4AAAAAAAAAAQAgAAAAJAEAAGRycy9lMm9Eb2MueG1sUEsF&#10;BgAAAAAGAAYAWQEAAIsFAAAAAA==&#10;">
                        <v:fill on="f" focussize="0,0"/>
                        <v:stroke weight="0.5pt" color="#000000 [3213]" miterlimit="8" joinstyle="miter"/>
                        <v:imagedata o:title=""/>
                        <o:lock v:ext="edit" aspectratio="f"/>
                      </v:line>
                      <v:shape id="_x0000_s1026" o:spid="_x0000_s1026" o:spt="32" type="#_x0000_t32" style="position:absolute;left:1122680;top:534035;height:0;width:642620;" filled="f" stroked="t" coordsize="21600,21600" o:gfxdata="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zHO+1AAAAAUBAAAPAAAAAAAAAAEAIAAA&#10;ACIAAABkcnMvZG93bnJldi54bWxQSwECFAAUAAAACACHTuJAQ9a2aRACAADtAwAADgAAAAAAAAAB&#10;ACAAAAAjAQAAZHJzL2Uyb0RvYy54bWxQSwUGAAAAAAYABgBZAQAApQUAAAAA&#10;">
                        <v:fill on="f" focussize="0,0"/>
                        <v:stroke weight="0.5pt" color="#000000 [3213]" miterlimit="8" joinstyle="miter" endarrow="block"/>
                        <v:imagedata o:title=""/>
                        <o:lock v:ext="edit" aspectratio="f"/>
                      </v:shape>
                      <v:shape id="_x0000_s1026" o:spid="_x0000_s1026" o:spt="202" type="#_x0000_t202" style="position:absolute;left:1177925;top:371475;height:166370;width:460375;" filled="f" stroked="f" coordsize="21600,21600" o:gfxdata="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FVsfbUAAAABQEAAA8AAAAAAAAAAQAgAAAAIgAAAGRycy9k&#10;b3ducmV2LnhtbFBLAQIUABQAAAAIAIdO4kB0FPS0PwIAAGIEAAAOAAAAAAAAAAEAIAAAACMBAABk&#10;cnMvZTJvRG9jLnhtbFBLBQYAAAAABgAGAFkBAADUBQAAAAA=&#10;">
                        <v:fill on="f" focussize="0,0"/>
                        <v:stroke on="f" weight="0.5pt"/>
                        <v:imagedata o:title=""/>
                        <o:lock v:ext="edit" aspectratio="f"/>
                        <v:textbox inset="0mm,0mm,0mm,0mm">
                          <w:txbxContent>
                            <w:p w14:paraId="4B96E6BD">
                              <w:pPr>
                                <w:jc w:val="center"/>
                                <w:rPr>
                                  <w:rFonts w:hint="default" w:eastAsia="宋体"/>
                                  <w:lang w:val="en-US" w:eastAsia="zh-CN"/>
                                </w:rPr>
                              </w:pPr>
                              <w:r>
                                <w:rPr>
                                  <w:rFonts w:hint="eastAsia"/>
                                  <w:lang w:val="en-US" w:eastAsia="zh-CN"/>
                                </w:rPr>
                                <w:t>450</w:t>
                              </w:r>
                            </w:p>
                          </w:txbxContent>
                        </v:textbox>
                      </v:shape>
                      <v:shape id="_x0000_s1026" o:spid="_x0000_s1026" o:spt="32" type="#_x0000_t32" style="position:absolute;left:1836420;top:92075;flip:y;height:333375;width:0;" filled="f" stroked="t" coordsize="21600,21600" o:gfxdata="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KKql1QAAAAUBAAAPAAAAAAAA&#10;AAEAIAAAACIAAABkcnMvZG93bnJldi54bWxQSwECFAAUAAAACACHTuJA8+EwdBUCAAD2AwAADgAA&#10;AAAAAAABACAAAAAkAQAAZHJzL2Uyb0RvYy54bWxQSwUGAAAAAAYABgBZAQAAqwUAAAAA&#10;">
                        <v:fill on="f" focussize="0,0"/>
                        <v:stroke weight="0.5pt" color="#000000 [3213]" miterlimit="8" joinstyle="miter" endarrow="block"/>
                        <v:imagedata o:title=""/>
                        <o:lock v:ext="edit" aspectratio="f"/>
                      </v:shape>
                      <v:shape id="_x0000_s1026" o:spid="_x0000_s1026" o:spt="202" type="#_x0000_t202" style="position:absolute;left:1829435;top:244475;height:166370;width:460375;" filled="f" stroked="f" coordsize="21600,21600" o:gfxdata="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VWx9tQAAAAFAQAADwAAAAAAAAABACAAAAAiAAAAZHJzL2Rv&#10;d25yZXYueG1sUEsBAhQAFAAAAAgAh07iQGHBY/I+AgAAYgQAAA4AAAAAAAAAAQAgAAAAIwEAAGRy&#10;cy9lMm9Eb2MueG1sUEsFBgAAAAAGAAYAWQEAANMFAAAAAA==&#10;">
                        <v:fill on="f" focussize="0,0"/>
                        <v:stroke on="f" weight="0.5pt"/>
                        <v:imagedata o:title=""/>
                        <o:lock v:ext="edit" aspectratio="f"/>
                        <v:textbox inset="0mm,0mm,0mm,0mm">
                          <w:txbxContent>
                            <w:p w14:paraId="59548A10">
                              <w:pPr>
                                <w:jc w:val="center"/>
                                <w:rPr>
                                  <w:rFonts w:hint="default" w:eastAsia="宋体"/>
                                  <w:lang w:val="en-US" w:eastAsia="zh-CN"/>
                                </w:rPr>
                              </w:pPr>
                              <w:r>
                                <w:rPr>
                                  <w:rFonts w:hint="eastAsia"/>
                                  <w:lang w:val="en-US" w:eastAsia="zh-CN"/>
                                </w:rPr>
                                <w:t>损耗90</w:t>
                              </w:r>
                            </w:p>
                          </w:txbxContent>
                        </v:textbox>
                      </v:shape>
                      <v:shape id="_x0000_s1026" o:spid="_x0000_s1026" o:spt="32" type="#_x0000_t32" style="position:absolute;left:2440305;top:526415;height:0;width:642620;" filled="f" stroked="t" coordsize="21600,21600" o:gfxdata="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fMc77UAAAABQEAAA8AAAAAAAAAAQAg&#10;AAAAIgAAAGRycy9kb3ducmV2LnhtbFBLAQIUABQAAAAIAIdO4kDQ9/JUEgIAAO0DAAAOAAAAAAAA&#10;AAEAIAAAACMBAABkcnMvZTJvRG9jLnhtbFBLBQYAAAAABgAGAFkBAACnBQAAAAA=&#10;">
                        <v:fill on="f" focussize="0,0"/>
                        <v:stroke weight="0.5pt" color="#000000 [3213]" miterlimit="8" joinstyle="miter" endarrow="block"/>
                        <v:imagedata o:title=""/>
                        <o:lock v:ext="edit" aspectratio="f"/>
                      </v:shape>
                      <v:shape id="_x0000_s1026" o:spid="_x0000_s1026" o:spt="202" type="#_x0000_t202" style="position:absolute;left:2503805;top:379730;height:166370;width:460375;" filled="f" stroked="f" coordsize="21600,21600" o:gfxdata="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FVsfbUAAAABQEAAA8AAAAAAAAAAQAgAAAAIgAAAGRycy9k&#10;b3ducmV2LnhtbFBLAQIUABQAAAAIAIdO4kC1WIuSPwIAAGIEAAAOAAAAAAAAAAEAIAAAACMBAABk&#10;cnMvZTJvRG9jLnhtbFBLBQYAAAAABgAGAFkBAADUBQAAAAA=&#10;">
                        <v:fill on="f" focussize="0,0"/>
                        <v:stroke on="f" weight="0.5pt"/>
                        <v:imagedata o:title=""/>
                        <o:lock v:ext="edit" aspectratio="f"/>
                        <v:textbox inset="0mm,0mm,0mm,0mm">
                          <w:txbxContent>
                            <w:p w14:paraId="072A383E">
                              <w:pPr>
                                <w:jc w:val="center"/>
                                <w:rPr>
                                  <w:rFonts w:hint="default" w:eastAsia="宋体"/>
                                  <w:lang w:val="en-US" w:eastAsia="zh-CN"/>
                                </w:rPr>
                              </w:pPr>
                              <w:r>
                                <w:rPr>
                                  <w:rFonts w:hint="eastAsia"/>
                                  <w:lang w:val="en-US" w:eastAsia="zh-CN"/>
                                </w:rPr>
                                <w:t>360</w:t>
                              </w:r>
                            </w:p>
                          </w:txbxContent>
                        </v:textbox>
                      </v:shape>
                      <v:shape id="_x0000_s1026" o:spid="_x0000_s1026" o:spt="202" type="#_x0000_t202" style="position:absolute;left:3098165;top:425450;height:199390;width:516255;" fillcolor="#FFFFFF [3201]" filled="t" stroked="t" coordsize="21600,21600" o:gfxdata="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WkWZ9UA&#10;AAAFAQAADwAAAAAAAAABACAAAAAiAAAAZHJzL2Rvd25yZXYueG1sUEsBAhQAFAAAAAgAh07iQFNo&#10;S2BbAgAAswQAAA4AAAAAAAAAAQAgAAAAJAEAAGRycy9lMm9Eb2MueG1sUEsFBgAAAAAGAAYAWQEA&#10;APEFAAAAAA==&#10;">
                        <v:fill on="t" focussize="0,0"/>
                        <v:stroke weight="0.5pt" color="#000000 [3204]" joinstyle="round"/>
                        <v:imagedata o:title=""/>
                        <o:lock v:ext="edit" aspectratio="f"/>
                        <v:textbox inset="0mm,0mm,0mm,0mm">
                          <w:txbxContent>
                            <w:p w14:paraId="458C7D7B">
                              <w:pPr>
                                <w:spacing w:line="360" w:lineRule="auto"/>
                                <w:jc w:val="center"/>
                                <w:rPr>
                                  <w:rFonts w:hint="default" w:eastAsia="宋体"/>
                                  <w:lang w:val="en-US" w:eastAsia="zh-CN"/>
                                </w:rPr>
                              </w:pPr>
                              <w:r>
                                <w:rPr>
                                  <w:rFonts w:hint="eastAsia" w:eastAsia="宋体"/>
                                  <w:lang w:val="en-US" w:eastAsia="zh-CN"/>
                                </w:rPr>
                                <w:t>化粪池</w:t>
                              </w:r>
                            </w:p>
                          </w:txbxContent>
                        </v:textbox>
                      </v:shape>
                      <v:shape id="_x0000_s1026" o:spid="_x0000_s1026" o:spt="32" type="#_x0000_t32" style="position:absolute;left:3615055;top:526415;height:0;width:387985;" filled="f" stroked="t" coordsize="21600,21600" o:gfxdata="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HzHO+1AAAAAUBAAAPAAAAAAAAAAEA&#10;IAAAACIAAABkcnMvZG93bnJldi54bWxQSwECFAAUAAAACACHTuJAY4J2zBMCAADtAwAADgAAAAAA&#10;AAABACAAAAAjAQAAZHJzL2Uyb0RvYy54bWxQSwUGAAAAAAYABgBZAQAAqAUAAAAA&#10;">
                        <v:fill on="f" focussize="0,0"/>
                        <v:stroke weight="0.5pt" color="#000000 [3213]" miterlimit="8" joinstyle="miter" endarrow="block"/>
                        <v:imagedata o:title=""/>
                        <o:lock v:ext="edit" aspectratio="f"/>
                      </v:shape>
                      <v:shape id="_x0000_s1026" o:spid="_x0000_s1026" o:spt="202" type="#_x0000_t202" style="position:absolute;left:3519805;top:379095;height:166370;width:460375;" filled="f" stroked="f" coordsize="21600,21600" o:gfxdata="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FVsfbUAAAABQEAAA8AAAAAAAAAAQAgAAAAIgAAAGRycy9k&#10;b3ducmV2LnhtbFBLAQIUABQAAAAIAIdO4kBjL44WPwIAAGIEAAAOAAAAAAAAAAEAIAAAACMBAABk&#10;cnMvZTJvRG9jLnhtbFBLBQYAAAAABgAGAFkBAADUBQAAAAA=&#10;">
                        <v:fill on="f" focussize="0,0"/>
                        <v:stroke on="f" weight="0.5pt"/>
                        <v:imagedata o:title=""/>
                        <o:lock v:ext="edit" aspectratio="f"/>
                        <v:textbox inset="0mm,0mm,0mm,0mm">
                          <w:txbxContent>
                            <w:p w14:paraId="70374183">
                              <w:pPr>
                                <w:jc w:val="center"/>
                                <w:rPr>
                                  <w:rFonts w:hint="default" w:eastAsia="宋体"/>
                                  <w:lang w:val="en-US" w:eastAsia="zh-CN"/>
                                </w:rPr>
                              </w:pPr>
                              <w:r>
                                <w:rPr>
                                  <w:rFonts w:hint="eastAsia"/>
                                  <w:lang w:val="en-US" w:eastAsia="zh-CN"/>
                                </w:rPr>
                                <w:t>360</w:t>
                              </w:r>
                            </w:p>
                          </w:txbxContent>
                        </v:textbox>
                      </v:shape>
                      <v:shape id="_x0000_s1026" o:spid="_x0000_s1026" o:spt="202" type="#_x0000_t202" style="position:absolute;left:4115435;top:156845;height:847725;width:785495;" filled="f" stroked="f" coordsize="21600,21600" o:gfxdata="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FVsfbUAAAABQEAAA8AAAAAAAAAAQAgAAAAIgAAAGRycy9k&#10;b3ducmV2LnhtbFBLAQIUABQAAAAIAIdO4kBJiGEvPwIAAGIEAAAOAAAAAAAAAAEAIAAAACMBAABk&#10;cnMvZTJvRG9jLnhtbFBLBQYAAAAABgAGAFkBAADUBQAAAAA=&#10;">
                        <v:fill on="f" focussize="0,0"/>
                        <v:stroke on="f" weight="0.5pt"/>
                        <v:imagedata o:title=""/>
                        <o:lock v:ext="edit" aspectratio="f"/>
                        <v:textbox inset="0mm,0mm,0mm,0mm">
                          <w:txbxContent>
                            <w:p w14:paraId="65CBB54E">
                              <w:pPr>
                                <w:spacing w:line="240" w:lineRule="auto"/>
                                <w:rPr>
                                  <w:rFonts w:hint="default" w:ascii="Times New Roman" w:hAnsi="Times New Roman" w:eastAsia="宋体" w:cs="Times New Roman"/>
                                  <w:color w:val="auto"/>
                                  <w:sz w:val="21"/>
                                  <w:lang w:bidi="ar"/>
                                </w:rPr>
                              </w:pPr>
                              <w:r>
                                <w:rPr>
                                  <w:rFonts w:hint="eastAsia" w:ascii="Times New Roman" w:hAnsi="Times New Roman" w:eastAsia="宋体" w:cs="Times New Roman"/>
                                  <w:color w:val="auto"/>
                                  <w:sz w:val="21"/>
                                  <w:lang w:val="en-US" w:eastAsia="zh-CN" w:bidi="ar"/>
                                </w:rPr>
                                <w:t>接入</w:t>
                              </w:r>
                              <w:r>
                                <w:rPr>
                                  <w:rFonts w:hint="default" w:ascii="Times New Roman" w:hAnsi="Times New Roman" w:eastAsia="宋体" w:cs="Times New Roman"/>
                                  <w:color w:val="auto"/>
                                  <w:sz w:val="21"/>
                                  <w:lang w:bidi="ar"/>
                                </w:rPr>
                                <w:t>江阴市月城综合污水处理有限公司</w:t>
                              </w:r>
                              <w:r>
                                <w:rPr>
                                  <w:rFonts w:hint="eastAsia" w:ascii="Times New Roman" w:hAnsi="Times New Roman" w:eastAsia="宋体" w:cs="Times New Roman"/>
                                  <w:color w:val="auto"/>
                                  <w:sz w:val="21"/>
                                  <w:lang w:bidi="ar"/>
                                </w:rPr>
                                <w:t>集中处理</w:t>
                              </w:r>
                            </w:p>
                            <w:p w14:paraId="6F38B0CB">
                              <w:pPr>
                                <w:rPr>
                                  <w:rFonts w:hint="default"/>
                                  <w:lang w:val="en-US" w:eastAsia="zh-CN"/>
                                </w:rPr>
                              </w:pPr>
                            </w:p>
                          </w:txbxContent>
                        </v:textbox>
                      </v:shape>
                      <v:shape id="_x0000_s1026" o:spid="_x0000_s1026" o:spt="32" type="#_x0000_t32" style="position:absolute;left:1122680;top:1264920;height:0;width:642620;" filled="f" stroked="t" coordsize="21600,21600" o:gfxdata="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8xzvtQAAAAFAQAADwAAAAAAAAABACAA&#10;AAAiAAAAZHJzL2Rvd25yZXYueG1sUEsBAhQAFAAAAAgAh07iQIs0c3sRAgAA7gMAAA4AAAAAAAAA&#10;AQAgAAAAIwEAAGRycy9lMm9Eb2MueG1sUEsFBgAAAAAGAAYAWQEAAKYFAAAAAA==&#10;">
                        <v:fill on="f" focussize="0,0"/>
                        <v:stroke weight="0.5pt" color="#000000 [3213]" miterlimit="8" joinstyle="miter" endarrow="block"/>
                        <v:imagedata o:title=""/>
                        <o:lock v:ext="edit" aspectratio="f"/>
                      </v:shape>
                      <v:shape id="_x0000_s1026" o:spid="_x0000_s1026" o:spt="202" type="#_x0000_t202" style="position:absolute;left:1788160;top:1163320;height:199390;width:675005;" fillcolor="#FFFFFF [3201]" filled="t" stroked="t" coordsize="21600,21600" o:gfxdata="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WkWZ9UA&#10;AAAFAQAADwAAAAAAAAABACAAAAAiAAAAZHJzL2Rvd25yZXYueG1sUEsBAhQAFAAAAAgAh07iQOEH&#10;FZRbAgAAtAQAAA4AAAAAAAAAAQAgAAAAJAEAAGRycy9lMm9Eb2MueG1sUEsFBgAAAAAGAAYAWQEA&#10;APEFAAAAAA==&#10;">
                        <v:fill on="t" focussize="0,0"/>
                        <v:stroke weight="0.5pt" color="#000000 [3204]" joinstyle="round"/>
                        <v:imagedata o:title=""/>
                        <o:lock v:ext="edit" aspectratio="f"/>
                        <v:textbox inset="0mm,0mm,0mm,0mm">
                          <w:txbxContent>
                            <w:p w14:paraId="31437187">
                              <w:pPr>
                                <w:spacing w:line="360" w:lineRule="auto"/>
                                <w:jc w:val="center"/>
                                <w:rPr>
                                  <w:rFonts w:hint="default" w:eastAsia="宋体"/>
                                  <w:lang w:val="en-US" w:eastAsia="zh-CN"/>
                                </w:rPr>
                              </w:pPr>
                              <w:r>
                                <w:rPr>
                                  <w:rFonts w:hint="eastAsia"/>
                                  <w:lang w:val="en-US" w:eastAsia="zh-CN"/>
                                </w:rPr>
                                <w:t>循环冷却水</w:t>
                              </w:r>
                            </w:p>
                          </w:txbxContent>
                        </v:textbox>
                      </v:shape>
                      <v:shape id="_x0000_s1026" o:spid="_x0000_s1026" o:spt="202" type="#_x0000_t202" style="position:absolute;left:1202055;top:1101725;height:166370;width:460375;" filled="f" stroked="f" coordsize="21600,21600" o:gfxdata="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VWx9tQAAAAFAQAADwAAAAAAAAABACAAAAAiAAAAZHJzL2Rv&#10;d25yZXYueG1sUEsBAhQAFAAAAAgAh07iQOr27S8+AgAAYwQAAA4AAAAAAAAAAQAgAAAAIwEAAGRy&#10;cy9lMm9Eb2MueG1sUEsFBgAAAAAGAAYAWQEAANMFAAAAAA==&#10;">
                        <v:fill on="f" focussize="0,0"/>
                        <v:stroke on="f" weight="0.5pt"/>
                        <v:imagedata o:title=""/>
                        <o:lock v:ext="edit" aspectratio="f"/>
                        <v:textbox inset="0mm,0mm,0mm,0mm">
                          <w:txbxContent>
                            <w:p w14:paraId="76BF7227">
                              <w:pPr>
                                <w:jc w:val="center"/>
                                <w:rPr>
                                  <w:rFonts w:hint="default" w:eastAsia="宋体"/>
                                  <w:lang w:val="en-US" w:eastAsia="zh-CN"/>
                                </w:rPr>
                              </w:pPr>
                              <w:r>
                                <w:rPr>
                                  <w:rFonts w:hint="eastAsia"/>
                                  <w:lang w:val="en-US" w:eastAsia="zh-CN"/>
                                </w:rPr>
                                <w:t>7200</w:t>
                              </w:r>
                            </w:p>
                          </w:txbxContent>
                        </v:textbox>
                      </v:shape>
                      <v:shape id="_x0000_s1026" o:spid="_x0000_s1026" o:spt="32" type="#_x0000_t32" style="position:absolute;left:1868170;top:845820;flip:y;height:333375;width:0;" filled="f" stroked="t" coordsize="21600,21600" o:gfxdata="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KKql1QAAAAUBAAAPAAAAAAAA&#10;AAEAIAAAACIAAABkcnMvZG93bnJldi54bWxQSwECFAAUAAAACACHTuJA+0sHbhUCAAD3AwAADgAA&#10;AAAAAAABACAAAAAkAQAAZHJzL2Uyb0RvYy54bWxQSwUGAAAAAAYABgBZAQAAqwUAAAAA&#10;">
                        <v:fill on="f" focussize="0,0"/>
                        <v:stroke weight="0.5pt" color="#000000 [3213]" miterlimit="8" joinstyle="miter" endarrow="block"/>
                        <v:imagedata o:title=""/>
                        <o:lock v:ext="edit" aspectratio="f"/>
                      </v:shape>
                      <v:shape id="_x0000_s1026" o:spid="_x0000_s1026" o:spt="202" type="#_x0000_t202" style="position:absolute;left:1877060;top:935355;height:205740;width:681990;" filled="f" stroked="f" coordsize="21600,21600" o:gfxdata="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FVsfbUAAAABQEAAA8AAAAAAAAAAQAgAAAAIgAAAGRycy9k&#10;b3ducmV2LnhtbFBLAQIUABQAAAAIAIdO4kAK5lOlPwIAAGIEAAAOAAAAAAAAAAEAIAAAACMBAABk&#10;cnMvZTJvRG9jLnhtbFBLBQYAAAAABgAGAFkBAADUBQAAAAA=&#10;">
                        <v:fill on="f" focussize="0,0"/>
                        <v:stroke on="f" weight="0.5pt"/>
                        <v:imagedata o:title=""/>
                        <o:lock v:ext="edit" aspectratio="f"/>
                        <v:textbox inset="0mm,0mm,0mm,0mm">
                          <w:txbxContent>
                            <w:p w14:paraId="302916F0">
                              <w:pPr>
                                <w:jc w:val="center"/>
                                <w:rPr>
                                  <w:rFonts w:hint="default" w:eastAsia="宋体"/>
                                  <w:lang w:val="en-US" w:eastAsia="zh-CN"/>
                                </w:rPr>
                              </w:pPr>
                              <w:r>
                                <w:rPr>
                                  <w:rFonts w:hint="eastAsia"/>
                                  <w:lang w:val="en-US" w:eastAsia="zh-CN"/>
                                </w:rPr>
                                <w:t>损耗7200</w:t>
                              </w:r>
                            </w:p>
                          </w:txbxContent>
                        </v:textbox>
                      </v:shape>
                      <v:shape id="_x0000_s1026" o:spid="_x0000_s1026" o:spt="100" style="position:absolute;left:1875790;top:1263650;height:436245;width:1158875;" filled="f" stroked="t" coordsize="1158875,436245" o:gfxdata="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PTmz83WAAAABQEAAA8AAAAAAAAAAQAgAAAAIgAAAGRycy9kb3ducmV2LnhtbFBLAQIU&#10;ABQAAAAIAIdO4kCN6405EgMAAGAIAAAOAAAAAAAAAAEAIAAAACUBAABkcnMvZTJvRG9jLnhtbFBL&#10;BQYAAAAABgAGAFkBAACpBgAAAAA=&#10;" path="m587375,0l1158875,0,1158875,436245,0,436245,0,134620e">
                        <v:path o:connectlocs="587375,0;1158875,0;1158875,436245;0,436245;0,134620" o:connectangles="0,0,0,0,0"/>
                        <v:fill on="f" focussize="0,0"/>
                        <v:stroke weight="0.5pt" color="#000000 [3213]" miterlimit="8" joinstyle="miter" endarrow="block"/>
                        <v:imagedata o:title=""/>
                        <o:lock v:ext="edit" aspectratio="f"/>
                      </v:shape>
                      <v:shape id="_x0000_s1026" o:spid="_x0000_s1026" o:spt="202" type="#_x0000_t202" style="position:absolute;left:2416810;top:1490980;height:182245;width:468630;" filled="f" stroked="f" coordsize="21600,21600" o:gfxdata="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VWx9tQAAAAFAQAADwAAAAAAAAABACAAAAAiAAAAZHJzL2Rv&#10;d25yZXYueG1sUEsBAhQAFAAAAAgAh07iQLHIivs+AgAAYwQAAA4AAAAAAAAAAQAgAAAAIwEAAGRy&#10;cy9lMm9Eb2MueG1sUEsFBgAAAAAGAAYAWQEAANMFAAAAAA==&#10;">
                        <v:fill on="f" focussize="0,0"/>
                        <v:stroke on="f" weight="0.5pt"/>
                        <v:imagedata o:title=""/>
                        <o:lock v:ext="edit" aspectratio="f"/>
                        <v:textbox inset="0mm,0mm,0mm,0mm">
                          <w:txbxContent>
                            <w:p w14:paraId="56127F9F">
                              <w:pPr>
                                <w:rPr>
                                  <w:rFonts w:hint="default"/>
                                  <w:lang w:val="en-US" w:eastAsia="zh-CN"/>
                                </w:rPr>
                              </w:pPr>
                              <w:r>
                                <w:rPr>
                                  <w:rFonts w:hint="default" w:ascii="Times New Roman" w:hAnsi="Times New Roman" w:eastAsia="宋体" w:cs="Times New Roman"/>
                                  <w:bCs/>
                                  <w:color w:val="auto"/>
                                  <w:kern w:val="2"/>
                                  <w:szCs w:val="24"/>
                                  <w:lang w:val="en-US" w:eastAsia="zh-CN"/>
                                </w:rPr>
                                <w:t>144000</w:t>
                              </w:r>
                            </w:p>
                          </w:txbxContent>
                        </v:textbox>
                      </v:shape>
                      <w10:wrap type="none"/>
                      <w10:anchorlock/>
                    </v:group>
                  </w:pict>
                </mc:Fallback>
              </mc:AlternateContent>
            </w:r>
          </w:p>
          <w:p w14:paraId="3E03F012">
            <w:pPr>
              <w:pStyle w:val="9"/>
              <w:snapToGrid w:val="0"/>
              <w:ind w:firstLine="420" w:firstLineChars="200"/>
              <w:jc w:val="center"/>
              <w:rPr>
                <w:color w:val="auto"/>
                <w:szCs w:val="24"/>
              </w:rPr>
            </w:pPr>
            <w:r>
              <w:rPr>
                <w:rFonts w:hint="default" w:ascii="Times New Roman" w:hAnsi="Times New Roman" w:eastAsia="宋体" w:cs="Times New Roman"/>
                <w:color w:val="auto"/>
                <w:sz w:val="21"/>
                <w:szCs w:val="21"/>
              </w:rPr>
              <w:t>图2-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本项目水平衡图（t/a）</w:t>
            </w:r>
          </w:p>
          <w:p w14:paraId="297017A2">
            <w:pPr>
              <w:spacing w:before="120" w:beforeLines="50" w:line="360" w:lineRule="auto"/>
              <w:rPr>
                <w:b/>
                <w:color w:val="000000" w:themeColor="text1"/>
                <w:szCs w:val="21"/>
                <w14:textFill>
                  <w14:solidFill>
                    <w14:schemeClr w14:val="tx1"/>
                  </w14:solidFill>
                </w14:textFill>
              </w:rPr>
            </w:pPr>
          </w:p>
          <w:p w14:paraId="18AF8FC1">
            <w:pPr>
              <w:spacing w:before="120" w:beforeLines="50" w:line="360" w:lineRule="auto"/>
              <w:rPr>
                <w:b/>
                <w:color w:val="000000" w:themeColor="text1"/>
                <w:szCs w:val="21"/>
                <w14:textFill>
                  <w14:solidFill>
                    <w14:schemeClr w14:val="tx1"/>
                  </w14:solidFill>
                </w14:textFill>
              </w:rPr>
            </w:pPr>
          </w:p>
          <w:p w14:paraId="28378862">
            <w:pPr>
              <w:spacing w:before="120" w:beforeLines="50" w:line="360" w:lineRule="auto"/>
              <w:rPr>
                <w:b/>
                <w:color w:val="000000" w:themeColor="text1"/>
                <w:szCs w:val="21"/>
                <w14:textFill>
                  <w14:solidFill>
                    <w14:schemeClr w14:val="tx1"/>
                  </w14:solidFill>
                </w14:textFill>
              </w:rPr>
            </w:pPr>
          </w:p>
          <w:p w14:paraId="5E4F28D6">
            <w:pPr>
              <w:spacing w:before="120" w:beforeLines="50" w:line="360" w:lineRule="auto"/>
              <w:rPr>
                <w:b/>
                <w:color w:val="000000" w:themeColor="text1"/>
                <w:szCs w:val="21"/>
                <w14:textFill>
                  <w14:solidFill>
                    <w14:schemeClr w14:val="tx1"/>
                  </w14:solidFill>
                </w14:textFill>
              </w:rPr>
            </w:pPr>
          </w:p>
          <w:p w14:paraId="43EEA378">
            <w:pPr>
              <w:spacing w:line="360" w:lineRule="auto"/>
              <w:rPr>
                <w:color w:val="000000" w:themeColor="text1"/>
                <w:szCs w:val="21"/>
                <w:highlight w:val="yellow"/>
                <w14:textFill>
                  <w14:solidFill>
                    <w14:schemeClr w14:val="tx1"/>
                  </w14:solidFill>
                </w14:textFill>
              </w:rPr>
            </w:pPr>
          </w:p>
        </w:tc>
      </w:tr>
      <w:tr w14:paraId="4CCE5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23" w:hRule="atLeast"/>
          <w:jc w:val="center"/>
        </w:trPr>
        <w:tc>
          <w:tcPr>
            <w:tcW w:w="562" w:type="dxa"/>
            <w:tcBorders>
              <w:top w:val="single" w:color="auto" w:sz="4" w:space="0"/>
              <w:left w:val="single" w:color="auto" w:sz="4" w:space="0"/>
              <w:bottom w:val="single" w:color="auto" w:sz="4" w:space="0"/>
            </w:tcBorders>
            <w:vAlign w:val="center"/>
          </w:tcPr>
          <w:p w14:paraId="2864E9DD">
            <w:pPr>
              <w:adjustRightInd w:val="0"/>
              <w:snapToGrid w:val="0"/>
              <w:jc w:val="center"/>
              <w:rPr>
                <w:rFonts w:cs="宋体"/>
                <w:color w:val="000000" w:themeColor="text1"/>
                <w:szCs w:val="21"/>
                <w:highlight w:val="yellow"/>
                <w14:textFill>
                  <w14:solidFill>
                    <w14:schemeClr w14:val="tx1"/>
                  </w14:solidFill>
                </w14:textFill>
              </w:rPr>
            </w:pPr>
            <w:r>
              <w:rPr>
                <w:rFonts w:hint="eastAsia" w:cs="宋体"/>
                <w:color w:val="000000" w:themeColor="text1"/>
                <w:szCs w:val="21"/>
                <w14:textFill>
                  <w14:solidFill>
                    <w14:schemeClr w14:val="tx1"/>
                  </w14:solidFill>
                </w14:textFill>
              </w:rPr>
              <w:t>工艺流程和产排污环节</w:t>
            </w:r>
          </w:p>
        </w:tc>
        <w:tc>
          <w:tcPr>
            <w:tcW w:w="8498" w:type="dxa"/>
            <w:tcBorders>
              <w:top w:val="single" w:color="auto" w:sz="4" w:space="0"/>
              <w:bottom w:val="single" w:color="auto" w:sz="4" w:space="0"/>
              <w:right w:val="single" w:color="auto" w:sz="4" w:space="0"/>
            </w:tcBorders>
          </w:tcPr>
          <w:p w14:paraId="426C88E5">
            <w:pPr>
              <w:spacing w:line="360" w:lineRule="auto"/>
              <w:rPr>
                <w:b/>
                <w:bCs/>
                <w:snapToGrid w:val="0"/>
                <w:color w:val="000000" w:themeColor="text1"/>
                <w:kern w:val="0"/>
                <w:szCs w:val="21"/>
                <w14:textFill>
                  <w14:solidFill>
                    <w14:schemeClr w14:val="tx1"/>
                  </w14:solidFill>
                </w14:textFill>
              </w:rPr>
            </w:pPr>
            <w:r>
              <w:rPr>
                <w:b/>
                <w:bCs/>
                <w:snapToGrid w:val="0"/>
                <w:color w:val="000000" w:themeColor="text1"/>
                <w:kern w:val="0"/>
                <w:szCs w:val="21"/>
                <w14:textFill>
                  <w14:solidFill>
                    <w14:schemeClr w14:val="tx1"/>
                  </w14:solidFill>
                </w14:textFill>
              </w:rPr>
              <w:t>1</w:t>
            </w:r>
            <w:r>
              <w:rPr>
                <w:rFonts w:hint="eastAsia"/>
                <w:b/>
                <w:bCs/>
                <w:snapToGrid w:val="0"/>
                <w:color w:val="000000" w:themeColor="text1"/>
                <w:kern w:val="0"/>
                <w:szCs w:val="21"/>
                <w14:textFill>
                  <w14:solidFill>
                    <w14:schemeClr w14:val="tx1"/>
                  </w14:solidFill>
                </w14:textFill>
              </w:rPr>
              <w:t>、</w:t>
            </w:r>
            <w:r>
              <w:rPr>
                <w:b/>
                <w:bCs/>
                <w:snapToGrid w:val="0"/>
                <w:color w:val="000000" w:themeColor="text1"/>
                <w:kern w:val="0"/>
                <w:szCs w:val="21"/>
                <w14:textFill>
                  <w14:solidFill>
                    <w14:schemeClr w14:val="tx1"/>
                  </w14:solidFill>
                </w14:textFill>
              </w:rPr>
              <w:t>工艺流程</w:t>
            </w:r>
          </w:p>
          <w:p w14:paraId="43363E52">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本项目从事塑料瓶盖的生产。具体生产工艺流程及产污环节如下（G-废气、S-固废、N-噪声、W-废水）。</w:t>
            </w:r>
          </w:p>
          <w:p w14:paraId="39B8DC85">
            <w:pPr>
              <w:spacing w:line="360" w:lineRule="auto"/>
              <w:rPr>
                <w:color w:val="000000" w:themeColor="text1"/>
                <w14:textFill>
                  <w14:solidFill>
                    <w14:schemeClr w14:val="tx1"/>
                  </w14:solidFill>
                </w14:textFill>
              </w:rPr>
            </w:pPr>
            <w:r>
              <w:rPr>
                <w:sz w:val="21"/>
              </w:rPr>
              <mc:AlternateContent>
                <mc:Choice Requires="wps">
                  <w:drawing>
                    <wp:anchor distT="0" distB="0" distL="114300" distR="114300" simplePos="0" relativeHeight="251661312" behindDoc="0" locked="0" layoutInCell="1" allowOverlap="1">
                      <wp:simplePos x="0" y="0"/>
                      <wp:positionH relativeFrom="column">
                        <wp:posOffset>1047115</wp:posOffset>
                      </wp:positionH>
                      <wp:positionV relativeFrom="paragraph">
                        <wp:posOffset>1284605</wp:posOffset>
                      </wp:positionV>
                      <wp:extent cx="812800" cy="0"/>
                      <wp:effectExtent l="0" t="38100" r="6350" b="38100"/>
                      <wp:wrapNone/>
                      <wp:docPr id="33" name="直接箭头连接符 33"/>
                      <wp:cNvGraphicFramePr/>
                      <a:graphic xmlns:a="http://schemas.openxmlformats.org/drawingml/2006/main">
                        <a:graphicData uri="http://schemas.microsoft.com/office/word/2010/wordprocessingShape">
                          <wps:wsp>
                            <wps:cNvCnPr/>
                            <wps:spPr>
                              <a:xfrm>
                                <a:off x="0" y="0"/>
                                <a:ext cx="81280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2.45pt;margin-top:101.15pt;height:0pt;width:64pt;z-index:251661312;mso-width-relative:page;mso-height-relative:page;" filled="f" stroked="t" coordsize="21600,21600" o:gfxdata="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ht67T1QAAAAsBAAAPAAAAAAAAAAEAIAAAACIAAABkcnMvZG93&#10;bnJldi54bWxQSwECFAAUAAAACACHTuJAc/t2ewMCAADiAwAADgAAAAAAAAABACAAAAAkAQAAZHJz&#10;L2Uyb0RvYy54bWxQSwUGAAAAAAYABgBZAQAAmQUAAAAA&#10;">
                      <v:fill on="f" focussize="0,0"/>
                      <v:stroke weight="0.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1047115</wp:posOffset>
                      </wp:positionH>
                      <wp:positionV relativeFrom="paragraph">
                        <wp:posOffset>2189480</wp:posOffset>
                      </wp:positionV>
                      <wp:extent cx="812800" cy="0"/>
                      <wp:effectExtent l="0" t="38100" r="6350" b="38100"/>
                      <wp:wrapNone/>
                      <wp:docPr id="22" name="直接箭头连接符 22"/>
                      <wp:cNvGraphicFramePr/>
                      <a:graphic xmlns:a="http://schemas.openxmlformats.org/drawingml/2006/main">
                        <a:graphicData uri="http://schemas.microsoft.com/office/word/2010/wordprocessingShape">
                          <wps:wsp>
                            <wps:cNvCnPr/>
                            <wps:spPr>
                              <a:xfrm>
                                <a:off x="1728470" y="3648710"/>
                                <a:ext cx="81280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2.45pt;margin-top:172.4pt;height:0pt;width:64pt;z-index:251660288;mso-width-relative:page;mso-height-relative:page;" filled="f" stroked="t" coordsize="21600,21600" o:gfxdata="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fmtq9UAAAALAQAADwAAAAAAAAAB&#10;ACAAAAAiAAAAZHJzL2Rvd25yZXYueG1sUEsBAhQAFAAAAAgAh07iQFj65FITAgAA7gMAAA4AAAAA&#10;AAAAAQAgAAAAJAEAAGRycy9lMm9Eb2MueG1sUEsFBgAAAAAGAAYAWQEAAKkFAAAAAA==&#10;">
                      <v:fill on="f" focussize="0,0"/>
                      <v:stroke weight="0.5pt" color="#000000 [3213]" miterlimit="8" joinstyle="miter" endarrow="block"/>
                      <v:imagedata o:title=""/>
                      <o:lock v:ext="edit" aspectratio="f"/>
                    </v:shape>
                  </w:pict>
                </mc:Fallback>
              </mc:AlternateContent>
            </w:r>
            <w:r>
              <w:rPr>
                <w:sz w:val="21"/>
              </w:rPr>
              <mc:AlternateContent>
                <mc:Choice Requires="wpc">
                  <w:drawing>
                    <wp:inline distT="0" distB="0" distL="114300" distR="114300">
                      <wp:extent cx="5154930" cy="4512310"/>
                      <wp:effectExtent l="0" t="0" r="0" b="0"/>
                      <wp:docPr id="42" name="画布 42"/>
                      <wp:cNvGraphicFramePr/>
                      <a:graphic xmlns:a="http://schemas.openxmlformats.org/drawingml/2006/main">
                        <a:graphicData uri="http://schemas.microsoft.com/office/word/2010/wordprocessingCanvas">
                          <wpc:wpc>
                            <wpc:bg/>
                            <wpc:whole/>
                            <wps:wsp>
                              <wps:cNvPr id="43" name="矩形 43"/>
                              <wps:cNvSpPr/>
                              <wps:spPr>
                                <a:xfrm>
                                  <a:off x="1360805" y="103505"/>
                                  <a:ext cx="1774825" cy="269875"/>
                                </a:xfrm>
                                <a:prstGeom prst="rect">
                                  <a:avLst/>
                                </a:prstGeom>
                                <a:noFill/>
                                <a:ln>
                                  <a:noFill/>
                                </a:ln>
                              </wps:spPr>
                              <wps:txbx>
                                <w:txbxContent>
                                  <w:p w14:paraId="3D92D9D2">
                                    <w:r>
                                      <w:rPr>
                                        <w:rFonts w:hint="eastAsia"/>
                                      </w:rPr>
                                      <w:t>P</w:t>
                                    </w:r>
                                    <w:r>
                                      <w:t>E</w:t>
                                    </w:r>
                                    <w:r>
                                      <w:rPr>
                                        <w:rFonts w:hint="eastAsia"/>
                                        <w:lang w:val="en-US" w:eastAsia="zh-CN"/>
                                      </w:rPr>
                                      <w:t>粒子、</w:t>
                                    </w:r>
                                    <w:r>
                                      <w:rPr>
                                        <w:rFonts w:hint="eastAsia"/>
                                      </w:rPr>
                                      <w:t>PP粒子、色母粒</w:t>
                                    </w:r>
                                  </w:p>
                                </w:txbxContent>
                              </wps:txbx>
                              <wps:bodyPr upright="1"/>
                            </wps:wsp>
                            <wps:wsp>
                              <wps:cNvPr id="44" name="直接箭头连接符 44"/>
                              <wps:cNvCnPr/>
                              <wps:spPr>
                                <a:xfrm>
                                  <a:off x="2248535" y="373380"/>
                                  <a:ext cx="0" cy="276225"/>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5" name="文本框 45"/>
                              <wps:cNvSpPr txBox="1"/>
                              <wps:spPr>
                                <a:xfrm>
                                  <a:off x="1866265" y="649605"/>
                                  <a:ext cx="733425" cy="200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CFF4B8">
                                    <w:pPr>
                                      <w:jc w:val="center"/>
                                      <w:rPr>
                                        <w:rFonts w:hint="eastAsia" w:eastAsia="宋体"/>
                                        <w:lang w:val="en-US" w:eastAsia="zh-CN"/>
                                      </w:rPr>
                                    </w:pPr>
                                    <w:r>
                                      <w:rPr>
                                        <w:rFonts w:hint="eastAsia"/>
                                        <w:lang w:val="en-US" w:eastAsia="zh-CN"/>
                                      </w:rPr>
                                      <w:t>混料</w:t>
                                    </w:r>
                                  </w:p>
                                </w:txbxContent>
                              </wps:txbx>
                              <wps:bodyPr rot="0" spcFirstLastPara="0" vertOverflow="overflow" horzOverflow="overflow" vert="horz" wrap="square" lIns="0" tIns="0" rIns="0" bIns="0" numCol="1" spcCol="0" rtlCol="0" fromWordArt="0" anchor="t" anchorCtr="0" forceAA="0" compatLnSpc="1">
                                <a:noAutofit/>
                              </wps:bodyPr>
                            </wps:wsp>
                            <wps:wsp>
                              <wps:cNvPr id="46" name="直接箭头连接符 46"/>
                              <wps:cNvCnPr/>
                              <wps:spPr>
                                <a:xfrm>
                                  <a:off x="2599690" y="749935"/>
                                  <a:ext cx="28575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7" name="矩形 47"/>
                              <wps:cNvSpPr/>
                              <wps:spPr>
                                <a:xfrm>
                                  <a:off x="2953385" y="680085"/>
                                  <a:ext cx="423545" cy="180975"/>
                                </a:xfrm>
                                <a:prstGeom prst="rect">
                                  <a:avLst/>
                                </a:prstGeom>
                                <a:noFill/>
                                <a:ln>
                                  <a:noFill/>
                                </a:ln>
                              </wps:spPr>
                              <wps:txbx>
                                <w:txbxContent>
                                  <w:p w14:paraId="4B12FD98">
                                    <w:pPr>
                                      <w:rPr>
                                        <w:rFonts w:hint="eastAsia" w:eastAsia="宋体"/>
                                        <w:lang w:val="en-US" w:eastAsia="zh-CN"/>
                                      </w:rPr>
                                    </w:pPr>
                                    <w:r>
                                      <w:rPr>
                                        <w:rFonts w:hint="eastAsia"/>
                                        <w:lang w:val="en-US" w:eastAsia="zh-CN"/>
                                      </w:rPr>
                                      <w:t>N噪声</w:t>
                                    </w:r>
                                  </w:p>
                                </w:txbxContent>
                              </wps:txbx>
                              <wps:bodyPr lIns="0" tIns="0" rIns="0" bIns="0" upright="1"/>
                            </wps:wsp>
                            <wps:wsp>
                              <wps:cNvPr id="48" name="直接箭头连接符 48"/>
                              <wps:cNvCnPr/>
                              <wps:spPr>
                                <a:xfrm>
                                  <a:off x="2248535" y="859155"/>
                                  <a:ext cx="0" cy="276225"/>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9" name="文本框 49"/>
                              <wps:cNvSpPr txBox="1"/>
                              <wps:spPr>
                                <a:xfrm>
                                  <a:off x="1866265" y="1144905"/>
                                  <a:ext cx="733425" cy="200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052DB7">
                                    <w:pPr>
                                      <w:jc w:val="center"/>
                                      <w:rPr>
                                        <w:rFonts w:hint="default" w:eastAsia="宋体"/>
                                        <w:lang w:val="en-US" w:eastAsia="zh-CN"/>
                                      </w:rPr>
                                    </w:pPr>
                                    <w:r>
                                      <w:rPr>
                                        <w:rFonts w:hint="eastAsia" w:eastAsia="宋体"/>
                                        <w:lang w:val="en-US" w:eastAsia="zh-CN"/>
                                      </w:rPr>
                                      <w:t>干燥</w:t>
                                    </w:r>
                                  </w:p>
                                </w:txbxContent>
                              </wps:txbx>
                              <wps:bodyPr rot="0" spcFirstLastPara="0" vertOverflow="overflow" horzOverflow="overflow" vert="horz" wrap="square" lIns="0" tIns="0" rIns="0" bIns="0" numCol="1" spcCol="0" rtlCol="0" fromWordArt="0" anchor="t" anchorCtr="0" forceAA="0" compatLnSpc="1">
                                <a:noAutofit/>
                              </wps:bodyPr>
                            </wps:wsp>
                            <wps:wsp>
                              <wps:cNvPr id="50" name="直接箭头连接符 50"/>
                              <wps:cNvCnPr/>
                              <wps:spPr>
                                <a:xfrm>
                                  <a:off x="2599690" y="1254760"/>
                                  <a:ext cx="28575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1" name="矩形 51"/>
                              <wps:cNvSpPr/>
                              <wps:spPr>
                                <a:xfrm>
                                  <a:off x="2927350" y="1156335"/>
                                  <a:ext cx="519430" cy="204470"/>
                                </a:xfrm>
                                <a:prstGeom prst="rect">
                                  <a:avLst/>
                                </a:prstGeom>
                                <a:noFill/>
                                <a:ln>
                                  <a:noFill/>
                                </a:ln>
                              </wps:spPr>
                              <wps:txbx>
                                <w:txbxContent>
                                  <w:p w14:paraId="5CB642E5">
                                    <w:pPr>
                                      <w:rPr>
                                        <w:rFonts w:hint="default" w:eastAsia="宋体"/>
                                        <w:lang w:val="en-US" w:eastAsia="zh-CN"/>
                                      </w:rPr>
                                    </w:pPr>
                                    <w:r>
                                      <w:rPr>
                                        <w:rFonts w:hint="eastAsia"/>
                                        <w:lang w:val="en-US" w:eastAsia="zh-CN"/>
                                      </w:rPr>
                                      <w:t>G1水汽</w:t>
                                    </w:r>
                                  </w:p>
                                </w:txbxContent>
                              </wps:txbx>
                              <wps:bodyPr lIns="0" tIns="0" rIns="0" bIns="0" upright="1"/>
                            </wps:wsp>
                            <wps:wsp>
                              <wps:cNvPr id="52" name="直接箭头连接符 52"/>
                              <wps:cNvCnPr/>
                              <wps:spPr>
                                <a:xfrm>
                                  <a:off x="2248535" y="1354455"/>
                                  <a:ext cx="0" cy="276225"/>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3" name="文本框 53"/>
                              <wps:cNvSpPr txBox="1"/>
                              <wps:spPr>
                                <a:xfrm>
                                  <a:off x="1870710" y="1649730"/>
                                  <a:ext cx="733425" cy="200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760719">
                                    <w:pPr>
                                      <w:jc w:val="center"/>
                                      <w:rPr>
                                        <w:rFonts w:hint="default" w:eastAsia="宋体"/>
                                        <w:lang w:val="en-US" w:eastAsia="zh-CN"/>
                                      </w:rPr>
                                    </w:pPr>
                                    <w:r>
                                      <w:rPr>
                                        <w:rFonts w:hint="eastAsia" w:eastAsia="宋体"/>
                                        <w:lang w:val="en-US" w:eastAsia="zh-CN"/>
                                      </w:rPr>
                                      <w:t>上料</w:t>
                                    </w:r>
                                  </w:p>
                                </w:txbxContent>
                              </wps:txbx>
                              <wps:bodyPr rot="0" spcFirstLastPara="0" vertOverflow="overflow" horzOverflow="overflow" vert="horz" wrap="square" lIns="0" tIns="0" rIns="0" bIns="0" numCol="1" spcCol="0" rtlCol="0" fromWordArt="0" anchor="t" anchorCtr="0" forceAA="0" compatLnSpc="1">
                                <a:noAutofit/>
                              </wps:bodyPr>
                            </wps:wsp>
                            <wps:wsp>
                              <wps:cNvPr id="54" name="直接箭头连接符 54"/>
                              <wps:cNvCnPr/>
                              <wps:spPr>
                                <a:xfrm>
                                  <a:off x="2609850" y="1735455"/>
                                  <a:ext cx="28575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5" name="矩形 55"/>
                              <wps:cNvSpPr/>
                              <wps:spPr>
                                <a:xfrm>
                                  <a:off x="2940685" y="1634490"/>
                                  <a:ext cx="440055" cy="180975"/>
                                </a:xfrm>
                                <a:prstGeom prst="rect">
                                  <a:avLst/>
                                </a:prstGeom>
                                <a:noFill/>
                                <a:ln>
                                  <a:noFill/>
                                </a:ln>
                              </wps:spPr>
                              <wps:txbx>
                                <w:txbxContent>
                                  <w:p w14:paraId="353DB13E">
                                    <w:pPr>
                                      <w:rPr>
                                        <w:rFonts w:hint="default" w:eastAsia="宋体"/>
                                        <w:lang w:val="en-US" w:eastAsia="zh-CN"/>
                                      </w:rPr>
                                    </w:pPr>
                                    <w:r>
                                      <w:rPr>
                                        <w:rFonts w:hint="eastAsia" w:eastAsia="宋体"/>
                                        <w:lang w:val="en-US" w:eastAsia="zh-CN"/>
                                      </w:rPr>
                                      <w:t>N噪声</w:t>
                                    </w:r>
                                  </w:p>
                                </w:txbxContent>
                              </wps:txbx>
                              <wps:bodyPr lIns="0" tIns="0" rIns="0" bIns="0" upright="1"/>
                            </wps:wsp>
                            <wps:wsp>
                              <wps:cNvPr id="56" name="直接箭头连接符 56"/>
                              <wps:cNvCnPr/>
                              <wps:spPr>
                                <a:xfrm>
                                  <a:off x="2258060" y="1849755"/>
                                  <a:ext cx="0" cy="276225"/>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7" name="文本框 57"/>
                              <wps:cNvSpPr txBox="1"/>
                              <wps:spPr>
                                <a:xfrm>
                                  <a:off x="1878330" y="2125980"/>
                                  <a:ext cx="733425" cy="200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12A220">
                                    <w:pPr>
                                      <w:jc w:val="center"/>
                                      <w:rPr>
                                        <w:rFonts w:hint="default" w:eastAsia="宋体"/>
                                        <w:lang w:val="en-US" w:eastAsia="zh-CN"/>
                                      </w:rPr>
                                    </w:pPr>
                                    <w:r>
                                      <w:rPr>
                                        <w:rFonts w:hint="eastAsia" w:eastAsia="宋体"/>
                                        <w:lang w:val="en-US" w:eastAsia="zh-CN"/>
                                      </w:rPr>
                                      <w:t>注塑成型</w:t>
                                    </w:r>
                                  </w:p>
                                </w:txbxContent>
                              </wps:txbx>
                              <wps:bodyPr rot="0" spcFirstLastPara="0" vertOverflow="overflow" horzOverflow="overflow" vert="horz" wrap="square" lIns="0" tIns="0" rIns="0" bIns="0" numCol="1" spcCol="0" rtlCol="0" fromWordArt="0" anchor="t" anchorCtr="0" forceAA="0" compatLnSpc="1">
                                <a:noAutofit/>
                              </wps:bodyPr>
                            </wps:wsp>
                            <wps:wsp>
                              <wps:cNvPr id="58" name="直接箭头连接符 58"/>
                              <wps:cNvCnPr/>
                              <wps:spPr>
                                <a:xfrm>
                                  <a:off x="2609215" y="2220595"/>
                                  <a:ext cx="28575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9" name="矩形 59"/>
                              <wps:cNvSpPr/>
                              <wps:spPr>
                                <a:xfrm>
                                  <a:off x="2908935" y="2029460"/>
                                  <a:ext cx="834390" cy="556260"/>
                                </a:xfrm>
                                <a:prstGeom prst="rect">
                                  <a:avLst/>
                                </a:prstGeom>
                                <a:noFill/>
                                <a:ln>
                                  <a:noFill/>
                                </a:ln>
                              </wps:spPr>
                              <wps:txbx>
                                <w:txbxContent>
                                  <w:p w14:paraId="2B86F9AF">
                                    <w:pPr>
                                      <w:rPr>
                                        <w:rFonts w:hint="eastAsia" w:ascii="Times New Roman" w:hAnsi="Times New Roman" w:eastAsia="宋体" w:cs="Times New Roman"/>
                                        <w:lang w:val="en-US" w:eastAsia="zh-CN"/>
                                      </w:rPr>
                                    </w:pPr>
                                    <w:r>
                                      <w:rPr>
                                        <w:rFonts w:hint="eastAsia"/>
                                        <w:lang w:val="en-US" w:eastAsia="zh-CN"/>
                                      </w:rPr>
                                      <w:t>G2</w:t>
                                    </w:r>
                                    <w:r>
                                      <w:rPr>
                                        <w:rFonts w:hint="eastAsia" w:ascii="Times New Roman" w:hAnsi="Times New Roman" w:eastAsia="宋体" w:cs="Times New Roman"/>
                                        <w:lang w:val="en-US" w:eastAsia="zh-CN"/>
                                      </w:rPr>
                                      <w:t>注塑废气</w:t>
                                    </w:r>
                                  </w:p>
                                  <w:p w14:paraId="59EE85B3">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N噪声</w:t>
                                    </w:r>
                                  </w:p>
                                  <w:p w14:paraId="75E7F9E2">
                                    <w:pPr>
                                      <w:rPr>
                                        <w:rFonts w:hint="default" w:ascii="Times New Roman" w:hAnsi="Times New Roman" w:eastAsia="宋体" w:cs="Times New Roman"/>
                                        <w:lang w:val="en-US" w:eastAsia="zh-CN"/>
                                      </w:rPr>
                                    </w:pPr>
                                    <w:r>
                                      <w:rPr>
                                        <w:rFonts w:hint="eastAsia" w:cs="Times New Roman"/>
                                        <w:lang w:val="en-US" w:eastAsia="zh-CN"/>
                                      </w:rPr>
                                      <w:t>S1焦化塑料</w:t>
                                    </w:r>
                                  </w:p>
                                </w:txbxContent>
                              </wps:txbx>
                              <wps:bodyPr lIns="0" tIns="0" rIns="0" bIns="0" upright="1"/>
                            </wps:wsp>
                            <wps:wsp>
                              <wps:cNvPr id="61" name="矩形 61"/>
                              <wps:cNvSpPr/>
                              <wps:spPr>
                                <a:xfrm>
                                  <a:off x="1256030" y="2342515"/>
                                  <a:ext cx="902970" cy="269875"/>
                                </a:xfrm>
                                <a:prstGeom prst="rect">
                                  <a:avLst/>
                                </a:prstGeom>
                                <a:noFill/>
                                <a:ln>
                                  <a:noFill/>
                                </a:ln>
                              </wps:spPr>
                              <wps:txbx>
                                <w:txbxContent>
                                  <w:p w14:paraId="27B0BBD6">
                                    <w:pPr>
                                      <w:rPr>
                                        <w:rFonts w:hint="default" w:eastAsia="宋体"/>
                                        <w:lang w:val="en-US" w:eastAsia="zh-CN"/>
                                      </w:rPr>
                                    </w:pPr>
                                    <w:r>
                                      <w:rPr>
                                        <w:rFonts w:hint="eastAsia" w:eastAsia="宋体"/>
                                        <w:lang w:val="en-US" w:eastAsia="zh-CN"/>
                                      </w:rPr>
                                      <w:t>隔套冷却水</w:t>
                                    </w:r>
                                  </w:p>
                                </w:txbxContent>
                              </wps:txbx>
                              <wps:bodyPr upright="1"/>
                            </wps:wsp>
                            <wps:wsp>
                              <wps:cNvPr id="64" name="任意多边形 64"/>
                              <wps:cNvSpPr/>
                              <wps:spPr>
                                <a:xfrm>
                                  <a:off x="1257300" y="2282190"/>
                                  <a:ext cx="839470" cy="327660"/>
                                </a:xfrm>
                                <a:custGeom>
                                  <a:avLst/>
                                  <a:gdLst>
                                    <a:gd name="connisteX0" fmla="*/ 839470 w 839470"/>
                                    <a:gd name="connsiteY0" fmla="*/ 71755 h 440690"/>
                                    <a:gd name="connisteX1" fmla="*/ 839470 w 839470"/>
                                    <a:gd name="connsiteY1" fmla="*/ 440690 h 440690"/>
                                    <a:gd name="connisteX2" fmla="*/ 0 w 839470"/>
                                    <a:gd name="connsiteY2" fmla="*/ 440690 h 440690"/>
                                    <a:gd name="connisteX3" fmla="*/ 0 w 839470"/>
                                    <a:gd name="connsiteY3" fmla="*/ 0 h 440690"/>
                                    <a:gd name="connisteX4" fmla="*/ 601345 w 839470"/>
                                    <a:gd name="connsiteY4" fmla="*/ 0 h 44069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839470" h="440690">
                                      <a:moveTo>
                                        <a:pt x="839470" y="71755"/>
                                      </a:moveTo>
                                      <a:lnTo>
                                        <a:pt x="839470" y="440690"/>
                                      </a:lnTo>
                                      <a:lnTo>
                                        <a:pt x="0" y="440690"/>
                                      </a:lnTo>
                                      <a:lnTo>
                                        <a:pt x="0" y="0"/>
                                      </a:lnTo>
                                      <a:lnTo>
                                        <a:pt x="601345" y="0"/>
                                      </a:lnTo>
                                    </a:path>
                                  </a:pathLst>
                                </a:custGeom>
                                <a:noFill/>
                                <a:ln w="6350">
                                  <a:solidFill>
                                    <a:schemeClr val="tx1"/>
                                  </a:solidFill>
                                  <a:tailEnd type="triangle"/>
                                </a:ln>
                              </wps:spPr>
                              <wps:style>
                                <a:lnRef idx="2">
                                  <a:schemeClr val="accent1">
                                    <a:lumMod val="75000"/>
                                  </a:schemeClr>
                                </a:lnRef>
                                <a:fillRef idx="1">
                                  <a:schemeClr val="accent1"/>
                                </a:fillRef>
                                <a:effectRef idx="0">
                                  <a:srgbClr val="FFFFFF"/>
                                </a:effectRef>
                                <a:fontRef idx="minor">
                                  <a:schemeClr val="lt1"/>
                                </a:fontRef>
                              </wps:style>
                              <wps:bodyPr/>
                            </wps:wsp>
                            <wps:wsp>
                              <wps:cNvPr id="65" name="直接箭头连接符 65"/>
                              <wps:cNvCnPr/>
                              <wps:spPr>
                                <a:xfrm>
                                  <a:off x="2234565" y="2326005"/>
                                  <a:ext cx="0" cy="32512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6" name="文本框 66"/>
                              <wps:cNvSpPr txBox="1"/>
                              <wps:spPr>
                                <a:xfrm>
                                  <a:off x="1878330" y="2655570"/>
                                  <a:ext cx="733425" cy="200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7172F7">
                                    <w:pPr>
                                      <w:jc w:val="center"/>
                                      <w:rPr>
                                        <w:rFonts w:hint="default" w:eastAsia="宋体"/>
                                        <w:lang w:val="en-US" w:eastAsia="zh-CN"/>
                                      </w:rPr>
                                    </w:pPr>
                                    <w:r>
                                      <w:rPr>
                                        <w:rFonts w:hint="eastAsia" w:eastAsia="宋体"/>
                                        <w:lang w:val="en-US" w:eastAsia="zh-CN"/>
                                      </w:rPr>
                                      <w:t>修边</w:t>
                                    </w:r>
                                  </w:p>
                                </w:txbxContent>
                              </wps:txbx>
                              <wps:bodyPr rot="0" spcFirstLastPara="0" vertOverflow="overflow" horzOverflow="overflow" vert="horz" wrap="square" lIns="0" tIns="0" rIns="0" bIns="0" numCol="1" spcCol="0" rtlCol="0" fromWordArt="0" anchor="t" anchorCtr="0" forceAA="0" compatLnSpc="1">
                                <a:noAutofit/>
                              </wps:bodyPr>
                            </wps:wsp>
                            <wps:wsp>
                              <wps:cNvPr id="67" name="直接箭头连接符 67"/>
                              <wps:cNvCnPr/>
                              <wps:spPr>
                                <a:xfrm>
                                  <a:off x="2246630" y="2856230"/>
                                  <a:ext cx="0" cy="32512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8" name="文本框 68"/>
                              <wps:cNvSpPr txBox="1"/>
                              <wps:spPr>
                                <a:xfrm>
                                  <a:off x="1871980" y="3190875"/>
                                  <a:ext cx="733425" cy="200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58CF18">
                                    <w:pPr>
                                      <w:jc w:val="center"/>
                                      <w:rPr>
                                        <w:rFonts w:hint="default" w:eastAsia="宋体"/>
                                        <w:lang w:val="en-US" w:eastAsia="zh-CN"/>
                                      </w:rPr>
                                    </w:pPr>
                                    <w:r>
                                      <w:rPr>
                                        <w:rFonts w:hint="eastAsia" w:eastAsia="宋体"/>
                                        <w:lang w:val="en-US" w:eastAsia="zh-CN"/>
                                      </w:rPr>
                                      <w:t>检验</w:t>
                                    </w:r>
                                  </w:p>
                                </w:txbxContent>
                              </wps:txbx>
                              <wps:bodyPr rot="0" spcFirstLastPara="0" vertOverflow="overflow" horzOverflow="overflow" vert="horz" wrap="square" lIns="0" tIns="0" rIns="0" bIns="0" numCol="1" spcCol="0" rtlCol="0" fromWordArt="0" anchor="t" anchorCtr="0" forceAA="0" compatLnSpc="1">
                                <a:noAutofit/>
                              </wps:bodyPr>
                            </wps:wsp>
                            <wps:wsp>
                              <wps:cNvPr id="69" name="直接箭头连接符 69"/>
                              <wps:cNvCnPr/>
                              <wps:spPr>
                                <a:xfrm>
                                  <a:off x="2609215" y="2756535"/>
                                  <a:ext cx="28575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0" name="矩形 70"/>
                              <wps:cNvSpPr/>
                              <wps:spPr>
                                <a:xfrm>
                                  <a:off x="2908935" y="2666365"/>
                                  <a:ext cx="631825" cy="198120"/>
                                </a:xfrm>
                                <a:prstGeom prst="rect">
                                  <a:avLst/>
                                </a:prstGeom>
                                <a:noFill/>
                                <a:ln>
                                  <a:noFill/>
                                </a:ln>
                              </wps:spPr>
                              <wps:txbx>
                                <w:txbxContent>
                                  <w:p w14:paraId="0FE3DBFD">
                                    <w:pPr>
                                      <w:rPr>
                                        <w:rFonts w:hint="default" w:ascii="Times New Roman" w:hAnsi="Times New Roman" w:eastAsia="宋体" w:cs="Times New Roman"/>
                                        <w:lang w:val="en-US" w:eastAsia="zh-CN"/>
                                      </w:rPr>
                                    </w:pPr>
                                    <w:r>
                                      <w:rPr>
                                        <w:rFonts w:hint="eastAsia"/>
                                        <w:lang w:val="en-US" w:eastAsia="zh-CN"/>
                                      </w:rPr>
                                      <w:t>S2边角料</w:t>
                                    </w:r>
                                  </w:p>
                                  <w:p w14:paraId="3E44FB0D">
                                    <w:pPr>
                                      <w:pStyle w:val="11"/>
                                      <w:numPr>
                                        <w:ilvl w:val="0"/>
                                        <w:numId w:val="0"/>
                                      </w:numPr>
                                      <w:ind w:left="1680" w:leftChars="0"/>
                                      <w:rPr>
                                        <w:rFonts w:hint="default"/>
                                        <w:lang w:val="en-US" w:eastAsia="zh-CN"/>
                                      </w:rPr>
                                    </w:pPr>
                                  </w:p>
                                </w:txbxContent>
                              </wps:txbx>
                              <wps:bodyPr lIns="0" tIns="0" rIns="0" bIns="0" upright="1"/>
                            </wps:wsp>
                            <wps:wsp>
                              <wps:cNvPr id="71" name="直接箭头连接符 71"/>
                              <wps:cNvCnPr/>
                              <wps:spPr>
                                <a:xfrm>
                                  <a:off x="2609215" y="3292475"/>
                                  <a:ext cx="285750"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2" name="矩形 72"/>
                              <wps:cNvSpPr/>
                              <wps:spPr>
                                <a:xfrm>
                                  <a:off x="2915920" y="3196590"/>
                                  <a:ext cx="888365" cy="198120"/>
                                </a:xfrm>
                                <a:prstGeom prst="rect">
                                  <a:avLst/>
                                </a:prstGeom>
                                <a:noFill/>
                                <a:ln>
                                  <a:noFill/>
                                </a:ln>
                              </wps:spPr>
                              <wps:txbx>
                                <w:txbxContent>
                                  <w:p w14:paraId="400C1901">
                                    <w:pPr>
                                      <w:rPr>
                                        <w:rFonts w:hint="default" w:ascii="Times New Roman" w:hAnsi="Times New Roman" w:eastAsia="宋体" w:cs="Times New Roman"/>
                                        <w:lang w:val="en-US" w:eastAsia="zh-CN"/>
                                      </w:rPr>
                                    </w:pPr>
                                    <w:r>
                                      <w:rPr>
                                        <w:rFonts w:hint="eastAsia"/>
                                        <w:lang w:val="en-US" w:eastAsia="zh-CN"/>
                                      </w:rPr>
                                      <w:t>S3不合格品</w:t>
                                    </w:r>
                                  </w:p>
                                  <w:p w14:paraId="680423E2">
                                    <w:pPr>
                                      <w:pStyle w:val="11"/>
                                      <w:numPr>
                                        <w:ilvl w:val="0"/>
                                        <w:numId w:val="0"/>
                                      </w:numPr>
                                      <w:ind w:left="1680" w:leftChars="0"/>
                                      <w:rPr>
                                        <w:rFonts w:hint="default"/>
                                        <w:lang w:val="en-US" w:eastAsia="zh-CN"/>
                                      </w:rPr>
                                    </w:pPr>
                                  </w:p>
                                </w:txbxContent>
                              </wps:txbx>
                              <wps:bodyPr lIns="0" tIns="0" rIns="0" bIns="0" upright="1"/>
                            </wps:wsp>
                            <wps:wsp>
                              <wps:cNvPr id="73" name="直接箭头连接符 73"/>
                              <wps:cNvCnPr/>
                              <wps:spPr>
                                <a:xfrm>
                                  <a:off x="2246630" y="3391535"/>
                                  <a:ext cx="0" cy="32512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4" name="文本框 74"/>
                              <wps:cNvSpPr txBox="1"/>
                              <wps:spPr>
                                <a:xfrm>
                                  <a:off x="1871980" y="3726815"/>
                                  <a:ext cx="733425" cy="200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8A89E88">
                                    <w:pPr>
                                      <w:jc w:val="center"/>
                                      <w:rPr>
                                        <w:rFonts w:hint="default" w:eastAsia="宋体"/>
                                        <w:lang w:val="en-US" w:eastAsia="zh-CN"/>
                                      </w:rPr>
                                    </w:pPr>
                                    <w:r>
                                      <w:rPr>
                                        <w:rFonts w:hint="eastAsia" w:eastAsia="宋体"/>
                                        <w:lang w:val="en-US" w:eastAsia="zh-CN"/>
                                      </w:rPr>
                                      <w:t>装配</w:t>
                                    </w:r>
                                  </w:p>
                                </w:txbxContent>
                              </wps:txbx>
                              <wps:bodyPr rot="0" spcFirstLastPara="0" vertOverflow="overflow" horzOverflow="overflow" vert="horz" wrap="square" lIns="0" tIns="0" rIns="0" bIns="0" numCol="1" spcCol="0" rtlCol="0" fromWordArt="0" anchor="t" anchorCtr="0" forceAA="0" compatLnSpc="1">
                                <a:noAutofit/>
                              </wps:bodyPr>
                            </wps:wsp>
                            <wps:wsp>
                              <wps:cNvPr id="75" name="直接箭头连接符 75"/>
                              <wps:cNvCnPr/>
                              <wps:spPr>
                                <a:xfrm>
                                  <a:off x="1406525" y="3846195"/>
                                  <a:ext cx="452755"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6" name="矩形 76"/>
                              <wps:cNvSpPr/>
                              <wps:spPr>
                                <a:xfrm>
                                  <a:off x="374650" y="3642360"/>
                                  <a:ext cx="1043305" cy="364490"/>
                                </a:xfrm>
                                <a:prstGeom prst="rect">
                                  <a:avLst/>
                                </a:prstGeom>
                                <a:noFill/>
                                <a:ln>
                                  <a:noFill/>
                                </a:ln>
                              </wps:spPr>
                              <wps:txbx>
                                <w:txbxContent>
                                  <w:p w14:paraId="4B167BC7">
                                    <w:pPr>
                                      <w:rPr>
                                        <w:rFonts w:hint="default" w:ascii="Times New Roman" w:hAnsi="Times New Roman" w:eastAsia="宋体" w:cs="Times New Roman"/>
                                        <w:lang w:val="en-US" w:eastAsia="zh-CN"/>
                                      </w:rPr>
                                    </w:pPr>
                                    <w:r>
                                      <w:rPr>
                                        <w:rFonts w:hint="eastAsia"/>
                                        <w:lang w:val="en-US" w:eastAsia="zh-CN"/>
                                      </w:rPr>
                                      <w:t>配件（</w:t>
                                    </w:r>
                                    <w:r>
                                      <w:rPr>
                                        <w:rFonts w:hint="default" w:ascii="Times New Roman" w:hAnsi="Times New Roman" w:eastAsia="宋体" w:cs="Times New Roman"/>
                                        <w:bCs/>
                                        <w:color w:val="auto"/>
                                      </w:rPr>
                                      <w:t>塑料、弹簧、吸管、垫片</w:t>
                                    </w:r>
                                    <w:r>
                                      <w:rPr>
                                        <w:rFonts w:hint="eastAsia"/>
                                        <w:lang w:val="en-US" w:eastAsia="zh-CN"/>
                                      </w:rPr>
                                      <w:t>）</w:t>
                                    </w:r>
                                  </w:p>
                                  <w:p w14:paraId="64AA6557">
                                    <w:pPr>
                                      <w:pStyle w:val="11"/>
                                      <w:numPr>
                                        <w:ilvl w:val="0"/>
                                        <w:numId w:val="0"/>
                                      </w:numPr>
                                      <w:ind w:left="1680" w:leftChars="0"/>
                                      <w:rPr>
                                        <w:rFonts w:hint="default"/>
                                        <w:lang w:val="en-US" w:eastAsia="zh-CN"/>
                                      </w:rPr>
                                    </w:pPr>
                                  </w:p>
                                </w:txbxContent>
                              </wps:txbx>
                              <wps:bodyPr lIns="0" tIns="0" rIns="0" bIns="0" upright="1"/>
                            </wps:wsp>
                            <wps:wsp>
                              <wps:cNvPr id="77" name="直接箭头连接符 77"/>
                              <wps:cNvCnPr/>
                              <wps:spPr>
                                <a:xfrm>
                                  <a:off x="2234565" y="3927475"/>
                                  <a:ext cx="0" cy="32512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8" name="矩形 78"/>
                              <wps:cNvSpPr/>
                              <wps:spPr>
                                <a:xfrm>
                                  <a:off x="1963420" y="4267835"/>
                                  <a:ext cx="544195" cy="198120"/>
                                </a:xfrm>
                                <a:prstGeom prst="rect">
                                  <a:avLst/>
                                </a:prstGeom>
                                <a:noFill/>
                                <a:ln>
                                  <a:noFill/>
                                </a:ln>
                              </wps:spPr>
                              <wps:txbx>
                                <w:txbxContent>
                                  <w:p w14:paraId="2F08DE4B">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成品</w:t>
                                    </w:r>
                                  </w:p>
                                  <w:p w14:paraId="3D3E35AF">
                                    <w:pPr>
                                      <w:pStyle w:val="11"/>
                                      <w:numPr>
                                        <w:ilvl w:val="0"/>
                                        <w:numId w:val="0"/>
                                      </w:numPr>
                                      <w:ind w:left="1680" w:leftChars="0"/>
                                      <w:rPr>
                                        <w:rFonts w:hint="default"/>
                                        <w:lang w:val="en-US" w:eastAsia="zh-CN"/>
                                      </w:rPr>
                                    </w:pPr>
                                  </w:p>
                                </w:txbxContent>
                              </wps:txbx>
                              <wps:bodyPr lIns="0" tIns="0" rIns="0" bIns="0" upright="1"/>
                            </wps:wsp>
                            <wps:wsp>
                              <wps:cNvPr id="81" name="直接箭头连接符 81"/>
                              <wps:cNvCnPr/>
                              <wps:spPr>
                                <a:xfrm>
                                  <a:off x="3568065" y="2744470"/>
                                  <a:ext cx="255270" cy="635"/>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82" name="任意多边形 82"/>
                              <wps:cNvSpPr/>
                              <wps:spPr>
                                <a:xfrm>
                                  <a:off x="3633470" y="2482215"/>
                                  <a:ext cx="221615" cy="791210"/>
                                </a:xfrm>
                                <a:custGeom>
                                  <a:avLst/>
                                  <a:gdLst>
                                    <a:gd name="connisteX0" fmla="*/ 0 w 518160"/>
                                    <a:gd name="connsiteY0" fmla="*/ 648970 h 648970"/>
                                    <a:gd name="connisteX1" fmla="*/ 381000 w 518160"/>
                                    <a:gd name="connsiteY1" fmla="*/ 648970 h 648970"/>
                                    <a:gd name="connisteX2" fmla="*/ 518160 w 518160"/>
                                    <a:gd name="connsiteY2" fmla="*/ 648970 h 648970"/>
                                    <a:gd name="connisteX3" fmla="*/ 518160 w 518160"/>
                                    <a:gd name="connsiteY3" fmla="*/ 0 h 648970"/>
                                  </a:gdLst>
                                  <a:ahLst/>
                                  <a:cxnLst>
                                    <a:cxn ang="0">
                                      <a:pos x="connisteX0" y="connsiteY0"/>
                                    </a:cxn>
                                    <a:cxn ang="0">
                                      <a:pos x="connisteX1" y="connsiteY1"/>
                                    </a:cxn>
                                    <a:cxn ang="0">
                                      <a:pos x="connisteX2" y="connsiteY2"/>
                                    </a:cxn>
                                    <a:cxn ang="0">
                                      <a:pos x="connisteX3" y="connsiteY3"/>
                                    </a:cxn>
                                  </a:cxnLst>
                                  <a:rect l="l" t="t" r="r" b="b"/>
                                  <a:pathLst>
                                    <a:path w="518160" h="648970">
                                      <a:moveTo>
                                        <a:pt x="0" y="648970"/>
                                      </a:moveTo>
                                      <a:lnTo>
                                        <a:pt x="381000" y="648970"/>
                                      </a:lnTo>
                                      <a:lnTo>
                                        <a:pt x="518160" y="648970"/>
                                      </a:lnTo>
                                      <a:lnTo>
                                        <a:pt x="518160" y="0"/>
                                      </a:lnTo>
                                    </a:path>
                                  </a:pathLst>
                                </a:custGeom>
                                <a:noFill/>
                                <a:ln w="6350">
                                  <a:solidFill>
                                    <a:schemeClr val="tx1"/>
                                  </a:solidFill>
                                  <a:tailEnd type="triangle"/>
                                </a:ln>
                              </wps:spPr>
                              <wps:style>
                                <a:lnRef idx="2">
                                  <a:schemeClr val="accent1">
                                    <a:lumMod val="75000"/>
                                  </a:schemeClr>
                                </a:lnRef>
                                <a:fillRef idx="1">
                                  <a:schemeClr val="accent1"/>
                                </a:fillRef>
                                <a:effectRef idx="0">
                                  <a:srgbClr val="FFFFFF"/>
                                </a:effectRef>
                                <a:fontRef idx="minor">
                                  <a:schemeClr val="lt1"/>
                                </a:fontRef>
                              </wps:style>
                              <wps:bodyPr/>
                            </wps:wsp>
                            <wps:wsp>
                              <wps:cNvPr id="83" name="文本框 83"/>
                              <wps:cNvSpPr txBox="1"/>
                              <wps:spPr>
                                <a:xfrm>
                                  <a:off x="3627120" y="2256790"/>
                                  <a:ext cx="448310" cy="200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2A82E9">
                                    <w:pPr>
                                      <w:jc w:val="center"/>
                                      <w:rPr>
                                        <w:rFonts w:hint="default" w:eastAsia="宋体"/>
                                        <w:lang w:val="en-US" w:eastAsia="zh-CN"/>
                                      </w:rPr>
                                    </w:pPr>
                                    <w:r>
                                      <w:rPr>
                                        <w:rFonts w:hint="eastAsia" w:eastAsia="宋体"/>
                                        <w:lang w:val="en-US" w:eastAsia="zh-CN"/>
                                      </w:rPr>
                                      <w:t>粉碎</w:t>
                                    </w:r>
                                  </w:p>
                                </w:txbxContent>
                              </wps:txbx>
                              <wps:bodyPr rot="0" spcFirstLastPara="0" vertOverflow="overflow" horzOverflow="overflow" vert="horz" wrap="square" lIns="0" tIns="0" rIns="0" bIns="0" numCol="1" spcCol="0" rtlCol="0" fromWordArt="0" anchor="t" anchorCtr="0" forceAA="0" compatLnSpc="1">
                                <a:noAutofit/>
                              </wps:bodyPr>
                            </wps:wsp>
                            <wps:wsp>
                              <wps:cNvPr id="84" name="任意多边形 84"/>
                              <wps:cNvSpPr/>
                              <wps:spPr>
                                <a:xfrm>
                                  <a:off x="2376805" y="1386205"/>
                                  <a:ext cx="1464945" cy="863600"/>
                                </a:xfrm>
                                <a:custGeom>
                                  <a:avLst/>
                                  <a:gdLst>
                                    <a:gd name="connisteX0" fmla="*/ 1756410 w 1756410"/>
                                    <a:gd name="connsiteY0" fmla="*/ 863600 h 863600"/>
                                    <a:gd name="connisteX1" fmla="*/ 1756410 w 1756410"/>
                                    <a:gd name="connsiteY1" fmla="*/ 0 h 863600"/>
                                    <a:gd name="connisteX2" fmla="*/ 0 w 1756410"/>
                                    <a:gd name="connsiteY2" fmla="*/ 0 h 863600"/>
                                    <a:gd name="connisteX3" fmla="*/ 0 w 1756410"/>
                                    <a:gd name="connsiteY3" fmla="*/ 250190 h 863600"/>
                                  </a:gdLst>
                                  <a:ahLst/>
                                  <a:cxnLst>
                                    <a:cxn ang="0">
                                      <a:pos x="connisteX0" y="connsiteY0"/>
                                    </a:cxn>
                                    <a:cxn ang="0">
                                      <a:pos x="connisteX1" y="connsiteY1"/>
                                    </a:cxn>
                                    <a:cxn ang="0">
                                      <a:pos x="connisteX2" y="connsiteY2"/>
                                    </a:cxn>
                                    <a:cxn ang="0">
                                      <a:pos x="connisteX3" y="connsiteY3"/>
                                    </a:cxn>
                                  </a:cxnLst>
                                  <a:rect l="l" t="t" r="r" b="b"/>
                                  <a:pathLst>
                                    <a:path w="1756410" h="863600">
                                      <a:moveTo>
                                        <a:pt x="1756410" y="863600"/>
                                      </a:moveTo>
                                      <a:lnTo>
                                        <a:pt x="1756410" y="0"/>
                                      </a:lnTo>
                                      <a:lnTo>
                                        <a:pt x="0" y="0"/>
                                      </a:lnTo>
                                      <a:lnTo>
                                        <a:pt x="0" y="250190"/>
                                      </a:lnTo>
                                    </a:path>
                                  </a:pathLst>
                                </a:custGeom>
                                <a:noFill/>
                                <a:ln w="6350">
                                  <a:solidFill>
                                    <a:schemeClr val="tx1"/>
                                  </a:solidFill>
                                  <a:tailEnd type="triangle"/>
                                </a:ln>
                              </wps:spPr>
                              <wps:style>
                                <a:lnRef idx="2">
                                  <a:schemeClr val="accent1">
                                    <a:lumMod val="75000"/>
                                  </a:schemeClr>
                                </a:lnRef>
                                <a:fillRef idx="1">
                                  <a:schemeClr val="accent1"/>
                                </a:fillRef>
                                <a:effectRef idx="0">
                                  <a:srgbClr val="FFFFFF"/>
                                </a:effectRef>
                                <a:fontRef idx="minor">
                                  <a:schemeClr val="lt1"/>
                                </a:fontRef>
                              </wps:style>
                              <wps:bodyPr/>
                            </wps:wsp>
                            <wps:wsp>
                              <wps:cNvPr id="85" name="直接箭头连接符 85"/>
                              <wps:cNvCnPr/>
                              <wps:spPr>
                                <a:xfrm>
                                  <a:off x="4074160" y="2357755"/>
                                  <a:ext cx="196215"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86" name="矩形 86"/>
                              <wps:cNvSpPr/>
                              <wps:spPr>
                                <a:xfrm>
                                  <a:off x="4255135" y="2184400"/>
                                  <a:ext cx="810260" cy="359410"/>
                                </a:xfrm>
                                <a:prstGeom prst="rect">
                                  <a:avLst/>
                                </a:prstGeom>
                                <a:noFill/>
                                <a:ln>
                                  <a:noFill/>
                                </a:ln>
                              </wps:spPr>
                              <wps:txbx>
                                <w:txbxContent>
                                  <w:p w14:paraId="404CA927">
                                    <w:pPr>
                                      <w:rPr>
                                        <w:rFonts w:hint="eastAsia" w:ascii="Times New Roman" w:hAnsi="Times New Roman" w:eastAsia="宋体" w:cs="Times New Roman"/>
                                        <w:lang w:val="en-US" w:eastAsia="zh-CN"/>
                                      </w:rPr>
                                    </w:pPr>
                                    <w:r>
                                      <w:rPr>
                                        <w:rFonts w:hint="eastAsia"/>
                                        <w:lang w:val="en-US" w:eastAsia="zh-CN"/>
                                      </w:rPr>
                                      <w:t>G3</w:t>
                                    </w:r>
                                    <w:r>
                                      <w:rPr>
                                        <w:rFonts w:hint="eastAsia" w:cs="Times New Roman"/>
                                        <w:lang w:val="en-US" w:eastAsia="zh-CN"/>
                                      </w:rPr>
                                      <w:t>粉碎</w:t>
                                    </w:r>
                                    <w:r>
                                      <w:rPr>
                                        <w:rFonts w:hint="eastAsia" w:ascii="Times New Roman" w:hAnsi="Times New Roman" w:eastAsia="宋体" w:cs="Times New Roman"/>
                                        <w:lang w:val="en-US" w:eastAsia="zh-CN"/>
                                      </w:rPr>
                                      <w:t>废气</w:t>
                                    </w:r>
                                  </w:p>
                                  <w:p w14:paraId="4E0A9B81">
                                    <w:pPr>
                                      <w:rPr>
                                        <w:rFonts w:hint="default"/>
                                        <w:lang w:val="en-US" w:eastAsia="zh-CN"/>
                                      </w:rPr>
                                    </w:pPr>
                                    <w:r>
                                      <w:rPr>
                                        <w:rFonts w:hint="eastAsia" w:ascii="Times New Roman" w:hAnsi="Times New Roman" w:eastAsia="宋体" w:cs="Times New Roman"/>
                                        <w:lang w:val="en-US" w:eastAsia="zh-CN"/>
                                      </w:rPr>
                                      <w:t>N噪声</w:t>
                                    </w:r>
                                  </w:p>
                                </w:txbxContent>
                              </wps:txbx>
                              <wps:bodyPr lIns="0" tIns="0" rIns="0" bIns="0" upright="1"/>
                            </wps:wsp>
                            <wps:wsp>
                              <wps:cNvPr id="32" name="文本框 32"/>
                              <wps:cNvSpPr txBox="1"/>
                              <wps:spPr>
                                <a:xfrm>
                                  <a:off x="1082675" y="1990725"/>
                                  <a:ext cx="779145" cy="2063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B095366">
                                    <w:r>
                                      <w:rPr>
                                        <w:rFonts w:hint="eastAsia" w:ascii="Times New Roman" w:hAnsi="Times New Roman" w:eastAsia="宋体" w:cs="Times New Roman"/>
                                        <w:color w:val="000000" w:themeColor="text1"/>
                                        <w:szCs w:val="21"/>
                                        <w:lang w:val="en-US" w:eastAsia="zh-CN"/>
                                        <w14:textFill>
                                          <w14:solidFill>
                                            <w14:schemeClr w14:val="tx1"/>
                                          </w14:solidFill>
                                        </w14:textFill>
                                      </w:rPr>
                                      <w:t>170℃-220℃</w:t>
                                    </w:r>
                                  </w:p>
                                </w:txbxContent>
                              </wps:txbx>
                              <wps:bodyPr rot="0" spcFirstLastPara="0" vertOverflow="overflow" horzOverflow="overflow" vert="horz" wrap="square" lIns="0" tIns="0" rIns="0" bIns="0" numCol="1" spcCol="0" rtlCol="0" fromWordArt="0" anchor="t" anchorCtr="0" forceAA="0" compatLnSpc="1">
                                <a:noAutofit/>
                              </wps:bodyPr>
                            </wps:wsp>
                            <wps:wsp>
                              <wps:cNvPr id="40" name="文本框 40"/>
                              <wps:cNvSpPr txBox="1"/>
                              <wps:spPr>
                                <a:xfrm>
                                  <a:off x="1320800" y="1116965"/>
                                  <a:ext cx="342265" cy="2063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656D51C">
                                    <w:r>
                                      <w:rPr>
                                        <w:rFonts w:hint="eastAsia" w:ascii="Times New Roman" w:hAnsi="Times New Roman" w:eastAsia="宋体" w:cs="Times New Roman"/>
                                        <w:color w:val="000000" w:themeColor="text1"/>
                                        <w:szCs w:val="21"/>
                                        <w:lang w:val="en-US" w:eastAsia="zh-CN"/>
                                        <w14:textFill>
                                          <w14:solidFill>
                                            <w14:schemeClr w14:val="tx1"/>
                                          </w14:solidFill>
                                        </w14:textFill>
                                      </w:rPr>
                                      <w:t>80℃</w:t>
                                    </w:r>
                                  </w:p>
                                </w:txbxContent>
                              </wps:txbx>
                              <wps:bodyPr rot="0" spcFirstLastPara="0" vertOverflow="overflow" horzOverflow="overflow" vert="horz" wrap="square" lIns="0" tIns="0" rIns="0" bIns="0" numCol="1" spcCol="0" rtlCol="0" fromWordArt="0" anchor="t" anchorCtr="0" forceAA="0" compatLnSpc="1">
                                <a:noAutofit/>
                              </wps:bodyPr>
                            </wps:wsp>
                          </wpc:wpc>
                        </a:graphicData>
                      </a:graphic>
                    </wp:inline>
                  </w:drawing>
                </mc:Choice>
                <mc:Fallback>
                  <w:pict>
                    <v:group id="_x0000_s1026" o:spid="_x0000_s1026" o:spt="203" style="height:355.3pt;width:405.9pt;" coordsize="5154930,4512310" editas="canvas" o:gfxdata="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">
                      <o:lock v:ext="edit" aspectratio="f"/>
                      <v:shape id="_x0000_s1026" o:spid="_x0000_s1026" style="position:absolute;left:0;top:0;height:4512310;width:5154930;" filled="f" stroked="f" coordsize="21600,21600" o:gfxdata="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">
                        <v:fill on="f" focussize="0,0"/>
                        <v:stroke on="f"/>
                        <v:imagedata o:title=""/>
                        <o:lock v:ext="edit" aspectratio="f"/>
                      </v:shape>
                      <v:rect id="_x0000_s1026" o:spid="_x0000_s1026" o:spt="1" style="position:absolute;left:1360805;top:103505;height:269875;width:1774825;" filled="f" stroked="f" coordsize="21600,21600" o:gfxdata="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z4+1vWAAAA&#10;BQEAAA8AAAAAAAAAAQAgAAAAIgAAAGRycy9kb3ducmV2LnhtbFBLAQIUABQAAAAIAIdO4kCnUQzY&#10;rQEAAE4DAAAOAAAAAAAAAAEAIAAAACUBAABkcnMvZTJvRG9jLnhtbFBLBQYAAAAABgAGAFkBAABE&#10;BQAAAAA=&#10;">
                        <v:fill on="f" focussize="0,0"/>
                        <v:stroke on="f"/>
                        <v:imagedata o:title=""/>
                        <o:lock v:ext="edit" aspectratio="f"/>
                        <v:textbox>
                          <w:txbxContent>
                            <w:p w14:paraId="3D92D9D2">
                              <w:r>
                                <w:rPr>
                                  <w:rFonts w:hint="eastAsia"/>
                                </w:rPr>
                                <w:t>P</w:t>
                              </w:r>
                              <w:r>
                                <w:t>E</w:t>
                              </w:r>
                              <w:r>
                                <w:rPr>
                                  <w:rFonts w:hint="eastAsia"/>
                                  <w:lang w:val="en-US" w:eastAsia="zh-CN"/>
                                </w:rPr>
                                <w:t>粒子、</w:t>
                              </w:r>
                              <w:r>
                                <w:rPr>
                                  <w:rFonts w:hint="eastAsia"/>
                                </w:rPr>
                                <w:t>PP粒子、色母粒</w:t>
                              </w:r>
                            </w:p>
                          </w:txbxContent>
                        </v:textbox>
                      </v:rect>
                      <v:shape id="_x0000_s1026" o:spid="_x0000_s1026" o:spt="32" type="#_x0000_t32" style="position:absolute;left:2248535;top:373380;height:276225;width: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8HYqdMAAAAFAQAADwAAAAAAAAABACAA&#10;AAAiAAAAZHJzL2Rvd25yZXYueG1sUEsBAhQAFAAAAAgAh07iQHLJy4gSAgAA7QMAAA4AAAAAAAAA&#10;AQAgAAAAIgEAAGRycy9lMm9Eb2MueG1sUEsFBgAAAAAGAAYAWQEAAKYFAAAAAA==&#10;">
                        <v:fill on="f" focussize="0,0"/>
                        <v:stroke weight="0.5pt" color="#000000 [3213]" miterlimit="8" joinstyle="miter" endarrow="block"/>
                        <v:imagedata o:title=""/>
                        <o:lock v:ext="edit" aspectratio="f"/>
                      </v:shape>
                      <v:shape id="_x0000_s1026" o:spid="_x0000_s1026" o:spt="202" type="#_x0000_t202" style="position:absolute;left:1866265;top:649605;height:200025;width:733425;" fillcolor="#FFFFFF [3201]" filled="t" stroked="t" coordsize="21600,21600" o:gfxdata="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WS9cNQAAAAF&#10;AQAADwAAAAAAAAABACAAAAAiAAAAZHJzL2Rvd25yZXYueG1sUEsBAhQAFAAAAAgAh07iQJIoDjlZ&#10;AgAAswQAAA4AAAAAAAAAAQAgAAAAIwEAAGRycy9lMm9Eb2MueG1sUEsFBgAAAAAGAAYAWQEAAO4F&#10;AAAAAA==&#10;">
                        <v:fill on="t" focussize="0,0"/>
                        <v:stroke weight="0.5pt" color="#000000 [3204]" joinstyle="round"/>
                        <v:imagedata o:title=""/>
                        <o:lock v:ext="edit" aspectratio="f"/>
                        <v:textbox inset="0mm,0mm,0mm,0mm">
                          <w:txbxContent>
                            <w:p w14:paraId="16CFF4B8">
                              <w:pPr>
                                <w:jc w:val="center"/>
                                <w:rPr>
                                  <w:rFonts w:hint="eastAsia" w:eastAsia="宋体"/>
                                  <w:lang w:val="en-US" w:eastAsia="zh-CN"/>
                                </w:rPr>
                              </w:pPr>
                              <w:r>
                                <w:rPr>
                                  <w:rFonts w:hint="eastAsia"/>
                                  <w:lang w:val="en-US" w:eastAsia="zh-CN"/>
                                </w:rPr>
                                <w:t>混料</w:t>
                              </w:r>
                            </w:p>
                          </w:txbxContent>
                        </v:textbox>
                      </v:shape>
                      <v:shape id="_x0000_s1026" o:spid="_x0000_s1026" o:spt="32" type="#_x0000_t32" style="position:absolute;left:2599690;top:749935;height:0;width:28575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8HYqdMAAAAFAQAADwAAAAAAAAABACAA&#10;AAAiAAAAZHJzL2Rvd25yZXYueG1sUEsBAhQAFAAAAAgAh07iQPzweIsSAgAA7QMAAA4AAAAAAAAA&#10;AQAgAAAAIgEAAGRycy9lMm9Eb2MueG1sUEsFBgAAAAAGAAYAWQEAAKYFAAAAAA==&#10;">
                        <v:fill on="f" focussize="0,0"/>
                        <v:stroke weight="0.5pt" color="#000000 [3213]" miterlimit="8" joinstyle="miter" endarrow="block"/>
                        <v:imagedata o:title=""/>
                        <o:lock v:ext="edit" aspectratio="f"/>
                      </v:shape>
                      <v:rect id="_x0000_s1026" o:spid="_x0000_s1026" o:spt="1" style="position:absolute;left:2953385;top:680085;height:180975;width:423545;" filled="f" stroked="f" coordsize="21600,21600" o:gfxdata="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k6yt1gAAAAUBAAAPAAAAAAAAAAEAIAAAACIAAABkcnMvZG93bnJldi54bWxQSwEC&#10;FAAUAAAACACHTuJAdUcUwr0BAABxAwAADgAAAAAAAAABACAAAAAlAQAAZHJzL2Uyb0RvYy54bWxQ&#10;SwUGAAAAAAYABgBZAQAAVAUAAAAA&#10;">
                        <v:fill on="f" focussize="0,0"/>
                        <v:stroke on="f"/>
                        <v:imagedata o:title=""/>
                        <o:lock v:ext="edit" aspectratio="f"/>
                        <v:textbox inset="0mm,0mm,0mm,0mm">
                          <w:txbxContent>
                            <w:p w14:paraId="4B12FD98">
                              <w:pPr>
                                <w:rPr>
                                  <w:rFonts w:hint="eastAsia" w:eastAsia="宋体"/>
                                  <w:lang w:val="en-US" w:eastAsia="zh-CN"/>
                                </w:rPr>
                              </w:pPr>
                              <w:r>
                                <w:rPr>
                                  <w:rFonts w:hint="eastAsia"/>
                                  <w:lang w:val="en-US" w:eastAsia="zh-CN"/>
                                </w:rPr>
                                <w:t>N噪声</w:t>
                              </w:r>
                            </w:p>
                          </w:txbxContent>
                        </v:textbox>
                      </v:rect>
                      <v:shape id="_x0000_s1026" o:spid="_x0000_s1026" o:spt="32" type="#_x0000_t32" style="position:absolute;left:2248535;top:859155;height:276225;width: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8HYqdMAAAAFAQAADwAAAAAAAAABACAA&#10;AAAiAAAAZHJzL2Rvd25yZXYueG1sUEsBAhQAFAAAAAgAh07iQC5KV3sSAgAA7QMAAA4AAAAAAAAA&#10;AQAgAAAAIgEAAGRycy9lMm9Eb2MueG1sUEsFBgAAAAAGAAYAWQEAAKYFAAAAAA==&#10;">
                        <v:fill on="f" focussize="0,0"/>
                        <v:stroke weight="0.5pt" color="#000000 [3213]" miterlimit="8" joinstyle="miter" endarrow="block"/>
                        <v:imagedata o:title=""/>
                        <o:lock v:ext="edit" aspectratio="f"/>
                      </v:shape>
                      <v:shape id="_x0000_s1026" o:spid="_x0000_s1026" o:spt="202" type="#_x0000_t202" style="position:absolute;left:1866265;top:1144905;height:200025;width:733425;" fillcolor="#FFFFFF [3201]" filled="t" stroked="t" coordsize="21600,21600" o:gfxdata="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1ZL1w1AAA&#10;AAUBAAAPAAAAAAAAAAEAIAAAACIAAABkcnMvZG93bnJldi54bWxQSwECFAAUAAAACACHTuJAYBmF&#10;NlsCAAC0BAAADgAAAAAAAAABACAAAAAjAQAAZHJzL2Uyb0RvYy54bWxQSwUGAAAAAAYABgBZAQAA&#10;8AUAAAAA&#10;">
                        <v:fill on="t" focussize="0,0"/>
                        <v:stroke weight="0.5pt" color="#000000 [3204]" joinstyle="round"/>
                        <v:imagedata o:title=""/>
                        <o:lock v:ext="edit" aspectratio="f"/>
                        <v:textbox inset="0mm,0mm,0mm,0mm">
                          <w:txbxContent>
                            <w:p w14:paraId="45052DB7">
                              <w:pPr>
                                <w:jc w:val="center"/>
                                <w:rPr>
                                  <w:rFonts w:hint="default" w:eastAsia="宋体"/>
                                  <w:lang w:val="en-US" w:eastAsia="zh-CN"/>
                                </w:rPr>
                              </w:pPr>
                              <w:r>
                                <w:rPr>
                                  <w:rFonts w:hint="eastAsia" w:eastAsia="宋体"/>
                                  <w:lang w:val="en-US" w:eastAsia="zh-CN"/>
                                </w:rPr>
                                <w:t>干燥</w:t>
                              </w:r>
                            </w:p>
                          </w:txbxContent>
                        </v:textbox>
                      </v:shape>
                      <v:shape id="_x0000_s1026" o:spid="_x0000_s1026" o:spt="32" type="#_x0000_t32" style="position:absolute;left:2599690;top:1254760;height:0;width:28575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3wdip0wAAAAUBAAAPAAAAAAAAAAEAIAAA&#10;ACIAAABkcnMvZG93bnJldi54bWxQSwECFAAUAAAACACHTuJAU9KSRhECAADuAwAADgAAAAAAAAAB&#10;ACAAAAAiAQAAZHJzL2Uyb0RvYy54bWxQSwUGAAAAAAYABgBZAQAApQUAAAAA&#10;">
                        <v:fill on="f" focussize="0,0"/>
                        <v:stroke weight="0.5pt" color="#000000 [3213]" miterlimit="8" joinstyle="miter" endarrow="block"/>
                        <v:imagedata o:title=""/>
                        <o:lock v:ext="edit" aspectratio="f"/>
                      </v:shape>
                      <v:rect id="_x0000_s1026" o:spid="_x0000_s1026" o:spt="1" style="position:absolute;left:2927350;top:1156335;height:204470;width:519430;" filled="f" stroked="f" coordsize="21600,21600" o:gfxdata="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ZOsrdYAAAAFAQAADwAAAAAAAAABACAAAAAiAAAAZHJzL2Rvd25yZXYueG1sUEsB&#10;AhQAFAAAAAgAh07iQPWXbJa+AQAAcgMAAA4AAAAAAAAAAQAgAAAAJQEAAGRycy9lMm9Eb2MueG1s&#10;UEsFBgAAAAAGAAYAWQEAAFUFAAAAAA==&#10;">
                        <v:fill on="f" focussize="0,0"/>
                        <v:stroke on="f"/>
                        <v:imagedata o:title=""/>
                        <o:lock v:ext="edit" aspectratio="f"/>
                        <v:textbox inset="0mm,0mm,0mm,0mm">
                          <w:txbxContent>
                            <w:p w14:paraId="5CB642E5">
                              <w:pPr>
                                <w:rPr>
                                  <w:rFonts w:hint="default" w:eastAsia="宋体"/>
                                  <w:lang w:val="en-US" w:eastAsia="zh-CN"/>
                                </w:rPr>
                              </w:pPr>
                              <w:r>
                                <w:rPr>
                                  <w:rFonts w:hint="eastAsia"/>
                                  <w:lang w:val="en-US" w:eastAsia="zh-CN"/>
                                </w:rPr>
                                <w:t>G1水汽</w:t>
                              </w:r>
                            </w:p>
                          </w:txbxContent>
                        </v:textbox>
                      </v:rect>
                      <v:shape id="_x0000_s1026" o:spid="_x0000_s1026" o:spt="32" type="#_x0000_t32" style="position:absolute;left:2248535;top:1354455;height:276225;width: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3wdip0wAAAAUBAAAPAAAAAAAAAAEA&#10;IAAAACIAAABkcnMvZG93bnJldi54bWxQSwECFAAUAAAACACHTuJAOWRg8hQCAADuAwAADgAAAAAA&#10;AAABACAAAAAiAQAAZHJzL2Uyb0RvYy54bWxQSwUGAAAAAAYABgBZAQAAqAUAAAAA&#10;">
                        <v:fill on="f" focussize="0,0"/>
                        <v:stroke weight="0.5pt" color="#000000 [3213]" miterlimit="8" joinstyle="miter" endarrow="block"/>
                        <v:imagedata o:title=""/>
                        <o:lock v:ext="edit" aspectratio="f"/>
                      </v:shape>
                      <v:shape id="_x0000_s1026" o:spid="_x0000_s1026" o:spt="202" type="#_x0000_t202" style="position:absolute;left:1870710;top:1649730;height:200025;width:733425;" fillcolor="#FFFFFF [3201]" filled="t" stroked="t" coordsize="21600,21600" o:gfxdata="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VkvXDUAAAA&#10;BQEAAA8AAAAAAAAAAQAgAAAAIgAAAGRycy9kb3ducmV2LnhtbFBLAQIUABQAAAAIAIdO4kC2lvLK&#10;WgIAALQEAAAOAAAAAAAAAAEAIAAAACMBAABkcnMvZTJvRG9jLnhtbFBLBQYAAAAABgAGAFkBAADv&#10;BQAAAAA=&#10;">
                        <v:fill on="t" focussize="0,0"/>
                        <v:stroke weight="0.5pt" color="#000000 [3204]" joinstyle="round"/>
                        <v:imagedata o:title=""/>
                        <o:lock v:ext="edit" aspectratio="f"/>
                        <v:textbox inset="0mm,0mm,0mm,0mm">
                          <w:txbxContent>
                            <w:p w14:paraId="59760719">
                              <w:pPr>
                                <w:jc w:val="center"/>
                                <w:rPr>
                                  <w:rFonts w:hint="default" w:eastAsia="宋体"/>
                                  <w:lang w:val="en-US" w:eastAsia="zh-CN"/>
                                </w:rPr>
                              </w:pPr>
                              <w:r>
                                <w:rPr>
                                  <w:rFonts w:hint="eastAsia" w:eastAsia="宋体"/>
                                  <w:lang w:val="en-US" w:eastAsia="zh-CN"/>
                                </w:rPr>
                                <w:t>上料</w:t>
                              </w:r>
                            </w:p>
                          </w:txbxContent>
                        </v:textbox>
                      </v:shape>
                      <v:shape id="_x0000_s1026" o:spid="_x0000_s1026" o:spt="32" type="#_x0000_t32" style="position:absolute;left:2609850;top:1735455;height:0;width:28575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fB2KnTAAAABQEAAA8AAAAAAAAAAQAg&#10;AAAAIgAAAGRycy9kb3ducmV2LnhtbFBLAQIUABQAAAAIAIdO4kCQ2KnGEwIAAO4DAAAOAAAAAAAA&#10;AAEAIAAAACIBAABkcnMvZTJvRG9jLnhtbFBLBQYAAAAABgAGAFkBAACnBQAAAAA=&#10;">
                        <v:fill on="f" focussize="0,0"/>
                        <v:stroke weight="0.5pt" color="#000000 [3213]" miterlimit="8" joinstyle="miter" endarrow="block"/>
                        <v:imagedata o:title=""/>
                        <o:lock v:ext="edit" aspectratio="f"/>
                      </v:shape>
                      <v:rect id="_x0000_s1026" o:spid="_x0000_s1026" o:spt="1" style="position:absolute;left:2940685;top:1634490;height:180975;width:440055;" filled="f" stroked="f" coordsize="21600,21600" o:gfxdata="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2TrK3WAAAABQEAAA8AAAAAAAAAAQAgAAAAIgAAAGRycy9kb3ducmV2LnhtbFBLAQIU&#10;ABQAAAAIAIdO4kA6speuvAEAAHIDAAAOAAAAAAAAAAEAIAAAACUBAABkcnMvZTJvRG9jLnhtbFBL&#10;BQYAAAAABgAGAFkBAABTBQAAAAA=&#10;">
                        <v:fill on="f" focussize="0,0"/>
                        <v:stroke on="f"/>
                        <v:imagedata o:title=""/>
                        <o:lock v:ext="edit" aspectratio="f"/>
                        <v:textbox inset="0mm,0mm,0mm,0mm">
                          <w:txbxContent>
                            <w:p w14:paraId="353DB13E">
                              <w:pPr>
                                <w:rPr>
                                  <w:rFonts w:hint="default" w:eastAsia="宋体"/>
                                  <w:lang w:val="en-US" w:eastAsia="zh-CN"/>
                                </w:rPr>
                              </w:pPr>
                              <w:r>
                                <w:rPr>
                                  <w:rFonts w:hint="eastAsia" w:eastAsia="宋体"/>
                                  <w:lang w:val="en-US" w:eastAsia="zh-CN"/>
                                </w:rPr>
                                <w:t>N噪声</w:t>
                              </w:r>
                            </w:p>
                          </w:txbxContent>
                        </v:textbox>
                      </v:rect>
                      <v:shape id="_x0000_s1026" o:spid="_x0000_s1026" o:spt="32" type="#_x0000_t32" style="position:absolute;left:2258060;top:1849755;height:276225;width: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3wdip0wAAAAUBAAAPAAAAAAAAAAEAIAAA&#10;ACIAAABkcnMvZG93bnJldi54bWxQSwECFAAUAAAACACHTuJAOCvTlRECAADuAwAADgAAAAAAAAAB&#10;ACAAAAAiAQAAZHJzL2Uyb0RvYy54bWxQSwUGAAAAAAYABgBZAQAApQUAAAAA&#10;">
                        <v:fill on="f" focussize="0,0"/>
                        <v:stroke weight="0.5pt" color="#000000 [3213]" miterlimit="8" joinstyle="miter" endarrow="block"/>
                        <v:imagedata o:title=""/>
                        <o:lock v:ext="edit" aspectratio="f"/>
                      </v:shape>
                      <v:shape id="_x0000_s1026" o:spid="_x0000_s1026" o:spt="202" type="#_x0000_t202" style="position:absolute;left:1878330;top:2125980;height:200025;width:733425;" fillcolor="#FFFFFF [3201]" filled="t" stroked="t" coordsize="21600,21600" o:gfxdata="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1ZL1w1AAA&#10;AAUBAAAPAAAAAAAAAAEAIAAAACIAAABkcnMvZG93bnJldi54bWxQSwECFAAUAAAACACHTuJAH7mQ&#10;8FsCAAC0BAAADgAAAAAAAAABACAAAAAjAQAAZHJzL2Uyb0RvYy54bWxQSwUGAAAAAAYABgBZAQAA&#10;8AUAAAAA&#10;">
                        <v:fill on="t" focussize="0,0"/>
                        <v:stroke weight="0.5pt" color="#000000 [3204]" joinstyle="round"/>
                        <v:imagedata o:title=""/>
                        <o:lock v:ext="edit" aspectratio="f"/>
                        <v:textbox inset="0mm,0mm,0mm,0mm">
                          <w:txbxContent>
                            <w:p w14:paraId="3412A220">
                              <w:pPr>
                                <w:jc w:val="center"/>
                                <w:rPr>
                                  <w:rFonts w:hint="default" w:eastAsia="宋体"/>
                                  <w:lang w:val="en-US" w:eastAsia="zh-CN"/>
                                </w:rPr>
                              </w:pPr>
                              <w:r>
                                <w:rPr>
                                  <w:rFonts w:hint="eastAsia" w:eastAsia="宋体"/>
                                  <w:lang w:val="en-US" w:eastAsia="zh-CN"/>
                                </w:rPr>
                                <w:t>注塑成型</w:t>
                              </w:r>
                            </w:p>
                          </w:txbxContent>
                        </v:textbox>
                      </v:shape>
                      <v:shape id="_x0000_s1026" o:spid="_x0000_s1026" o:spt="32" type="#_x0000_t32" style="position:absolute;left:2609215;top:2220595;height:0;width:28575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fB2KnTAAAABQEAAA8AAAAAAAAAAQAg&#10;AAAAIgAAAGRycy9kb3ducmV2LnhtbFBLAQIUABQAAAAIAIdO4kD5LLaOEwIAAO4DAAAOAAAAAAAA&#10;AAEAIAAAACIBAABkcnMvZTJvRG9jLnhtbFBLBQYAAAAABgAGAFkBAACnBQAAAAA=&#10;">
                        <v:fill on="f" focussize="0,0"/>
                        <v:stroke weight="0.5pt" color="#000000 [3213]" miterlimit="8" joinstyle="miter" endarrow="block"/>
                        <v:imagedata o:title=""/>
                        <o:lock v:ext="edit" aspectratio="f"/>
                      </v:shape>
                      <v:rect id="_x0000_s1026" o:spid="_x0000_s1026" o:spt="1" style="position:absolute;left:2908935;top:2029460;height:556260;width:834390;" filled="f" stroked="f" coordsize="21600,21600" o:gfxdata="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2TrK3WAAAABQEAAA8AAAAAAAAAAQAgAAAAIgAAAGRycy9kb3ducmV2LnhtbFBLAQIU&#10;ABQAAAAIAIdO4kAFG3+7vAEAAHIDAAAOAAAAAAAAAAEAIAAAACUBAABkcnMvZTJvRG9jLnhtbFBL&#10;BQYAAAAABgAGAFkBAABTBQAAAAA=&#10;">
                        <v:fill on="f" focussize="0,0"/>
                        <v:stroke on="f"/>
                        <v:imagedata o:title=""/>
                        <o:lock v:ext="edit" aspectratio="f"/>
                        <v:textbox inset="0mm,0mm,0mm,0mm">
                          <w:txbxContent>
                            <w:p w14:paraId="2B86F9AF">
                              <w:pPr>
                                <w:rPr>
                                  <w:rFonts w:hint="eastAsia" w:ascii="Times New Roman" w:hAnsi="Times New Roman" w:eastAsia="宋体" w:cs="Times New Roman"/>
                                  <w:lang w:val="en-US" w:eastAsia="zh-CN"/>
                                </w:rPr>
                              </w:pPr>
                              <w:r>
                                <w:rPr>
                                  <w:rFonts w:hint="eastAsia"/>
                                  <w:lang w:val="en-US" w:eastAsia="zh-CN"/>
                                </w:rPr>
                                <w:t>G2</w:t>
                              </w:r>
                              <w:r>
                                <w:rPr>
                                  <w:rFonts w:hint="eastAsia" w:ascii="Times New Roman" w:hAnsi="Times New Roman" w:eastAsia="宋体" w:cs="Times New Roman"/>
                                  <w:lang w:val="en-US" w:eastAsia="zh-CN"/>
                                </w:rPr>
                                <w:t>注塑废气</w:t>
                              </w:r>
                            </w:p>
                            <w:p w14:paraId="59EE85B3">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N噪声</w:t>
                              </w:r>
                            </w:p>
                            <w:p w14:paraId="75E7F9E2">
                              <w:pPr>
                                <w:rPr>
                                  <w:rFonts w:hint="default" w:ascii="Times New Roman" w:hAnsi="Times New Roman" w:eastAsia="宋体" w:cs="Times New Roman"/>
                                  <w:lang w:val="en-US" w:eastAsia="zh-CN"/>
                                </w:rPr>
                              </w:pPr>
                              <w:r>
                                <w:rPr>
                                  <w:rFonts w:hint="eastAsia" w:cs="Times New Roman"/>
                                  <w:lang w:val="en-US" w:eastAsia="zh-CN"/>
                                </w:rPr>
                                <w:t>S1焦化塑料</w:t>
                              </w:r>
                            </w:p>
                          </w:txbxContent>
                        </v:textbox>
                      </v:rect>
                      <v:rect id="_x0000_s1026" o:spid="_x0000_s1026" o:spt="1" style="position:absolute;left:1256030;top:2342515;height:269875;width:902970;" filled="f" stroked="f" coordsize="21600,21600" o:gfxdata="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Pj7W9YA&#10;AAAFAQAADwAAAAAAAAABACAAAAAiAAAAZHJzL2Rvd25yZXYueG1sUEsBAhQAFAAAAAgAh07iQAb5&#10;FL+vAQAATgMAAA4AAAAAAAAAAQAgAAAAJQEAAGRycy9lMm9Eb2MueG1sUEsFBgAAAAAGAAYAWQEA&#10;AEYFAAAAAA==&#10;">
                        <v:fill on="f" focussize="0,0"/>
                        <v:stroke on="f"/>
                        <v:imagedata o:title=""/>
                        <o:lock v:ext="edit" aspectratio="f"/>
                        <v:textbox>
                          <w:txbxContent>
                            <w:p w14:paraId="27B0BBD6">
                              <w:pPr>
                                <w:rPr>
                                  <w:rFonts w:hint="default" w:eastAsia="宋体"/>
                                  <w:lang w:val="en-US" w:eastAsia="zh-CN"/>
                                </w:rPr>
                              </w:pPr>
                              <w:r>
                                <w:rPr>
                                  <w:rFonts w:hint="eastAsia" w:eastAsia="宋体"/>
                                  <w:lang w:val="en-US" w:eastAsia="zh-CN"/>
                                </w:rPr>
                                <w:t>隔套冷却水</w:t>
                              </w:r>
                            </w:p>
                          </w:txbxContent>
                        </v:textbox>
                      </v:rect>
                      <v:shape id="_x0000_s1026" o:spid="_x0000_s1026" o:spt="100" style="position:absolute;left:1257300;top:2282190;height:327660;width:839470;" filled="f" stroked="t" coordsize="839470,440690" o:gfxdata="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q4TiU1QAAAAUBAAAPAAAAAAAAAAEAIAAAACIAAABkcnMvZG93bnJldi54bWxQ&#10;SwECFAAUAAAACACHTuJA9z3nKBcDAABTCAAADgAAAAAAAAABACAAAAAkAQAAZHJzL2Uyb0RvYy54&#10;bWxQSwUGAAAAAAYABgBZAQAArQYAAAAA&#10;" path="m839470,71755l839470,440690,0,440690,0,0,601345,0e">
                        <v:path o:connectlocs="839470,53350;839470,327660;0,327660;0,0;601345,0" o:connectangles="0,0,0,0,0"/>
                        <v:fill on="f" focussize="0,0"/>
                        <v:stroke weight="0.5pt" color="#000000 [3213]" miterlimit="8" joinstyle="miter" endarrow="block"/>
                        <v:imagedata o:title=""/>
                        <o:lock v:ext="edit" aspectratio="f"/>
                      </v:shape>
                      <v:shape id="_x0000_s1026" o:spid="_x0000_s1026" o:spt="32" type="#_x0000_t32" style="position:absolute;left:2234565;top:2326005;height:325120;width: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8HYqdMAAAAFAQAADwAAAAAAAAABACAA&#10;AAAiAAAAZHJzL2Rvd25yZXYueG1sUEsBAhQAFAAAAAgAh07iQAYGpGwSAgAA7gMAAA4AAAAAAAAA&#10;AQAgAAAAIgEAAGRycy9lMm9Eb2MueG1sUEsFBgAAAAAGAAYAWQEAAKYFAAAAAA==&#10;">
                        <v:fill on="f" focussize="0,0"/>
                        <v:stroke weight="0.5pt" color="#000000 [3213]" miterlimit="8" joinstyle="miter" endarrow="block"/>
                        <v:imagedata o:title=""/>
                        <o:lock v:ext="edit" aspectratio="f"/>
                      </v:shape>
                      <v:shape id="_x0000_s1026" o:spid="_x0000_s1026" o:spt="202" type="#_x0000_t202" style="position:absolute;left:1878330;top:2655570;height:200025;width:733425;" fillcolor="#FFFFFF [3201]" filled="t" stroked="t" coordsize="21600,21600" o:gfxdata="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VkvXDUAAAA&#10;BQEAAA8AAAAAAAAAAQAgAAAAIgAAAGRycy9kb3ducmV2LnhtbFBLAQIUABQAAAAIAIdO4kDgG6RC&#10;WgIAALQEAAAOAAAAAAAAAAEAIAAAACMBAABkcnMvZTJvRG9jLnhtbFBLBQYAAAAABgAGAFkBAADv&#10;BQAAAAA=&#10;">
                        <v:fill on="t" focussize="0,0"/>
                        <v:stroke weight="0.5pt" color="#000000 [3204]" joinstyle="round"/>
                        <v:imagedata o:title=""/>
                        <o:lock v:ext="edit" aspectratio="f"/>
                        <v:textbox inset="0mm,0mm,0mm,0mm">
                          <w:txbxContent>
                            <w:p w14:paraId="137172F7">
                              <w:pPr>
                                <w:jc w:val="center"/>
                                <w:rPr>
                                  <w:rFonts w:hint="default" w:eastAsia="宋体"/>
                                  <w:lang w:val="en-US" w:eastAsia="zh-CN"/>
                                </w:rPr>
                              </w:pPr>
                              <w:r>
                                <w:rPr>
                                  <w:rFonts w:hint="eastAsia" w:eastAsia="宋体"/>
                                  <w:lang w:val="en-US" w:eastAsia="zh-CN"/>
                                </w:rPr>
                                <w:t>修边</w:t>
                              </w:r>
                            </w:p>
                          </w:txbxContent>
                        </v:textbox>
                      </v:shape>
                      <v:shape id="_x0000_s1026" o:spid="_x0000_s1026" o:spt="32" type="#_x0000_t32" style="position:absolute;left:2246630;top:2856230;height:325120;width: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fB2KnTAAAABQEAAA8AAAAAAAAAAQAgAAAA&#10;IgAAAGRycy9kb3ducmV2LnhtbFBLAQIUABQAAAAIAIdO4kCZBtohEAIAAO4DAAAOAAAAAAAAAAEA&#10;IAAAACIBAABkcnMvZTJvRG9jLnhtbFBLBQYAAAAABgAGAFkBAACkBQAAAAA=&#10;">
                        <v:fill on="f" focussize="0,0"/>
                        <v:stroke weight="0.5pt" color="#000000 [3213]" miterlimit="8" joinstyle="miter" endarrow="block"/>
                        <v:imagedata o:title=""/>
                        <o:lock v:ext="edit" aspectratio="f"/>
                      </v:shape>
                      <v:shape id="_x0000_s1026" o:spid="_x0000_s1026" o:spt="202" type="#_x0000_t202" style="position:absolute;left:1871980;top:3190875;height:200025;width:733425;" fillcolor="#FFFFFF [3201]" filled="t" stroked="t" coordsize="21600,21600" o:gfxdata="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1ZL1w1AAA&#10;AAUBAAAPAAAAAAAAAAEAIAAAACIAAABkcnMvZG93bnJldi54bWxQSwECFAAUAAAACACHTuJAe9w3&#10;/lsCAAC0BAAADgAAAAAAAAABACAAAAAjAQAAZHJzL2Uyb0RvYy54bWxQSwUGAAAAAAYABgBZAQAA&#10;8AUAAAAA&#10;">
                        <v:fill on="t" focussize="0,0"/>
                        <v:stroke weight="0.5pt" color="#000000 [3204]" joinstyle="round"/>
                        <v:imagedata o:title=""/>
                        <o:lock v:ext="edit" aspectratio="f"/>
                        <v:textbox inset="0mm,0mm,0mm,0mm">
                          <w:txbxContent>
                            <w:p w14:paraId="4A58CF18">
                              <w:pPr>
                                <w:jc w:val="center"/>
                                <w:rPr>
                                  <w:rFonts w:hint="default" w:eastAsia="宋体"/>
                                  <w:lang w:val="en-US" w:eastAsia="zh-CN"/>
                                </w:rPr>
                              </w:pPr>
                              <w:r>
                                <w:rPr>
                                  <w:rFonts w:hint="eastAsia" w:eastAsia="宋体"/>
                                  <w:lang w:val="en-US" w:eastAsia="zh-CN"/>
                                </w:rPr>
                                <w:t>检验</w:t>
                              </w:r>
                            </w:p>
                          </w:txbxContent>
                        </v:textbox>
                      </v:shape>
                      <v:shape id="_x0000_s1026" o:spid="_x0000_s1026" o:spt="32" type="#_x0000_t32" style="position:absolute;left:2609215;top:2756535;height:0;width:28575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8HYqdMAAAAFAQAADwAAAAAAAAABACAA&#10;AAAiAAAAZHJzL2Rvd25yZXYueG1sUEsBAhQAFAAAAAgAh07iQAgxkqASAgAA7gMAAA4AAAAAAAAA&#10;AQAgAAAAIgEAAGRycy9lMm9Eb2MueG1sUEsFBgAAAAAGAAYAWQEAAKYFAAAAAA==&#10;">
                        <v:fill on="f" focussize="0,0"/>
                        <v:stroke weight="0.5pt" color="#000000 [3213]" miterlimit="8" joinstyle="miter" endarrow="block"/>
                        <v:imagedata o:title=""/>
                        <o:lock v:ext="edit" aspectratio="f"/>
                      </v:shape>
                      <v:rect id="_x0000_s1026" o:spid="_x0000_s1026" o:spt="1" style="position:absolute;left:2908935;top:2666365;height:198120;width:631825;" filled="f" stroked="f" coordsize="21600,21600" o:gfxdata="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k6yt1gAAAAUBAAAPAAAAAAAAAAEAIAAAACIAAABkcnMvZG93bnJldi54bWxQSwEC&#10;FAAUAAAACACHTuJAu22WkL0BAAByAwAADgAAAAAAAAABACAAAAAlAQAAZHJzL2Uyb0RvYy54bWxQ&#10;SwUGAAAAAAYABgBZAQAAVAUAAAAA&#10;">
                        <v:fill on="f" focussize="0,0"/>
                        <v:stroke on="f"/>
                        <v:imagedata o:title=""/>
                        <o:lock v:ext="edit" aspectratio="f"/>
                        <v:textbox inset="0mm,0mm,0mm,0mm">
                          <w:txbxContent>
                            <w:p w14:paraId="0FE3DBFD">
                              <w:pPr>
                                <w:rPr>
                                  <w:rFonts w:hint="default" w:ascii="Times New Roman" w:hAnsi="Times New Roman" w:eastAsia="宋体" w:cs="Times New Roman"/>
                                  <w:lang w:val="en-US" w:eastAsia="zh-CN"/>
                                </w:rPr>
                              </w:pPr>
                              <w:r>
                                <w:rPr>
                                  <w:rFonts w:hint="eastAsia"/>
                                  <w:lang w:val="en-US" w:eastAsia="zh-CN"/>
                                </w:rPr>
                                <w:t>S2边角料</w:t>
                              </w:r>
                            </w:p>
                            <w:p w14:paraId="3E44FB0D">
                              <w:pPr>
                                <w:pStyle w:val="11"/>
                                <w:numPr>
                                  <w:ilvl w:val="0"/>
                                  <w:numId w:val="0"/>
                                </w:numPr>
                                <w:ind w:left="1680" w:leftChars="0"/>
                                <w:rPr>
                                  <w:rFonts w:hint="default"/>
                                  <w:lang w:val="en-US" w:eastAsia="zh-CN"/>
                                </w:rPr>
                              </w:pPr>
                            </w:p>
                          </w:txbxContent>
                        </v:textbox>
                      </v:rect>
                      <v:shape id="_x0000_s1026" o:spid="_x0000_s1026" o:spt="32" type="#_x0000_t32" style="position:absolute;left:2609215;top:3292475;height:0;width:28575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8HYqdMAAAAFAQAADwAAAAAAAAAB&#10;ACAAAAAiAAAAZHJzL2Rvd25yZXYueG1sUEsBAhQAFAAAAAgAh07iQHCinKAVAgAA7gMAAA4AAAAA&#10;AAAAAQAgAAAAIgEAAGRycy9lMm9Eb2MueG1sUEsFBgAAAAAGAAYAWQEAAKkFAAAAAA==&#10;">
                        <v:fill on="f" focussize="0,0"/>
                        <v:stroke weight="0.5pt" color="#000000 [3213]" miterlimit="8" joinstyle="miter" endarrow="block"/>
                        <v:imagedata o:title=""/>
                        <o:lock v:ext="edit" aspectratio="f"/>
                      </v:shape>
                      <v:rect id="_x0000_s1026" o:spid="_x0000_s1026" o:spt="1" style="position:absolute;left:2915920;top:3196590;height:198120;width:888365;" filled="f" stroked="f" coordsize="21600,21600" o:gfxdata="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ZOsrdYAAAAFAQAADwAAAAAAAAABACAAAAAiAAAAZHJzL2Rvd25yZXYueG1sUEsB&#10;AhQAFAAAAAgAh07iQOYsJ7y+AQAAcgMAAA4AAAAAAAAAAQAgAAAAJQEAAGRycy9lMm9Eb2MueG1s&#10;UEsFBgAAAAAGAAYAWQEAAFUFAAAAAA==&#10;">
                        <v:fill on="f" focussize="0,0"/>
                        <v:stroke on="f"/>
                        <v:imagedata o:title=""/>
                        <o:lock v:ext="edit" aspectratio="f"/>
                        <v:textbox inset="0mm,0mm,0mm,0mm">
                          <w:txbxContent>
                            <w:p w14:paraId="400C1901">
                              <w:pPr>
                                <w:rPr>
                                  <w:rFonts w:hint="default" w:ascii="Times New Roman" w:hAnsi="Times New Roman" w:eastAsia="宋体" w:cs="Times New Roman"/>
                                  <w:lang w:val="en-US" w:eastAsia="zh-CN"/>
                                </w:rPr>
                              </w:pPr>
                              <w:r>
                                <w:rPr>
                                  <w:rFonts w:hint="eastAsia"/>
                                  <w:lang w:val="en-US" w:eastAsia="zh-CN"/>
                                </w:rPr>
                                <w:t>S3不合格品</w:t>
                              </w:r>
                            </w:p>
                            <w:p w14:paraId="680423E2">
                              <w:pPr>
                                <w:pStyle w:val="11"/>
                                <w:numPr>
                                  <w:ilvl w:val="0"/>
                                  <w:numId w:val="0"/>
                                </w:numPr>
                                <w:ind w:left="1680" w:leftChars="0"/>
                                <w:rPr>
                                  <w:rFonts w:hint="default"/>
                                  <w:lang w:val="en-US" w:eastAsia="zh-CN"/>
                                </w:rPr>
                              </w:pPr>
                            </w:p>
                          </w:txbxContent>
                        </v:textbox>
                      </v:rect>
                      <v:shape id="_x0000_s1026" o:spid="_x0000_s1026" o:spt="32" type="#_x0000_t32" style="position:absolute;left:2246630;top:3391535;height:325120;width: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fB2KnTAAAABQEAAA8AAAAAAAAAAQAg&#10;AAAAIgAAAGRycy9kb3ducmV2LnhtbFBLAQIUABQAAAAIAIdO4kBqigu0EwIAAO4DAAAOAAAAAAAA&#10;AAEAIAAAACIBAABkcnMvZTJvRG9jLnhtbFBLBQYAAAAABgAGAFkBAACnBQAAAAA=&#10;">
                        <v:fill on="f" focussize="0,0"/>
                        <v:stroke weight="0.5pt" color="#000000 [3213]" miterlimit="8" joinstyle="miter" endarrow="block"/>
                        <v:imagedata o:title=""/>
                        <o:lock v:ext="edit" aspectratio="f"/>
                      </v:shape>
                      <v:shape id="_x0000_s1026" o:spid="_x0000_s1026" o:spt="202" type="#_x0000_t202" style="position:absolute;left:1871980;top:3726815;height:200025;width:733425;" fillcolor="#FFFFFF [3201]" filled="t" stroked="t" coordsize="21600,21600" o:gfxdata="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WS9cNQA&#10;AAAFAQAADwAAAAAAAAABACAAAAAiAAAAZHJzL2Rvd25yZXYueG1sUEsBAhQAFAAAAAgAh07iQHSL&#10;4HdcAgAAtAQAAA4AAAAAAAAAAQAgAAAAIwEAAGRycy9lMm9Eb2MueG1sUEsFBgAAAAAGAAYAWQEA&#10;APEFAAAAAA==&#10;">
                        <v:fill on="t" focussize="0,0"/>
                        <v:stroke weight="0.5pt" color="#000000 [3204]" joinstyle="round"/>
                        <v:imagedata o:title=""/>
                        <o:lock v:ext="edit" aspectratio="f"/>
                        <v:textbox inset="0mm,0mm,0mm,0mm">
                          <w:txbxContent>
                            <w:p w14:paraId="48A89E88">
                              <w:pPr>
                                <w:jc w:val="center"/>
                                <w:rPr>
                                  <w:rFonts w:hint="default" w:eastAsia="宋体"/>
                                  <w:lang w:val="en-US" w:eastAsia="zh-CN"/>
                                </w:rPr>
                              </w:pPr>
                              <w:r>
                                <w:rPr>
                                  <w:rFonts w:hint="eastAsia" w:eastAsia="宋体"/>
                                  <w:lang w:val="en-US" w:eastAsia="zh-CN"/>
                                </w:rPr>
                                <w:t>装配</w:t>
                              </w:r>
                            </w:p>
                          </w:txbxContent>
                        </v:textbox>
                      </v:shape>
                      <v:shape id="_x0000_s1026" o:spid="_x0000_s1026" o:spt="32" type="#_x0000_t32" style="position:absolute;left:1406525;top:3846195;height:0;width:452755;"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fB2KnTAAAABQEAAA8AAAAAAAAA&#10;AQAgAAAAIgAAAGRycy9kb3ducmV2LnhtbFBLAQIUABQAAAAIAIdO4kBsXL77FgIAAO4DAAAOAAAA&#10;AAAAAAEAIAAAACIBAABkcnMvZTJvRG9jLnhtbFBLBQYAAAAABgAGAFkBAACqBQAAAAA=&#10;">
                        <v:fill on="f" focussize="0,0"/>
                        <v:stroke weight="0.5pt" color="#000000 [3213]" miterlimit="8" joinstyle="miter" endarrow="block"/>
                        <v:imagedata o:title=""/>
                        <o:lock v:ext="edit" aspectratio="f"/>
                      </v:shape>
                      <v:rect id="_x0000_s1026" o:spid="_x0000_s1026" o:spt="1" style="position:absolute;left:374650;top:3642360;height:364490;width:1043305;" filled="f" stroked="f" coordsize="21600,21600" o:gfxdata="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ZOsrdYAAAAFAQAADwAAAAAAAAABACAAAAAiAAAAZHJzL2Rvd25yZXYueG1sUEsBAhQA&#10;FAAAAAgAh07iQDrKEiO7AQAAcgMAAA4AAAAAAAAAAQAgAAAAJQEAAGRycy9lMm9Eb2MueG1sUEsF&#10;BgAAAAAGAAYAWQEAAFIFAAAAAA==&#10;">
                        <v:fill on="f" focussize="0,0"/>
                        <v:stroke on="f"/>
                        <v:imagedata o:title=""/>
                        <o:lock v:ext="edit" aspectratio="f"/>
                        <v:textbox inset="0mm,0mm,0mm,0mm">
                          <w:txbxContent>
                            <w:p w14:paraId="4B167BC7">
                              <w:pPr>
                                <w:rPr>
                                  <w:rFonts w:hint="default" w:ascii="Times New Roman" w:hAnsi="Times New Roman" w:eastAsia="宋体" w:cs="Times New Roman"/>
                                  <w:lang w:val="en-US" w:eastAsia="zh-CN"/>
                                </w:rPr>
                              </w:pPr>
                              <w:r>
                                <w:rPr>
                                  <w:rFonts w:hint="eastAsia"/>
                                  <w:lang w:val="en-US" w:eastAsia="zh-CN"/>
                                </w:rPr>
                                <w:t>配件（</w:t>
                              </w:r>
                              <w:r>
                                <w:rPr>
                                  <w:rFonts w:hint="default" w:ascii="Times New Roman" w:hAnsi="Times New Roman" w:eastAsia="宋体" w:cs="Times New Roman"/>
                                  <w:bCs/>
                                  <w:color w:val="auto"/>
                                </w:rPr>
                                <w:t>塑料、弹簧、吸管、垫片</w:t>
                              </w:r>
                              <w:r>
                                <w:rPr>
                                  <w:rFonts w:hint="eastAsia"/>
                                  <w:lang w:val="en-US" w:eastAsia="zh-CN"/>
                                </w:rPr>
                                <w:t>）</w:t>
                              </w:r>
                            </w:p>
                            <w:p w14:paraId="64AA6557">
                              <w:pPr>
                                <w:pStyle w:val="11"/>
                                <w:numPr>
                                  <w:ilvl w:val="0"/>
                                  <w:numId w:val="0"/>
                                </w:numPr>
                                <w:ind w:left="1680" w:leftChars="0"/>
                                <w:rPr>
                                  <w:rFonts w:hint="default"/>
                                  <w:lang w:val="en-US" w:eastAsia="zh-CN"/>
                                </w:rPr>
                              </w:pPr>
                            </w:p>
                          </w:txbxContent>
                        </v:textbox>
                      </v:rect>
                      <v:shape id="_x0000_s1026" o:spid="_x0000_s1026" o:spt="32" type="#_x0000_t32" style="position:absolute;left:2234565;top:3927475;height:325120;width: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8HYqdMAAAAFAQAADwAAAAAAAAAB&#10;ACAAAAAiAAAAZHJzL2Rvd25yZXYueG1sUEsBAhQAFAAAAAgAh07iQEsNW+8VAgAA7gMAAA4AAAAA&#10;AAAAAQAgAAAAIgEAAGRycy9lMm9Eb2MueG1sUEsFBgAAAAAGAAYAWQEAAKkFAAAAAA==&#10;">
                        <v:fill on="f" focussize="0,0"/>
                        <v:stroke weight="0.5pt" color="#000000 [3213]" miterlimit="8" joinstyle="miter" endarrow="block"/>
                        <v:imagedata o:title=""/>
                        <o:lock v:ext="edit" aspectratio="f"/>
                      </v:shape>
                      <v:rect id="_x0000_s1026" o:spid="_x0000_s1026" o:spt="1" style="position:absolute;left:1963420;top:4267835;height:198120;width:544195;" filled="f" stroked="f" coordsize="21600,21600" o:gfxdata="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dk6yt1gAAAAUBAAAPAAAAAAAAAAEAIAAAACIAAABkcnMvZG93bnJldi54bWxQ&#10;SwECFAAUAAAACACHTuJAwzmeycABAAByAwAADgAAAAAAAAABACAAAAAlAQAAZHJzL2Uyb0RvYy54&#10;bWxQSwUGAAAAAAYABgBZAQAAVwUAAAAA&#10;">
                        <v:fill on="f" focussize="0,0"/>
                        <v:stroke on="f"/>
                        <v:imagedata o:title=""/>
                        <o:lock v:ext="edit" aspectratio="f"/>
                        <v:textbox inset="0mm,0mm,0mm,0mm">
                          <w:txbxContent>
                            <w:p w14:paraId="2F08DE4B">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成品</w:t>
                              </w:r>
                            </w:p>
                            <w:p w14:paraId="3D3E35AF">
                              <w:pPr>
                                <w:pStyle w:val="11"/>
                                <w:numPr>
                                  <w:ilvl w:val="0"/>
                                  <w:numId w:val="0"/>
                                </w:numPr>
                                <w:ind w:left="1680" w:leftChars="0"/>
                                <w:rPr>
                                  <w:rFonts w:hint="default"/>
                                  <w:lang w:val="en-US" w:eastAsia="zh-CN"/>
                                </w:rPr>
                              </w:pPr>
                            </w:p>
                          </w:txbxContent>
                        </v:textbox>
                      </v:rect>
                      <v:shape id="_x0000_s1026" o:spid="_x0000_s1026" o:spt="32" type="#_x0000_t32" style="position:absolute;left:3568065;top:2744470;height:635;width:255270;"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8HYqdMAAAAFAQAADwAAAAAAAAABACAA&#10;AAAiAAAAZHJzL2Rvd25yZXYueG1sUEsBAhQAFAAAAAgAh07iQPuQyoYSAgAA8AMAAA4AAAAAAAAA&#10;AQAgAAAAIgEAAGRycy9lMm9Eb2MueG1sUEsFBgAAAAAGAAYAWQEAAKYFAAAAAA==&#10;">
                        <v:fill on="f" focussize="0,0"/>
                        <v:stroke weight="0.5pt" color="#000000 [3213]" miterlimit="8" joinstyle="miter" endarrow="block"/>
                        <v:imagedata o:title=""/>
                        <o:lock v:ext="edit" aspectratio="f"/>
                      </v:shape>
                      <v:shape id="_x0000_s1026" o:spid="_x0000_s1026" o:spt="100" style="position:absolute;left:3633470;top:2482215;height:791210;width:221615;" filled="f" stroked="t" coordsize="518160,648970" o:gfxdata="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Amf9032AAAAAUBAAAP&#10;AAAAAAAAAAEAIAAAACIAAABkcnMvZG93bnJldi54bWxQSwECFAAUAAAACACHTuJAMp5oovwCAACY&#10;BwAADgAAAAAAAAABACAAAAAnAQAAZHJzL2Uyb0RvYy54bWxQSwUGAAAAAAYABgBZAQAAlQYAAAAA&#10;" path="m0,648970l381000,648970,518160,648970,518160,0e">
                        <v:path o:connectlocs="0,791210;162952,791210;221615,791210;221615,0" o:connectangles="0,0,0,0"/>
                        <v:fill on="f" focussize="0,0"/>
                        <v:stroke weight="0.5pt" color="#000000 [3213]" miterlimit="8" joinstyle="miter" endarrow="block"/>
                        <v:imagedata o:title=""/>
                        <o:lock v:ext="edit" aspectratio="f"/>
                      </v:shape>
                      <v:shape id="_x0000_s1026" o:spid="_x0000_s1026" o:spt="202" type="#_x0000_t202" style="position:absolute;left:3627120;top:2256790;height:200025;width:448310;" fillcolor="#FFFFFF [3201]" filled="t" stroked="t" coordsize="21600,21600" o:gfxdata="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1ZL1w1AAA&#10;AAUBAAAPAAAAAAAAAAEAIAAAACIAAABkcnMvZG93bnJldi54bWxQSwECFAAUAAAACACHTuJADBys&#10;+lsCAAC0BAAADgAAAAAAAAABACAAAAAjAQAAZHJzL2Uyb0RvYy54bWxQSwUGAAAAAAYABgBZAQAA&#10;8AUAAAAA&#10;">
                        <v:fill on="t" focussize="0,0"/>
                        <v:stroke weight="0.5pt" color="#000000 [3204]" joinstyle="round"/>
                        <v:imagedata o:title=""/>
                        <o:lock v:ext="edit" aspectratio="f"/>
                        <v:textbox inset="0mm,0mm,0mm,0mm">
                          <w:txbxContent>
                            <w:p w14:paraId="0B2A82E9">
                              <w:pPr>
                                <w:jc w:val="center"/>
                                <w:rPr>
                                  <w:rFonts w:hint="default" w:eastAsia="宋体"/>
                                  <w:lang w:val="en-US" w:eastAsia="zh-CN"/>
                                </w:rPr>
                              </w:pPr>
                              <w:r>
                                <w:rPr>
                                  <w:rFonts w:hint="eastAsia" w:eastAsia="宋体"/>
                                  <w:lang w:val="en-US" w:eastAsia="zh-CN"/>
                                </w:rPr>
                                <w:t>粉碎</w:t>
                              </w:r>
                            </w:p>
                          </w:txbxContent>
                        </v:textbox>
                      </v:shape>
                      <v:shape id="_x0000_s1026" o:spid="_x0000_s1026" o:spt="100" style="position:absolute;left:2376805;top:1386205;height:863600;width:1464945;" filled="f" stroked="t" coordsize="1756410,863600" o:gfxdata="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8Bx+W0wAAAAUBAAAPAAAAAAAAAAEA&#10;IAAAACIAAABkcnMvZG93bnJldi54bWxQSwECFAAUAAAACACHTuJAJsgzrfgCAACOBwAADgAAAAAA&#10;AAABACAAAAAiAQAAZHJzL2Uyb0RvYy54bWxQSwUGAAAAAAYABgBZAQAAjAYAAAAA&#10;" path="m1756410,863600l1756410,0,0,0,0,250190e">
                        <v:path o:connectlocs="1464945,863600;1464945,0;0,0;0,250190" o:connectangles="0,0,0,0"/>
                        <v:fill on="f" focussize="0,0"/>
                        <v:stroke weight="0.5pt" color="#000000 [3213]" miterlimit="8" joinstyle="miter" endarrow="block"/>
                        <v:imagedata o:title=""/>
                        <o:lock v:ext="edit" aspectratio="f"/>
                      </v:shape>
                      <v:shape id="_x0000_s1026" o:spid="_x0000_s1026" o:spt="32" type="#_x0000_t32" style="position:absolute;left:4074160;top:2357755;height:0;width:196215;" filled="f" stroked="t" coordsize="21600,21600" o:gfxdata="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fB2KnTAAAABQEAAA8AAAAAAAAA&#10;AQAgAAAAIgAAAGRycy9kb3ducmV2LnhtbFBLAQIUABQAAAAIAIdO4kA9LLVpFgIAAO4DAAAOAAAA&#10;AAAAAAEAIAAAACIBAABkcnMvZTJvRG9jLnhtbFBLBQYAAAAABgAGAFkBAACqBQAAAAA=&#10;">
                        <v:fill on="f" focussize="0,0"/>
                        <v:stroke weight="0.5pt" color="#000000 [3213]" miterlimit="8" joinstyle="miter" endarrow="block"/>
                        <v:imagedata o:title=""/>
                        <o:lock v:ext="edit" aspectratio="f"/>
                      </v:shape>
                      <v:rect id="_x0000_s1026" o:spid="_x0000_s1026" o:spt="1" style="position:absolute;left:4255135;top:2184400;height:359410;width:810260;" filled="f" stroked="f" coordsize="21600,21600" o:gfxdata="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ZOsrdYAAAAFAQAADwAAAAAAAAABACAAAAAiAAAAZHJzL2Rvd25yZXYueG1sUEsB&#10;AhQAFAAAAAgAh07iQGojv9O+AQAAcgMAAA4AAAAAAAAAAQAgAAAAJQEAAGRycy9lMm9Eb2MueG1s&#10;UEsFBgAAAAAGAAYAWQEAAFUFAAAAAA==&#10;">
                        <v:fill on="f" focussize="0,0"/>
                        <v:stroke on="f"/>
                        <v:imagedata o:title=""/>
                        <o:lock v:ext="edit" aspectratio="f"/>
                        <v:textbox inset="0mm,0mm,0mm,0mm">
                          <w:txbxContent>
                            <w:p w14:paraId="404CA927">
                              <w:pPr>
                                <w:rPr>
                                  <w:rFonts w:hint="eastAsia" w:ascii="Times New Roman" w:hAnsi="Times New Roman" w:eastAsia="宋体" w:cs="Times New Roman"/>
                                  <w:lang w:val="en-US" w:eastAsia="zh-CN"/>
                                </w:rPr>
                              </w:pPr>
                              <w:r>
                                <w:rPr>
                                  <w:rFonts w:hint="eastAsia"/>
                                  <w:lang w:val="en-US" w:eastAsia="zh-CN"/>
                                </w:rPr>
                                <w:t>G3</w:t>
                              </w:r>
                              <w:r>
                                <w:rPr>
                                  <w:rFonts w:hint="eastAsia" w:cs="Times New Roman"/>
                                  <w:lang w:val="en-US" w:eastAsia="zh-CN"/>
                                </w:rPr>
                                <w:t>粉碎</w:t>
                              </w:r>
                              <w:r>
                                <w:rPr>
                                  <w:rFonts w:hint="eastAsia" w:ascii="Times New Roman" w:hAnsi="Times New Roman" w:eastAsia="宋体" w:cs="Times New Roman"/>
                                  <w:lang w:val="en-US" w:eastAsia="zh-CN"/>
                                </w:rPr>
                                <w:t>废气</w:t>
                              </w:r>
                            </w:p>
                            <w:p w14:paraId="4E0A9B81">
                              <w:pPr>
                                <w:rPr>
                                  <w:rFonts w:hint="default"/>
                                  <w:lang w:val="en-US" w:eastAsia="zh-CN"/>
                                </w:rPr>
                              </w:pPr>
                              <w:r>
                                <w:rPr>
                                  <w:rFonts w:hint="eastAsia" w:ascii="Times New Roman" w:hAnsi="Times New Roman" w:eastAsia="宋体" w:cs="Times New Roman"/>
                                  <w:lang w:val="en-US" w:eastAsia="zh-CN"/>
                                </w:rPr>
                                <w:t>N噪声</w:t>
                              </w:r>
                            </w:p>
                          </w:txbxContent>
                        </v:textbox>
                      </v:rect>
                      <v:shape id="_x0000_s1026" o:spid="_x0000_s1026" o:spt="202" type="#_x0000_t202" style="position:absolute;left:1082675;top:1990725;height:206375;width:779145;" fillcolor="#FFFFFF [3201]" filled="t" stroked="t" coordsize="21600,21600" o:gfxdata="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j4ybdUAAAAFAQAA&#10;DwAAAAAAAAABACAAAAAiAAAAZHJzL2Rvd25yZXYueG1sUEsBAhQAFAAAAAgAh07iQMGrPKBVAgAA&#10;tQQAAA4AAAAAAAAAAQAgAAAAJAEAAGRycy9lMm9Eb2MueG1sUEsFBgAAAAAGAAYAWQEAAOsFAAAA&#10;AA==&#10;">
                        <v:fill on="t" focussize="0,0"/>
                        <v:stroke weight="0.5pt" color="#FFFFFF [3212]" joinstyle="round"/>
                        <v:imagedata o:title=""/>
                        <o:lock v:ext="edit" aspectratio="f"/>
                        <v:textbox inset="0mm,0mm,0mm,0mm">
                          <w:txbxContent>
                            <w:p w14:paraId="4B095366">
                              <w:r>
                                <w:rPr>
                                  <w:rFonts w:hint="eastAsia" w:ascii="Times New Roman" w:hAnsi="Times New Roman" w:eastAsia="宋体" w:cs="Times New Roman"/>
                                  <w:color w:val="000000" w:themeColor="text1"/>
                                  <w:szCs w:val="21"/>
                                  <w:lang w:val="en-US" w:eastAsia="zh-CN"/>
                                  <w14:textFill>
                                    <w14:solidFill>
                                      <w14:schemeClr w14:val="tx1"/>
                                    </w14:solidFill>
                                  </w14:textFill>
                                </w:rPr>
                                <w:t>170℃-220℃</w:t>
                              </w:r>
                            </w:p>
                          </w:txbxContent>
                        </v:textbox>
                      </v:shape>
                      <v:shape id="_x0000_s1026" o:spid="_x0000_s1026" o:spt="202" type="#_x0000_t202" style="position:absolute;left:1320800;top:1116965;height:206375;width:342265;" fillcolor="#FFFFFF [3201]" filled="t" stroked="t" coordsize="21600,21600" o:gfxdata="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j4ybdUAAAAFAQAA&#10;DwAAAAAAAAABACAAAAAiAAAAZHJzL2Rvd25yZXYueG1sUEsBAhQAFAAAAAgAh07iQOcy/xpVAgAA&#10;tQQAAA4AAAAAAAAAAQAgAAAAJAEAAGRycy9lMm9Eb2MueG1sUEsFBgAAAAAGAAYAWQEAAOsFAAAA&#10;AA==&#10;">
                        <v:fill on="t" focussize="0,0"/>
                        <v:stroke weight="0.5pt" color="#FFFFFF [3212]" joinstyle="round"/>
                        <v:imagedata o:title=""/>
                        <o:lock v:ext="edit" aspectratio="f"/>
                        <v:textbox inset="0mm,0mm,0mm,0mm">
                          <w:txbxContent>
                            <w:p w14:paraId="2656D51C">
                              <w:r>
                                <w:rPr>
                                  <w:rFonts w:hint="eastAsia" w:ascii="Times New Roman" w:hAnsi="Times New Roman" w:eastAsia="宋体" w:cs="Times New Roman"/>
                                  <w:color w:val="000000" w:themeColor="text1"/>
                                  <w:szCs w:val="21"/>
                                  <w:lang w:val="en-US" w:eastAsia="zh-CN"/>
                                  <w14:textFill>
                                    <w14:solidFill>
                                      <w14:schemeClr w14:val="tx1"/>
                                    </w14:solidFill>
                                  </w14:textFill>
                                </w:rPr>
                                <w:t>80℃</w:t>
                              </w:r>
                            </w:p>
                          </w:txbxContent>
                        </v:textbox>
                      </v:shape>
                      <w10:wrap type="none"/>
                      <w10:anchorlock/>
                    </v:group>
                  </w:pict>
                </mc:Fallback>
              </mc:AlternateContent>
            </w:r>
          </w:p>
          <w:p w14:paraId="0178D863">
            <w:pPr>
              <w:spacing w:line="500" w:lineRule="exact"/>
              <w:ind w:firstLine="422" w:firstLineChars="200"/>
              <w:jc w:val="center"/>
              <w:rPr>
                <w:b/>
                <w:color w:val="auto"/>
                <w:sz w:val="21"/>
                <w:szCs w:val="21"/>
              </w:rPr>
            </w:pPr>
            <w:r>
              <w:rPr>
                <w:b/>
                <w:color w:val="auto"/>
                <w:sz w:val="21"/>
                <w:szCs w:val="21"/>
              </w:rPr>
              <w:t xml:space="preserve">图2-2  </w:t>
            </w:r>
            <w:r>
              <w:rPr>
                <w:rFonts w:hint="eastAsia"/>
                <w:b/>
                <w:color w:val="auto"/>
                <w:sz w:val="21"/>
                <w:szCs w:val="21"/>
              </w:rPr>
              <w:t>塑料瓶盖生产工艺流程及产污环节图</w:t>
            </w:r>
          </w:p>
          <w:p w14:paraId="44955032">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工艺流程简述：</w:t>
            </w:r>
          </w:p>
          <w:p w14:paraId="20F3DA73">
            <w:pPr>
              <w:spacing w:line="360" w:lineRule="auto"/>
              <w:ind w:firstLine="420" w:firstLineChars="200"/>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1</w:t>
            </w:r>
            <w:r>
              <w:rPr>
                <w:rFonts w:hint="eastAsia"/>
                <w:color w:val="000000" w:themeColor="text1"/>
                <w:szCs w:val="21"/>
                <w:lang w:eastAsia="zh-CN"/>
                <w14:textFill>
                  <w14:solidFill>
                    <w14:schemeClr w14:val="tx1"/>
                  </w14:solidFill>
                </w14:textFill>
              </w:rPr>
              <w:t>）混料：人工将</w:t>
            </w:r>
            <w:r>
              <w:rPr>
                <w:rFonts w:hint="eastAsia"/>
                <w:color w:val="000000" w:themeColor="text1"/>
                <w:szCs w:val="21"/>
                <w:lang w:val="en-US" w:eastAsia="zh-CN"/>
                <w14:textFill>
                  <w14:solidFill>
                    <w14:schemeClr w14:val="tx1"/>
                  </w14:solidFill>
                </w14:textFill>
              </w:rPr>
              <w:t>P</w:t>
            </w:r>
            <w:r>
              <w:rPr>
                <w:rFonts w:hint="eastAsia" w:ascii="Times New Roman" w:hAnsi="Times New Roman" w:eastAsia="宋体" w:cs="Times New Roman"/>
                <w:color w:val="000000" w:themeColor="text1"/>
                <w:szCs w:val="21"/>
                <w:lang w:val="en-US" w:eastAsia="zh-CN"/>
                <w14:textFill>
                  <w14:solidFill>
                    <w14:schemeClr w14:val="tx1"/>
                  </w14:solidFill>
                </w14:textFill>
              </w:rPr>
              <w:t>P</w:t>
            </w:r>
            <w:r>
              <w:rPr>
                <w:rFonts w:hint="eastAsia" w:ascii="Times New Roman" w:hAnsi="Times New Roman" w:eastAsia="宋体" w:cs="Times New Roman"/>
                <w:color w:val="000000" w:themeColor="text1"/>
                <w:szCs w:val="21"/>
                <w:lang w:eastAsia="zh-CN"/>
                <w14:textFill>
                  <w14:solidFill>
                    <w14:schemeClr w14:val="tx1"/>
                  </w14:solidFill>
                </w14:textFill>
              </w:rPr>
              <w:t>粒子、</w:t>
            </w:r>
            <w:r>
              <w:rPr>
                <w:rFonts w:hint="eastAsia" w:ascii="Times New Roman" w:hAnsi="Times New Roman" w:eastAsia="宋体" w:cs="Times New Roman"/>
                <w:color w:val="000000" w:themeColor="text1"/>
                <w:szCs w:val="21"/>
                <w:lang w:val="en-US" w:eastAsia="zh-CN"/>
                <w14:textFill>
                  <w14:solidFill>
                    <w14:schemeClr w14:val="tx1"/>
                  </w14:solidFill>
                </w14:textFill>
              </w:rPr>
              <w:t>PE粒子、</w:t>
            </w:r>
            <w:r>
              <w:rPr>
                <w:rFonts w:hint="eastAsia" w:ascii="Times New Roman" w:hAnsi="Times New Roman" w:eastAsia="宋体" w:cs="Times New Roman"/>
                <w:color w:val="000000" w:themeColor="text1"/>
                <w:szCs w:val="21"/>
                <w:lang w:eastAsia="zh-CN"/>
                <w14:textFill>
                  <w14:solidFill>
                    <w14:schemeClr w14:val="tx1"/>
                  </w14:solidFill>
                </w14:textFill>
              </w:rPr>
              <w:t>色母粒</w:t>
            </w:r>
            <w:r>
              <w:rPr>
                <w:rFonts w:hint="eastAsia" w:ascii="Times New Roman" w:hAnsi="Times New Roman" w:eastAsia="宋体" w:cs="Times New Roman"/>
                <w:color w:val="000000" w:themeColor="text1"/>
                <w:szCs w:val="21"/>
                <w:lang w:val="en-US" w:eastAsia="zh-CN"/>
                <w14:textFill>
                  <w14:solidFill>
                    <w14:schemeClr w14:val="tx1"/>
                  </w14:solidFill>
                </w14:textFill>
              </w:rPr>
              <w:t>按比例</w:t>
            </w:r>
            <w:r>
              <w:rPr>
                <w:rFonts w:hint="eastAsia" w:ascii="Times New Roman" w:hAnsi="Times New Roman" w:eastAsia="宋体" w:cs="Times New Roman"/>
                <w:color w:val="000000" w:themeColor="text1"/>
                <w:szCs w:val="21"/>
                <w:lang w:eastAsia="zh-CN"/>
                <w14:textFill>
                  <w14:solidFill>
                    <w14:schemeClr w14:val="tx1"/>
                  </w14:solidFill>
                </w14:textFill>
              </w:rPr>
              <w:t>投入混料机进行混料，原辅料配比</w:t>
            </w:r>
            <w:r>
              <w:rPr>
                <w:rFonts w:hint="eastAsia" w:ascii="Times New Roman" w:hAnsi="Times New Roman" w:eastAsia="宋体" w:cs="Times New Roman"/>
                <w:color w:val="000000" w:themeColor="text1"/>
                <w:szCs w:val="21"/>
                <w:lang w:val="en-US" w:eastAsia="zh-CN"/>
                <w14:textFill>
                  <w14:solidFill>
                    <w14:schemeClr w14:val="tx1"/>
                  </w14:solidFill>
                </w14:textFill>
              </w:rPr>
              <w:t>约</w:t>
            </w:r>
            <w:r>
              <w:rPr>
                <w:rFonts w:hint="eastAsia" w:ascii="Times New Roman" w:hAnsi="Times New Roman" w:eastAsia="宋体" w:cs="Times New Roman"/>
                <w:color w:val="000000" w:themeColor="text1"/>
                <w:szCs w:val="21"/>
                <w:lang w:eastAsia="zh-CN"/>
                <w14:textFill>
                  <w14:solidFill>
                    <w14:schemeClr w14:val="tx1"/>
                  </w14:solidFill>
                </w14:textFill>
              </w:rPr>
              <w:t>为（</w:t>
            </w:r>
            <w:r>
              <w:rPr>
                <w:rFonts w:hint="eastAsia" w:ascii="Times New Roman" w:hAnsi="Times New Roman" w:eastAsia="宋体" w:cs="Times New Roman"/>
                <w:color w:val="000000" w:themeColor="text1"/>
                <w:szCs w:val="21"/>
                <w:lang w:val="en-US" w:eastAsia="zh-CN"/>
                <w14:textFill>
                  <w14:solidFill>
                    <w14:schemeClr w14:val="tx1"/>
                  </w14:solidFill>
                </w14:textFill>
              </w:rPr>
              <w:t>PP</w:t>
            </w:r>
            <w:r>
              <w:rPr>
                <w:rFonts w:hint="eastAsia" w:ascii="Times New Roman" w:hAnsi="Times New Roman" w:eastAsia="宋体" w:cs="Times New Roman"/>
                <w:color w:val="000000" w:themeColor="text1"/>
                <w:szCs w:val="21"/>
                <w:lang w:eastAsia="zh-CN"/>
                <w14:textFill>
                  <w14:solidFill>
                    <w14:schemeClr w14:val="tx1"/>
                  </w14:solidFill>
                </w14:textFill>
              </w:rPr>
              <w:t>粒子</w:t>
            </w:r>
            <w:r>
              <w:rPr>
                <w:rFonts w:hint="eastAsia" w:ascii="Times New Roman" w:hAnsi="Times New Roman" w:eastAsia="宋体" w:cs="Times New Roman"/>
                <w:color w:val="000000" w:themeColor="text1"/>
                <w:szCs w:val="21"/>
                <w:lang w:val="en-US" w:eastAsia="zh-CN"/>
                <w14:textFill>
                  <w14:solidFill>
                    <w14:schemeClr w14:val="tx1"/>
                  </w14:solidFill>
                </w14:textFill>
              </w:rPr>
              <w:t>49.7％、PE粒子49.7％、色母粒0.6％</w:t>
            </w:r>
            <w:r>
              <w:rPr>
                <w:rFonts w:hint="eastAsia" w:ascii="Times New Roman" w:hAnsi="Times New Roman" w:eastAsia="宋体" w:cs="Times New Roman"/>
                <w:color w:val="000000" w:themeColor="text1"/>
                <w:szCs w:val="21"/>
                <w:lang w:eastAsia="zh-CN"/>
                <w14:textFill>
                  <w14:solidFill>
                    <w14:schemeClr w14:val="tx1"/>
                  </w14:solidFill>
                </w14:textFill>
              </w:rPr>
              <w:t>），混料过程均为密闭设备内进行，且塑料粒子粒径较大，不产生粉尘，该工序产生设备噪声N。</w:t>
            </w:r>
          </w:p>
          <w:p w14:paraId="76385D52">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（2）干燥：为提高产品质量，将混合好的塑料粒子利用干燥机进行干燥，去除原料中的水分，干燥采用电加热，干燥温度为80℃，干燥时间为10min，该工序产生水汽G1。</w:t>
            </w:r>
          </w:p>
          <w:p w14:paraId="7D1CCC64">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（3）上料：利用注塑机配套的上料设备将塑料粒子吸入上料斗中，再通过重力作用由料斗进入注塑机内。由于原料呈粒子状，故上料环节无粉尘产生，该过程会产生噪声N。</w:t>
            </w:r>
          </w:p>
          <w:p w14:paraId="7B06EDA9">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（4）注塑成型：进入注塑机内的塑料粒子经电加热后熔化后连续注塑成型，形成密闭中空的塑料瓶盖，温度控制在170℃-220℃左右，整个过程利用隔套冷却水进行冷却，该部分水经过</w:t>
            </w:r>
            <w:r>
              <w:rPr>
                <w:rFonts w:hint="default" w:ascii="Times New Roman" w:hAnsi="Times New Roman" w:eastAsia="宋体" w:cs="Times New Roman"/>
                <w:color w:val="auto"/>
                <w:sz w:val="21"/>
                <w:szCs w:val="21"/>
              </w:rPr>
              <w:t>冷却塔</w:t>
            </w:r>
            <w:r>
              <w:rPr>
                <w:rFonts w:hint="eastAsia" w:ascii="Times New Roman" w:hAnsi="Times New Roman" w:eastAsia="宋体" w:cs="Times New Roman"/>
                <w:color w:val="000000" w:themeColor="text1"/>
                <w:szCs w:val="21"/>
                <w:lang w:val="en-US" w:eastAsia="zh-CN"/>
                <w14:textFill>
                  <w14:solidFill>
                    <w14:schemeClr w14:val="tx1"/>
                  </w14:solidFill>
                </w14:textFill>
              </w:rPr>
              <w:t>冷却后循环使用不排放。塑料在熔化过程中会产生少量注塑废气G</w:t>
            </w:r>
            <w:r>
              <w:rPr>
                <w:rFonts w:hint="eastAsia" w:cs="Times New Roman"/>
                <w:color w:val="000000" w:themeColor="text1"/>
                <w:szCs w:val="21"/>
                <w:lang w:val="en-US" w:eastAsia="zh-CN"/>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（以非甲烷总烃计）</w:t>
            </w:r>
            <w:r>
              <w:rPr>
                <w:rFonts w:hint="eastAsia" w:cs="Times New Roman"/>
                <w:color w:val="000000" w:themeColor="text1"/>
                <w:szCs w:val="21"/>
                <w:lang w:val="en-US" w:eastAsia="zh-CN"/>
                <w14:textFill>
                  <w14:solidFill>
                    <w14:schemeClr w14:val="tx1"/>
                  </w14:solidFill>
                </w14:textFill>
              </w:rPr>
              <w:t>、焦化塑料（S1）</w:t>
            </w:r>
            <w:r>
              <w:rPr>
                <w:rFonts w:hint="eastAsia" w:ascii="Times New Roman" w:hAnsi="Times New Roman" w:eastAsia="宋体" w:cs="Times New Roman"/>
                <w:color w:val="000000" w:themeColor="text1"/>
                <w:szCs w:val="21"/>
                <w:lang w:val="en-US" w:eastAsia="zh-CN"/>
                <w14:textFill>
                  <w14:solidFill>
                    <w14:schemeClr w14:val="tx1"/>
                  </w14:solidFill>
                </w14:textFill>
              </w:rPr>
              <w:t>以及设备运行噪声N。</w:t>
            </w:r>
          </w:p>
          <w:p w14:paraId="42A19B7D">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（5）修边：将成型好的塑料瓶盖多余的边角进行切除，该工序产生边角料S</w:t>
            </w:r>
            <w:r>
              <w:rPr>
                <w:rFonts w:hint="eastAsia" w:cs="Times New Roman"/>
                <w:color w:val="000000" w:themeColor="text1"/>
                <w:szCs w:val="21"/>
                <w:lang w:val="en-US" w:eastAsia="zh-CN"/>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71217E56">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（6）检验：人工通过目测对修边好的半成品进行检验，该工序产生不合格品S</w:t>
            </w:r>
            <w:r>
              <w:rPr>
                <w:rFonts w:hint="eastAsia" w:cs="Times New Roman"/>
                <w:color w:val="000000" w:themeColor="text1"/>
                <w:szCs w:val="21"/>
                <w:lang w:val="en-US" w:eastAsia="zh-CN"/>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14133D0C">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（5）粉碎：为了提高资源利用效率，利用粉碎机将边角料和不合格品粉碎成小块后重新进入送料系统，该工序产生设备噪声N及G</w:t>
            </w:r>
            <w:r>
              <w:rPr>
                <w:rFonts w:hint="eastAsia" w:cs="Times New Roman"/>
                <w:color w:val="000000" w:themeColor="text1"/>
                <w:szCs w:val="21"/>
                <w:lang w:val="en-US" w:eastAsia="zh-CN"/>
                <w14:textFill>
                  <w14:solidFill>
                    <w14:schemeClr w14:val="tx1"/>
                  </w14:solidFill>
                </w14:textFill>
              </w:rPr>
              <w:t>3粉碎</w:t>
            </w:r>
            <w:r>
              <w:rPr>
                <w:rFonts w:hint="eastAsia" w:ascii="Times New Roman" w:hAnsi="Times New Roman" w:eastAsia="宋体" w:cs="Times New Roman"/>
                <w:color w:val="000000" w:themeColor="text1"/>
                <w:szCs w:val="21"/>
                <w:lang w:val="en-US" w:eastAsia="zh-CN"/>
                <w14:textFill>
                  <w14:solidFill>
                    <w14:schemeClr w14:val="tx1"/>
                  </w14:solidFill>
                </w14:textFill>
              </w:rPr>
              <w:t>废气。</w:t>
            </w:r>
          </w:p>
          <w:p w14:paraId="3408F619">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（6）组装：将外购的配件和半成品瓶盖进行人工组装。</w:t>
            </w:r>
          </w:p>
          <w:p w14:paraId="379BA709">
            <w:pPr>
              <w:spacing w:line="360" w:lineRule="auto"/>
              <w:rPr>
                <w:rFonts w:ascii="Times New Roman" w:hAnsi="Times New Roman" w:eastAsia="宋体" w:cs="Times New Roman"/>
                <w:b/>
                <w:bCs/>
                <w:snapToGrid w:val="0"/>
                <w:color w:val="000000" w:themeColor="text1"/>
                <w:kern w:val="0"/>
                <w:szCs w:val="21"/>
                <w14:textFill>
                  <w14:solidFill>
                    <w14:schemeClr w14:val="tx1"/>
                  </w14:solidFill>
                </w14:textFill>
              </w:rPr>
            </w:pPr>
            <w:r>
              <w:rPr>
                <w:rFonts w:ascii="Times New Roman" w:hAnsi="Times New Roman" w:eastAsia="宋体" w:cs="Times New Roman"/>
                <w:b/>
                <w:bCs/>
                <w:snapToGrid w:val="0"/>
                <w:color w:val="000000" w:themeColor="text1"/>
                <w:kern w:val="0"/>
                <w:szCs w:val="21"/>
                <w14:textFill>
                  <w14:solidFill>
                    <w14:schemeClr w14:val="tx1"/>
                  </w14:solidFill>
                </w14:textFill>
              </w:rPr>
              <w:t>2、其他产污环节分析</w:t>
            </w:r>
          </w:p>
          <w:p w14:paraId="6963C7B4">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本项目生产中会产生相应类别的污染物，公辅设施也会产生相应污染物，主要为风机、水泵的运行噪声（N）、生活污水（W1）、原辅料使用的废包装袋（S</w:t>
            </w:r>
            <w:r>
              <w:rPr>
                <w:rFonts w:hint="eastAsia" w:cs="Times New Roman"/>
                <w:color w:val="000000" w:themeColor="text1"/>
                <w:szCs w:val="21"/>
                <w:lang w:val="en-US" w:eastAsia="zh-CN"/>
                <w14:textFill>
                  <w14:solidFill>
                    <w14:schemeClr w14:val="tx1"/>
                  </w14:solidFill>
                </w14:textFill>
              </w:rPr>
              <w:t>4</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除尘设施</w:t>
            </w:r>
            <w:r>
              <w:rPr>
                <w:rFonts w:hint="eastAsia" w:ascii="Times New Roman" w:hAnsi="Times New Roman" w:eastAsia="宋体" w:cs="Times New Roman"/>
                <w:color w:val="000000" w:themeColor="text1"/>
                <w:szCs w:val="21"/>
                <w14:textFill>
                  <w14:solidFill>
                    <w14:schemeClr w14:val="tx1"/>
                  </w14:solidFill>
                </w14:textFill>
              </w:rPr>
              <w:t>的废布袋（S</w:t>
            </w:r>
            <w:r>
              <w:rPr>
                <w:rFonts w:hint="eastAsia" w:cs="Times New Roman"/>
                <w:color w:val="000000" w:themeColor="text1"/>
                <w:szCs w:val="21"/>
                <w:lang w:val="en-US" w:eastAsia="zh-CN"/>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滤尘</w:t>
            </w:r>
            <w:r>
              <w:rPr>
                <w:rFonts w:hint="eastAsia" w:ascii="Times New Roman" w:hAnsi="Times New Roman" w:eastAsia="宋体" w:cs="Times New Roman"/>
                <w:color w:val="000000" w:themeColor="text1"/>
                <w:szCs w:val="21"/>
                <w14:textFill>
                  <w14:solidFill>
                    <w14:schemeClr w14:val="tx1"/>
                  </w14:solidFill>
                </w14:textFill>
              </w:rPr>
              <w:t>（S</w:t>
            </w:r>
            <w:r>
              <w:rPr>
                <w:rFonts w:hint="eastAsia" w:cs="Times New Roman"/>
                <w:color w:val="000000" w:themeColor="text1"/>
                <w:szCs w:val="21"/>
                <w:lang w:val="en-US" w:eastAsia="zh-CN"/>
                <w14:textFill>
                  <w14:solidFill>
                    <w14:schemeClr w14:val="tx1"/>
                  </w14:solidFill>
                </w14:textFill>
              </w:rPr>
              <w:t>6</w:t>
            </w:r>
            <w:r>
              <w:rPr>
                <w:rFonts w:hint="eastAsia" w:ascii="Times New Roman" w:hAnsi="Times New Roman" w:eastAsia="宋体" w:cs="Times New Roman"/>
                <w:color w:val="000000" w:themeColor="text1"/>
                <w:szCs w:val="21"/>
                <w14:textFill>
                  <w14:solidFill>
                    <w14:schemeClr w14:val="tx1"/>
                  </w14:solidFill>
                </w14:textFill>
              </w:rPr>
              <w:t>）、废气处理装置中的废活性炭（S</w:t>
            </w:r>
            <w:r>
              <w:rPr>
                <w:rFonts w:hint="eastAsia" w:cs="Times New Roman"/>
                <w:color w:val="000000" w:themeColor="text1"/>
                <w:szCs w:val="21"/>
                <w:lang w:val="en-US" w:eastAsia="zh-CN"/>
                <w14:textFill>
                  <w14:solidFill>
                    <w14:schemeClr w14:val="tx1"/>
                  </w14:solidFill>
                </w14:textFill>
              </w:rPr>
              <w:t>7</w:t>
            </w:r>
            <w:r>
              <w:rPr>
                <w:rFonts w:hint="eastAsia" w:ascii="Times New Roman" w:hAnsi="Times New Roman" w:eastAsia="宋体" w:cs="Times New Roman"/>
                <w:color w:val="000000" w:themeColor="text1"/>
                <w:szCs w:val="21"/>
                <w14:textFill>
                  <w14:solidFill>
                    <w14:schemeClr w14:val="tx1"/>
                  </w14:solidFill>
                </w14:textFill>
              </w:rPr>
              <w:t>）、废机油（S</w:t>
            </w:r>
            <w:r>
              <w:rPr>
                <w:rFonts w:hint="eastAsia" w:cs="Times New Roman"/>
                <w:color w:val="000000" w:themeColor="text1"/>
                <w:szCs w:val="21"/>
                <w:lang w:val="en-US" w:eastAsia="zh-CN"/>
                <w14:textFill>
                  <w14:solidFill>
                    <w14:schemeClr w14:val="tx1"/>
                  </w14:solidFill>
                </w14:textFill>
              </w:rPr>
              <w:t>8</w:t>
            </w:r>
            <w:r>
              <w:rPr>
                <w:rFonts w:hint="eastAsia" w:ascii="Times New Roman" w:hAnsi="Times New Roman" w:eastAsia="宋体" w:cs="Times New Roman"/>
                <w:color w:val="000000" w:themeColor="text1"/>
                <w:szCs w:val="21"/>
                <w14:textFill>
                  <w14:solidFill>
                    <w14:schemeClr w14:val="tx1"/>
                  </w14:solidFill>
                </w14:textFill>
              </w:rPr>
              <w:t>）、废机油桶（S</w:t>
            </w:r>
            <w:r>
              <w:rPr>
                <w:rFonts w:hint="eastAsia" w:cs="Times New Roman"/>
                <w:color w:val="000000" w:themeColor="text1"/>
                <w:szCs w:val="21"/>
                <w:lang w:val="en-US" w:eastAsia="zh-CN"/>
                <w14:textFill>
                  <w14:solidFill>
                    <w14:schemeClr w14:val="tx1"/>
                  </w14:solidFill>
                </w14:textFill>
              </w:rPr>
              <w:t>9</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color w:val="auto"/>
                <w:lang w:val="en-US" w:eastAsia="zh-CN"/>
              </w:rPr>
              <w:t>注塑成型更换的模具（S10）</w:t>
            </w:r>
            <w:r>
              <w:rPr>
                <w:rFonts w:hint="eastAsia" w:ascii="Times New Roman" w:hAnsi="Times New Roman" w:eastAsia="宋体" w:cs="Times New Roman"/>
                <w:color w:val="000000" w:themeColor="text1"/>
                <w:szCs w:val="21"/>
                <w14:textFill>
                  <w14:solidFill>
                    <w14:schemeClr w14:val="tx1"/>
                  </w14:solidFill>
                </w14:textFill>
              </w:rPr>
              <w:t>及生活垃圾（S</w:t>
            </w:r>
            <w:r>
              <w:rPr>
                <w:rFonts w:hint="eastAsia" w:cs="Times New Roman"/>
                <w:color w:val="000000" w:themeColor="text1"/>
                <w:szCs w:val="21"/>
                <w:lang w:val="en-US" w:eastAsia="zh-CN"/>
                <w14:textFill>
                  <w14:solidFill>
                    <w14:schemeClr w14:val="tx1"/>
                  </w14:solidFill>
                </w14:textFill>
              </w:rPr>
              <w:t>11</w:t>
            </w:r>
            <w:r>
              <w:rPr>
                <w:rFonts w:hint="eastAsia" w:ascii="Times New Roman" w:hAnsi="Times New Roman" w:eastAsia="宋体" w:cs="Times New Roman"/>
                <w:color w:val="000000" w:themeColor="text1"/>
                <w:szCs w:val="21"/>
                <w14:textFill>
                  <w14:solidFill>
                    <w14:schemeClr w14:val="tx1"/>
                  </w14:solidFill>
                </w14:textFill>
              </w:rPr>
              <w:t>）等。</w:t>
            </w:r>
          </w:p>
          <w:p w14:paraId="33F13083">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根据上述分析，本项目在营运期阶段产污环节见表2-</w:t>
            </w:r>
            <w:r>
              <w:rPr>
                <w:rFonts w:hint="eastAsia" w:cs="Times New Roman"/>
                <w:color w:val="000000" w:themeColor="text1"/>
                <w:szCs w:val="21"/>
                <w:lang w:val="en-US" w:eastAsia="zh-CN"/>
                <w14:textFill>
                  <w14:solidFill>
                    <w14:schemeClr w14:val="tx1"/>
                  </w14:solidFill>
                </w14:textFill>
              </w:rPr>
              <w:t>7</w:t>
            </w:r>
            <w:r>
              <w:rPr>
                <w:rFonts w:hint="eastAsia" w:ascii="Times New Roman" w:hAnsi="Times New Roman" w:eastAsia="宋体" w:cs="Times New Roman"/>
                <w:color w:val="000000" w:themeColor="text1"/>
                <w:szCs w:val="21"/>
                <w14:textFill>
                  <w14:solidFill>
                    <w14:schemeClr w14:val="tx1"/>
                  </w14:solidFill>
                </w14:textFill>
              </w:rPr>
              <w:t>。</w:t>
            </w:r>
          </w:p>
          <w:p w14:paraId="256B4642">
            <w:pPr>
              <w:spacing w:line="360" w:lineRule="auto"/>
              <w:rPr>
                <w:bCs/>
                <w:color w:val="000000" w:themeColor="text1"/>
                <w:sz w:val="18"/>
                <w:szCs w:val="18"/>
                <w:highlight w:val="yellow"/>
                <w14:textFill>
                  <w14:solidFill>
                    <w14:schemeClr w14:val="tx1"/>
                  </w14:solidFill>
                </w14:textFill>
              </w:rPr>
            </w:pPr>
          </w:p>
        </w:tc>
      </w:tr>
      <w:tr w14:paraId="566D6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62" w:type="dxa"/>
            <w:tcBorders>
              <w:top w:val="single" w:color="auto" w:sz="4" w:space="0"/>
              <w:left w:val="single" w:color="auto" w:sz="4" w:space="0"/>
              <w:bottom w:val="single" w:color="auto" w:sz="4" w:space="0"/>
            </w:tcBorders>
            <w:vAlign w:val="center"/>
          </w:tcPr>
          <w:p w14:paraId="22CC6CFD">
            <w:pPr>
              <w:adjustRightInd w:val="0"/>
              <w:snapToGrid w:val="0"/>
              <w:jc w:val="center"/>
              <w:rPr>
                <w:rFonts w:cs="宋体"/>
                <w:bCs/>
                <w:color w:val="000000" w:themeColor="text1"/>
                <w:szCs w:val="21"/>
                <w14:textFill>
                  <w14:solidFill>
                    <w14:schemeClr w14:val="tx1"/>
                  </w14:solidFill>
                </w14:textFill>
              </w:rPr>
            </w:pPr>
            <w:r>
              <w:rPr>
                <w:rFonts w:hint="eastAsia" w:cs="宋体"/>
                <w:bCs/>
                <w:color w:val="000000" w:themeColor="text1"/>
                <w:szCs w:val="21"/>
                <w14:textFill>
                  <w14:solidFill>
                    <w14:schemeClr w14:val="tx1"/>
                  </w14:solidFill>
                </w14:textFill>
              </w:rPr>
              <w:t>与项目有关的原有污染问题</w:t>
            </w:r>
          </w:p>
        </w:tc>
        <w:tc>
          <w:tcPr>
            <w:tcW w:w="8498" w:type="dxa"/>
            <w:tcBorders>
              <w:top w:val="single" w:color="auto" w:sz="4" w:space="0"/>
              <w:bottom w:val="single" w:color="auto" w:sz="4" w:space="0"/>
              <w:right w:val="single" w:color="auto" w:sz="4" w:space="0"/>
            </w:tcBorders>
          </w:tcPr>
          <w:p w14:paraId="3EACC9EF">
            <w:pPr>
              <w:snapToGrid w:val="0"/>
              <w:spacing w:line="360" w:lineRule="auto"/>
              <w:rPr>
                <w:rFonts w:hint="eastAsia" w:ascii="Times New Roman" w:hAnsi="Times New Roman" w:eastAsia="宋体" w:cs="Times New Roman"/>
                <w:b/>
                <w:bCs w:val="0"/>
                <w:color w:val="auto"/>
                <w:sz w:val="21"/>
                <w:szCs w:val="21"/>
              </w:rPr>
            </w:pPr>
            <w:r>
              <w:rPr>
                <w:rFonts w:hint="eastAsia" w:ascii="Times New Roman" w:hAnsi="Times New Roman" w:eastAsia="宋体" w:cs="Times New Roman"/>
                <w:b/>
                <w:bCs w:val="0"/>
                <w:color w:val="auto"/>
                <w:sz w:val="21"/>
                <w:szCs w:val="21"/>
              </w:rPr>
              <w:t>一、与项目有关的原有环境污染问题</w:t>
            </w:r>
          </w:p>
          <w:p w14:paraId="7D4749DB">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江阴市宝瑞塑业有限公司成立于2018年7月23日，是一家从事塑料制品制造加工的企业，现位于江阴市月城镇月翔路27号，租用江苏必得科技股份有限公司闲置厂房5133.22平方米，年产塑料瓶盖1500吨。</w:t>
            </w:r>
          </w:p>
          <w:p w14:paraId="0894A947">
            <w:pPr>
              <w:snapToGrid w:val="0"/>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江阴市宝瑞塑业有限公司历年申报建设并实施的建设项目进程、环保手续情况调查如下：</w:t>
            </w:r>
          </w:p>
          <w:p w14:paraId="1D70ACD0">
            <w:pPr>
              <w:spacing w:line="240" w:lineRule="auto"/>
              <w:ind w:firstLine="422" w:firstLineChars="200"/>
              <w:jc w:val="center"/>
              <w:rPr>
                <w:rFonts w:hint="eastAsia"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表2-</w:t>
            </w:r>
            <w:r>
              <w:rPr>
                <w:rFonts w:hint="eastAsia" w:cs="Times New Roman"/>
                <w:b/>
                <w:bCs/>
                <w:color w:val="000000" w:themeColor="text1"/>
                <w:szCs w:val="21"/>
                <w:lang w:val="en-US" w:eastAsia="zh-CN"/>
                <w14:textFill>
                  <w14:solidFill>
                    <w14:schemeClr w14:val="tx1"/>
                  </w14:solidFill>
                </w14:textFill>
              </w:rPr>
              <w:t>8</w:t>
            </w:r>
            <w:r>
              <w:rPr>
                <w:rFonts w:hint="eastAsia" w:ascii="Times New Roman" w:hAnsi="Times New Roman" w:eastAsia="宋体" w:cs="Times New Roman"/>
                <w:b/>
                <w:bCs/>
                <w:color w:val="000000" w:themeColor="text1"/>
                <w:szCs w:val="21"/>
                <w14:textFill>
                  <w14:solidFill>
                    <w14:schemeClr w14:val="tx1"/>
                  </w14:solidFill>
                </w14:textFill>
              </w:rPr>
              <w:t>历年环保手续情况汇总</w:t>
            </w:r>
          </w:p>
          <w:tbl>
            <w:tblPr>
              <w:tblStyle w:val="27"/>
              <w:tblW w:w="477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autofit"/>
              <w:tblCellMar>
                <w:top w:w="0" w:type="dxa"/>
                <w:left w:w="0" w:type="dxa"/>
                <w:bottom w:w="0" w:type="dxa"/>
                <w:right w:w="0" w:type="dxa"/>
              </w:tblCellMar>
            </w:tblPr>
            <w:tblGrid>
              <w:gridCol w:w="1100"/>
              <w:gridCol w:w="451"/>
              <w:gridCol w:w="779"/>
              <w:gridCol w:w="1276"/>
              <w:gridCol w:w="1604"/>
              <w:gridCol w:w="2693"/>
            </w:tblGrid>
            <w:tr w14:paraId="67AD02C1">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cantSplit/>
                <w:trHeight w:val="570" w:hRule="atLeast"/>
                <w:jc w:val="center"/>
              </w:trPr>
              <w:tc>
                <w:tcPr>
                  <w:tcW w:w="828" w:type="pct"/>
                  <w:noWrap w:val="0"/>
                  <w:vAlign w:val="center"/>
                </w:tcPr>
                <w:p w14:paraId="301C0D4B">
                  <w:pPr>
                    <w:spacing w:line="240" w:lineRule="exact"/>
                    <w:jc w:val="center"/>
                    <w:rPr>
                      <w:color w:val="auto"/>
                    </w:rPr>
                  </w:pPr>
                  <w:r>
                    <w:rPr>
                      <w:color w:val="auto"/>
                    </w:rPr>
                    <w:t>项目</w:t>
                  </w:r>
                </w:p>
                <w:p w14:paraId="6FC9C986">
                  <w:pPr>
                    <w:spacing w:line="240" w:lineRule="exact"/>
                    <w:jc w:val="center"/>
                    <w:rPr>
                      <w:color w:val="auto"/>
                    </w:rPr>
                  </w:pPr>
                  <w:r>
                    <w:rPr>
                      <w:color w:val="auto"/>
                    </w:rPr>
                    <w:t>名称</w:t>
                  </w:r>
                </w:p>
              </w:tc>
              <w:tc>
                <w:tcPr>
                  <w:tcW w:w="418" w:type="pct"/>
                  <w:noWrap w:val="0"/>
                  <w:vAlign w:val="center"/>
                </w:tcPr>
                <w:p w14:paraId="4807B409">
                  <w:pPr>
                    <w:spacing w:line="240" w:lineRule="exact"/>
                    <w:jc w:val="center"/>
                    <w:rPr>
                      <w:color w:val="auto"/>
                    </w:rPr>
                  </w:pPr>
                  <w:r>
                    <w:rPr>
                      <w:color w:val="auto"/>
                    </w:rPr>
                    <w:t>环评类型</w:t>
                  </w:r>
                </w:p>
              </w:tc>
              <w:tc>
                <w:tcPr>
                  <w:tcW w:w="625" w:type="pct"/>
                  <w:noWrap w:val="0"/>
                  <w:vAlign w:val="center"/>
                </w:tcPr>
                <w:p w14:paraId="3EB069B9">
                  <w:pPr>
                    <w:spacing w:line="240" w:lineRule="exact"/>
                    <w:jc w:val="center"/>
                    <w:rPr>
                      <w:color w:val="auto"/>
                    </w:rPr>
                  </w:pPr>
                  <w:r>
                    <w:rPr>
                      <w:color w:val="auto"/>
                    </w:rPr>
                    <w:t>环评批复时间</w:t>
                  </w:r>
                </w:p>
              </w:tc>
              <w:tc>
                <w:tcPr>
                  <w:tcW w:w="917" w:type="pct"/>
                  <w:noWrap w:val="0"/>
                  <w:vAlign w:val="center"/>
                </w:tcPr>
                <w:p w14:paraId="7F0468FA">
                  <w:pPr>
                    <w:spacing w:line="240" w:lineRule="exact"/>
                    <w:jc w:val="center"/>
                    <w:rPr>
                      <w:color w:val="auto"/>
                    </w:rPr>
                  </w:pPr>
                  <w:r>
                    <w:rPr>
                      <w:color w:val="auto"/>
                    </w:rPr>
                    <w:t>编号</w:t>
                  </w:r>
                </w:p>
              </w:tc>
              <w:tc>
                <w:tcPr>
                  <w:tcW w:w="1170" w:type="pct"/>
                  <w:noWrap w:val="0"/>
                  <w:vAlign w:val="center"/>
                </w:tcPr>
                <w:p w14:paraId="33A2A833">
                  <w:pPr>
                    <w:spacing w:line="240" w:lineRule="exact"/>
                    <w:jc w:val="center"/>
                    <w:rPr>
                      <w:color w:val="auto"/>
                    </w:rPr>
                  </w:pPr>
                  <w:r>
                    <w:rPr>
                      <w:color w:val="auto"/>
                    </w:rPr>
                    <w:t>三同时验收时间</w:t>
                  </w:r>
                </w:p>
              </w:tc>
              <w:tc>
                <w:tcPr>
                  <w:tcW w:w="1039" w:type="pct"/>
                  <w:noWrap w:val="0"/>
                  <w:vAlign w:val="center"/>
                </w:tcPr>
                <w:p w14:paraId="38F6097E">
                  <w:pPr>
                    <w:spacing w:line="240" w:lineRule="exact"/>
                    <w:jc w:val="center"/>
                    <w:rPr>
                      <w:color w:val="auto"/>
                    </w:rPr>
                  </w:pPr>
                  <w:r>
                    <w:rPr>
                      <w:color w:val="auto"/>
                    </w:rPr>
                    <w:t>排污许可手续</w:t>
                  </w:r>
                </w:p>
              </w:tc>
            </w:tr>
            <w:tr w14:paraId="26DDF3DB">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cantSplit/>
                <w:trHeight w:val="872" w:hRule="atLeast"/>
                <w:jc w:val="center"/>
              </w:trPr>
              <w:tc>
                <w:tcPr>
                  <w:tcW w:w="828" w:type="pct"/>
                  <w:noWrap w:val="0"/>
                  <w:vAlign w:val="center"/>
                </w:tcPr>
                <w:p w14:paraId="6680CE99">
                  <w:pPr>
                    <w:spacing w:line="240" w:lineRule="exact"/>
                    <w:jc w:val="center"/>
                    <w:rPr>
                      <w:color w:val="auto"/>
                    </w:rPr>
                  </w:pPr>
                  <w:r>
                    <w:rPr>
                      <w:rFonts w:hint="eastAsia" w:ascii="Times New Roman" w:hAnsi="Times New Roman" w:eastAsia="宋体" w:cs="Times New Roman"/>
                      <w:color w:val="000000" w:themeColor="text1"/>
                      <w:szCs w:val="21"/>
                      <w14:textFill>
                        <w14:solidFill>
                          <w14:schemeClr w14:val="tx1"/>
                        </w14:solidFill>
                      </w14:textFill>
                    </w:rPr>
                    <w:t>《年产2000万只塑料瓶盖项目》</w:t>
                  </w:r>
                </w:p>
              </w:tc>
              <w:tc>
                <w:tcPr>
                  <w:tcW w:w="418" w:type="pct"/>
                  <w:noWrap w:val="0"/>
                  <w:vAlign w:val="center"/>
                </w:tcPr>
                <w:p w14:paraId="25B7BA6D">
                  <w:pPr>
                    <w:spacing w:line="240" w:lineRule="exact"/>
                    <w:jc w:val="center"/>
                    <w:rPr>
                      <w:rFonts w:hint="eastAsia" w:eastAsia="宋体"/>
                      <w:color w:val="auto"/>
                      <w:lang w:val="en-US" w:eastAsia="zh-CN"/>
                    </w:rPr>
                  </w:pPr>
                  <w:r>
                    <w:rPr>
                      <w:rFonts w:hint="eastAsia"/>
                      <w:color w:val="auto"/>
                      <w:lang w:val="en-US" w:eastAsia="zh-CN"/>
                    </w:rPr>
                    <w:t>报告表</w:t>
                  </w:r>
                </w:p>
              </w:tc>
              <w:tc>
                <w:tcPr>
                  <w:tcW w:w="625" w:type="pct"/>
                  <w:noWrap w:val="0"/>
                  <w:vAlign w:val="center"/>
                </w:tcPr>
                <w:p w14:paraId="46C5808B">
                  <w:pPr>
                    <w:spacing w:line="240" w:lineRule="exact"/>
                    <w:jc w:val="center"/>
                    <w:rPr>
                      <w:color w:val="auto"/>
                    </w:rPr>
                  </w:pPr>
                  <w:r>
                    <w:rPr>
                      <w:rFonts w:hint="eastAsia" w:ascii="Times New Roman" w:hAnsi="Times New Roman" w:cs="Times New Roman"/>
                      <w:color w:val="000000" w:themeColor="text1"/>
                      <w:szCs w:val="21"/>
                      <w14:textFill>
                        <w14:solidFill>
                          <w14:schemeClr w14:val="tx1"/>
                        </w14:solidFill>
                      </w14:textFill>
                    </w:rPr>
                    <w:t>201</w:t>
                  </w:r>
                  <w:r>
                    <w:rPr>
                      <w:rFonts w:hint="eastAsia" w:ascii="Times New Roman" w:hAnsi="Times New Roman" w:eastAsia="宋体" w:cs="Times New Roman"/>
                      <w:color w:val="000000" w:themeColor="text1"/>
                      <w:szCs w:val="21"/>
                      <w14:textFill>
                        <w14:solidFill>
                          <w14:schemeClr w14:val="tx1"/>
                        </w14:solidFill>
                      </w14:textFill>
                    </w:rPr>
                    <w:t>9年4月25日</w:t>
                  </w:r>
                </w:p>
              </w:tc>
              <w:tc>
                <w:tcPr>
                  <w:tcW w:w="917" w:type="pct"/>
                  <w:noWrap w:val="0"/>
                  <w:vAlign w:val="center"/>
                </w:tcPr>
                <w:p w14:paraId="42BF31E1">
                  <w:pPr>
                    <w:spacing w:line="240" w:lineRule="exact"/>
                    <w:jc w:val="center"/>
                    <w:rPr>
                      <w:rFonts w:hint="default" w:eastAsia="宋体"/>
                      <w:color w:val="auto"/>
                      <w:lang w:val="en-US" w:eastAsia="zh-CN"/>
                    </w:rPr>
                  </w:pPr>
                  <w:r>
                    <w:rPr>
                      <w:rFonts w:hint="eastAsia"/>
                      <w:color w:val="auto"/>
                      <w:lang w:val="en-US" w:eastAsia="zh-CN"/>
                    </w:rPr>
                    <w:t>201904160013</w:t>
                  </w:r>
                </w:p>
              </w:tc>
              <w:tc>
                <w:tcPr>
                  <w:tcW w:w="1170" w:type="pct"/>
                  <w:noWrap w:val="0"/>
                  <w:vAlign w:val="center"/>
                </w:tcPr>
                <w:p w14:paraId="0A2B53A9">
                  <w:pPr>
                    <w:spacing w:line="240" w:lineRule="exact"/>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2021年1月22日</w:t>
                  </w:r>
                </w:p>
              </w:tc>
              <w:tc>
                <w:tcPr>
                  <w:tcW w:w="1039" w:type="pct"/>
                  <w:vMerge w:val="restart"/>
                  <w:noWrap w:val="0"/>
                  <w:vAlign w:val="center"/>
                </w:tcPr>
                <w:p w14:paraId="29209F90">
                  <w:pPr>
                    <w:spacing w:line="240" w:lineRule="exact"/>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91320281MA1WXJ2R37001W</w:t>
                  </w:r>
                </w:p>
                <w:p w14:paraId="7CB1BAC2">
                  <w:pPr>
                    <w:spacing w:line="240" w:lineRule="exact"/>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（登记管理）</w:t>
                  </w:r>
                </w:p>
              </w:tc>
            </w:tr>
            <w:tr w14:paraId="40D43C08">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cantSplit/>
                <w:trHeight w:val="700" w:hRule="atLeast"/>
                <w:jc w:val="center"/>
              </w:trPr>
              <w:tc>
                <w:tcPr>
                  <w:tcW w:w="828" w:type="pct"/>
                  <w:noWrap w:val="0"/>
                  <w:vAlign w:val="center"/>
                </w:tcPr>
                <w:p w14:paraId="24994275">
                  <w:pPr>
                    <w:spacing w:line="240" w:lineRule="exact"/>
                    <w:jc w:val="center"/>
                    <w:rPr>
                      <w:color w:val="auto"/>
                    </w:rPr>
                  </w:pPr>
                  <w:r>
                    <w:rPr>
                      <w:rFonts w:hint="eastAsia" w:ascii="Times New Roman" w:hAnsi="Times New Roman" w:eastAsia="宋体" w:cs="Times New Roman"/>
                      <w:bCs/>
                      <w:color w:val="auto"/>
                      <w:szCs w:val="21"/>
                      <w:lang w:val="en-US" w:eastAsia="zh-CN"/>
                    </w:rPr>
                    <w:t>《整厂搬迁扩建项目》</w:t>
                  </w:r>
                </w:p>
              </w:tc>
              <w:tc>
                <w:tcPr>
                  <w:tcW w:w="418" w:type="pct"/>
                  <w:noWrap w:val="0"/>
                  <w:vAlign w:val="center"/>
                </w:tcPr>
                <w:p w14:paraId="6CCDDC78">
                  <w:pPr>
                    <w:spacing w:line="240" w:lineRule="exact"/>
                    <w:jc w:val="center"/>
                    <w:rPr>
                      <w:color w:val="auto"/>
                    </w:rPr>
                  </w:pPr>
                  <w:r>
                    <w:rPr>
                      <w:rFonts w:hint="eastAsia"/>
                      <w:color w:val="auto"/>
                      <w:lang w:val="en-US" w:eastAsia="zh-CN"/>
                    </w:rPr>
                    <w:t>报告表</w:t>
                  </w:r>
                </w:p>
              </w:tc>
              <w:tc>
                <w:tcPr>
                  <w:tcW w:w="625" w:type="pct"/>
                  <w:noWrap w:val="0"/>
                  <w:vAlign w:val="center"/>
                </w:tcPr>
                <w:p w14:paraId="6A312551">
                  <w:pPr>
                    <w:spacing w:line="240" w:lineRule="exact"/>
                    <w:jc w:val="center"/>
                    <w:rPr>
                      <w:color w:val="auto"/>
                    </w:rPr>
                  </w:pPr>
                  <w:r>
                    <w:rPr>
                      <w:rFonts w:hint="eastAsia" w:ascii="Times New Roman" w:hAnsi="Times New Roman" w:eastAsia="宋体" w:cs="Times New Roman"/>
                      <w:color w:val="000000" w:themeColor="text1"/>
                      <w:szCs w:val="21"/>
                      <w:lang w:val="en-US" w:eastAsia="zh-CN"/>
                      <w14:textFill>
                        <w14:solidFill>
                          <w14:schemeClr w14:val="tx1"/>
                        </w14:solidFill>
                      </w14:textFill>
                    </w:rPr>
                    <w:t>2024年</w:t>
                  </w:r>
                  <w:r>
                    <w:rPr>
                      <w:rFonts w:hint="eastAsia" w:ascii="Times New Roman" w:hAnsi="Times New Roman" w:eastAsia="宋体" w:cs="Times New Roman"/>
                      <w:bCs/>
                      <w:color w:val="auto"/>
                      <w:szCs w:val="21"/>
                      <w:lang w:val="en-US" w:eastAsia="zh-CN"/>
                    </w:rPr>
                    <w:t>10月21日</w:t>
                  </w:r>
                </w:p>
              </w:tc>
              <w:tc>
                <w:tcPr>
                  <w:tcW w:w="917" w:type="pct"/>
                  <w:noWrap w:val="0"/>
                  <w:vAlign w:val="center"/>
                </w:tcPr>
                <w:p w14:paraId="3ACED67F">
                  <w:pPr>
                    <w:spacing w:line="240" w:lineRule="exact"/>
                    <w:jc w:val="center"/>
                    <w:rPr>
                      <w:color w:val="auto"/>
                    </w:rPr>
                  </w:pPr>
                  <w:r>
                    <w:rPr>
                      <w:rFonts w:hint="eastAsia"/>
                      <w:color w:val="auto"/>
                    </w:rPr>
                    <w:t>锡数环许（2024)1031号</w:t>
                  </w:r>
                </w:p>
              </w:tc>
              <w:tc>
                <w:tcPr>
                  <w:tcW w:w="1170" w:type="pct"/>
                  <w:noWrap w:val="0"/>
                  <w:vAlign w:val="center"/>
                </w:tcPr>
                <w:p w14:paraId="61199476">
                  <w:pPr>
                    <w:spacing w:line="240" w:lineRule="exact"/>
                    <w:jc w:val="center"/>
                    <w:rPr>
                      <w:rFonts w:hint="eastAsia" w:eastAsia="宋体"/>
                      <w:color w:val="auto"/>
                      <w:lang w:val="en-US" w:eastAsia="zh-CN"/>
                    </w:rPr>
                  </w:pPr>
                  <w:r>
                    <w:rPr>
                      <w:rFonts w:hint="eastAsia"/>
                      <w:color w:val="auto"/>
                      <w:lang w:val="en-US" w:eastAsia="zh-CN"/>
                    </w:rPr>
                    <w:t>/</w:t>
                  </w:r>
                </w:p>
              </w:tc>
              <w:tc>
                <w:tcPr>
                  <w:tcW w:w="1039" w:type="pct"/>
                  <w:vMerge w:val="continue"/>
                  <w:noWrap w:val="0"/>
                  <w:vAlign w:val="center"/>
                </w:tcPr>
                <w:p w14:paraId="07F2AB5A">
                  <w:pPr>
                    <w:spacing w:line="240" w:lineRule="exact"/>
                    <w:jc w:val="center"/>
                    <w:rPr>
                      <w:color w:val="auto"/>
                    </w:rPr>
                  </w:pPr>
                </w:p>
              </w:tc>
            </w:tr>
          </w:tbl>
          <w:p w14:paraId="56BB2BED">
            <w:pPr>
              <w:rPr>
                <w:color w:val="auto"/>
                <w:szCs w:val="21"/>
              </w:rPr>
            </w:pPr>
            <w:r>
              <w:rPr>
                <w:rFonts w:hint="eastAsia" w:cs="Times New Roman"/>
                <w:b/>
                <w:bCs/>
                <w:color w:val="auto"/>
                <w:szCs w:val="21"/>
                <w:lang w:val="en-US" w:eastAsia="zh-CN"/>
              </w:rPr>
              <w:t>*</w:t>
            </w:r>
            <w:r>
              <w:rPr>
                <w:rFonts w:hint="eastAsia" w:ascii="Times New Roman" w:hAnsi="Times New Roman" w:eastAsia="宋体" w:cs="Times New Roman"/>
                <w:color w:val="auto"/>
                <w:szCs w:val="21"/>
                <w:lang w:val="en-US" w:eastAsia="zh-CN"/>
              </w:rPr>
              <w:t>江阴市宝瑞塑业有限公司2024年10月通过《整厂搬迁扩建项目》，2025年2月开工建设，2025年9月基本建设完成，原计划2025年10月完成验收，因江苏必得科技股份有限公司不再续租，并要求企业2026年2月份之前搬迁</w:t>
            </w:r>
            <w:r>
              <w:rPr>
                <w:rFonts w:hint="eastAsia"/>
                <w:color w:val="auto"/>
                <w:szCs w:val="21"/>
              </w:rPr>
              <w:t>，</w:t>
            </w:r>
            <w:r>
              <w:rPr>
                <w:rFonts w:hint="eastAsia"/>
                <w:color w:val="auto"/>
                <w:szCs w:val="21"/>
                <w:lang w:val="en-US" w:eastAsia="zh-CN"/>
              </w:rPr>
              <w:t>企业于2025年11月起，</w:t>
            </w:r>
            <w:r>
              <w:rPr>
                <w:rFonts w:hint="eastAsia"/>
                <w:color w:val="auto"/>
                <w:szCs w:val="21"/>
              </w:rPr>
              <w:t>企业</w:t>
            </w:r>
            <w:r>
              <w:rPr>
                <w:rFonts w:hint="eastAsia"/>
                <w:color w:val="auto"/>
                <w:szCs w:val="21"/>
                <w:lang w:val="en-US" w:eastAsia="zh-CN"/>
              </w:rPr>
              <w:t>部分设备已拆除或停产</w:t>
            </w:r>
            <w:r>
              <w:rPr>
                <w:rFonts w:hint="eastAsia"/>
                <w:color w:val="auto"/>
                <w:szCs w:val="21"/>
              </w:rPr>
              <w:t>。</w:t>
            </w:r>
          </w:p>
          <w:p w14:paraId="354FEF8B">
            <w:pPr>
              <w:spacing w:line="360" w:lineRule="auto"/>
              <w:ind w:firstLine="420" w:firstLineChars="20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本报告根据原有环评报告《整厂搬迁扩建项目》、及江阴市月城镇月翔路27号检测报告统计现有项目污染物排放情况。</w:t>
            </w:r>
          </w:p>
          <w:p w14:paraId="22D64EBD">
            <w:pPr>
              <w:spacing w:line="360" w:lineRule="auto"/>
              <w:ind w:firstLine="420" w:firstLineChars="200"/>
              <w:rPr>
                <w:rFonts w:hint="default" w:ascii="Times New Roman" w:hAnsi="Times New Roman" w:eastAsia="宋体" w:cs="Times New Roman"/>
                <w:color w:val="auto"/>
                <w:szCs w:val="21"/>
                <w:lang w:val="en-US" w:eastAsia="zh-CN"/>
              </w:rPr>
            </w:pPr>
          </w:p>
          <w:p w14:paraId="7F4940EB">
            <w:pPr>
              <w:spacing w:line="360" w:lineRule="auto"/>
              <w:ind w:firstLine="420" w:firstLineChars="200"/>
              <w:rPr>
                <w:bCs/>
                <w:color w:val="000000" w:themeColor="text1"/>
                <w:szCs w:val="21"/>
                <w14:textFill>
                  <w14:solidFill>
                    <w14:schemeClr w14:val="tx1"/>
                  </w14:solidFill>
                </w14:textFill>
              </w:rPr>
            </w:pPr>
          </w:p>
          <w:p w14:paraId="05BFC967">
            <w:pPr>
              <w:spacing w:line="360" w:lineRule="auto"/>
              <w:ind w:firstLine="420" w:firstLineChars="200"/>
              <w:rPr>
                <w:bCs/>
                <w:color w:val="000000" w:themeColor="text1"/>
                <w:szCs w:val="21"/>
                <w14:textFill>
                  <w14:solidFill>
                    <w14:schemeClr w14:val="tx1"/>
                  </w14:solidFill>
                </w14:textFill>
              </w:rPr>
            </w:pPr>
          </w:p>
          <w:p w14:paraId="0BA371DF">
            <w:pPr>
              <w:spacing w:line="360" w:lineRule="auto"/>
              <w:ind w:firstLine="420" w:firstLineChars="200"/>
              <w:rPr>
                <w:bCs/>
                <w:color w:val="000000" w:themeColor="text1"/>
                <w:szCs w:val="21"/>
                <w14:textFill>
                  <w14:solidFill>
                    <w14:schemeClr w14:val="tx1"/>
                  </w14:solidFill>
                </w14:textFill>
              </w:rPr>
            </w:pPr>
          </w:p>
          <w:p w14:paraId="73738548">
            <w:pPr>
              <w:spacing w:line="360" w:lineRule="auto"/>
              <w:ind w:firstLine="420" w:firstLineChars="200"/>
              <w:rPr>
                <w:bCs/>
                <w:color w:val="000000" w:themeColor="text1"/>
                <w:szCs w:val="21"/>
                <w14:textFill>
                  <w14:solidFill>
                    <w14:schemeClr w14:val="tx1"/>
                  </w14:solidFill>
                </w14:textFill>
              </w:rPr>
            </w:pPr>
          </w:p>
          <w:p w14:paraId="2FDF32BD">
            <w:pPr>
              <w:spacing w:line="360" w:lineRule="auto"/>
              <w:ind w:firstLine="420" w:firstLineChars="200"/>
              <w:rPr>
                <w:bCs/>
                <w:color w:val="000000" w:themeColor="text1"/>
                <w:szCs w:val="21"/>
                <w14:textFill>
                  <w14:solidFill>
                    <w14:schemeClr w14:val="tx1"/>
                  </w14:solidFill>
                </w14:textFill>
              </w:rPr>
            </w:pPr>
          </w:p>
          <w:p w14:paraId="70CB74B2">
            <w:pPr>
              <w:spacing w:line="360" w:lineRule="auto"/>
              <w:ind w:firstLine="420" w:firstLineChars="200"/>
              <w:rPr>
                <w:bCs/>
                <w:color w:val="000000" w:themeColor="text1"/>
                <w:szCs w:val="21"/>
                <w14:textFill>
                  <w14:solidFill>
                    <w14:schemeClr w14:val="tx1"/>
                  </w14:solidFill>
                </w14:textFill>
              </w:rPr>
            </w:pPr>
          </w:p>
          <w:p w14:paraId="6AAD591B">
            <w:pPr>
              <w:spacing w:line="360" w:lineRule="auto"/>
              <w:ind w:firstLine="420" w:firstLineChars="200"/>
              <w:rPr>
                <w:bCs/>
                <w:color w:val="000000" w:themeColor="text1"/>
                <w:szCs w:val="21"/>
                <w14:textFill>
                  <w14:solidFill>
                    <w14:schemeClr w14:val="tx1"/>
                  </w14:solidFill>
                </w14:textFill>
              </w:rPr>
            </w:pPr>
          </w:p>
          <w:p w14:paraId="65247FA9">
            <w:pPr>
              <w:spacing w:line="360" w:lineRule="auto"/>
              <w:ind w:firstLine="420" w:firstLineChars="200"/>
              <w:rPr>
                <w:bCs/>
                <w:color w:val="000000" w:themeColor="text1"/>
                <w:szCs w:val="21"/>
                <w14:textFill>
                  <w14:solidFill>
                    <w14:schemeClr w14:val="tx1"/>
                  </w14:solidFill>
                </w14:textFill>
              </w:rPr>
            </w:pPr>
          </w:p>
          <w:p w14:paraId="342E35D0">
            <w:pPr>
              <w:spacing w:line="360" w:lineRule="auto"/>
              <w:ind w:firstLine="420" w:firstLineChars="200"/>
              <w:rPr>
                <w:bCs/>
                <w:color w:val="000000" w:themeColor="text1"/>
                <w:szCs w:val="21"/>
                <w14:textFill>
                  <w14:solidFill>
                    <w14:schemeClr w14:val="tx1"/>
                  </w14:solidFill>
                </w14:textFill>
              </w:rPr>
            </w:pPr>
          </w:p>
          <w:p w14:paraId="2FFD19C6">
            <w:pPr>
              <w:spacing w:line="360" w:lineRule="auto"/>
              <w:ind w:firstLine="420" w:firstLineChars="200"/>
              <w:rPr>
                <w:bCs/>
                <w:color w:val="000000" w:themeColor="text1"/>
                <w:szCs w:val="21"/>
                <w14:textFill>
                  <w14:solidFill>
                    <w14:schemeClr w14:val="tx1"/>
                  </w14:solidFill>
                </w14:textFill>
              </w:rPr>
            </w:pPr>
          </w:p>
          <w:p w14:paraId="2340B9F3">
            <w:pPr>
              <w:spacing w:line="360" w:lineRule="auto"/>
              <w:ind w:firstLine="420" w:firstLineChars="200"/>
              <w:rPr>
                <w:bCs/>
                <w:color w:val="000000" w:themeColor="text1"/>
                <w:szCs w:val="21"/>
                <w14:textFill>
                  <w14:solidFill>
                    <w14:schemeClr w14:val="tx1"/>
                  </w14:solidFill>
                </w14:textFill>
              </w:rPr>
            </w:pPr>
          </w:p>
          <w:p w14:paraId="454AD58D">
            <w:pPr>
              <w:spacing w:line="360" w:lineRule="auto"/>
              <w:ind w:firstLine="420" w:firstLineChars="200"/>
              <w:rPr>
                <w:bCs/>
                <w:color w:val="000000" w:themeColor="text1"/>
                <w:szCs w:val="21"/>
                <w14:textFill>
                  <w14:solidFill>
                    <w14:schemeClr w14:val="tx1"/>
                  </w14:solidFill>
                </w14:textFill>
              </w:rPr>
            </w:pPr>
          </w:p>
          <w:p w14:paraId="12C2CDF6">
            <w:pPr>
              <w:spacing w:line="360" w:lineRule="auto"/>
              <w:ind w:firstLine="420" w:firstLineChars="200"/>
              <w:rPr>
                <w:bCs/>
                <w:color w:val="000000" w:themeColor="text1"/>
                <w:szCs w:val="21"/>
                <w14:textFill>
                  <w14:solidFill>
                    <w14:schemeClr w14:val="tx1"/>
                  </w14:solidFill>
                </w14:textFill>
              </w:rPr>
            </w:pPr>
          </w:p>
          <w:p w14:paraId="7714C464">
            <w:pPr>
              <w:spacing w:line="360" w:lineRule="auto"/>
              <w:rPr>
                <w:bCs/>
                <w:color w:val="000000" w:themeColor="text1"/>
                <w:szCs w:val="21"/>
                <w14:textFill>
                  <w14:solidFill>
                    <w14:schemeClr w14:val="tx1"/>
                  </w14:solidFill>
                </w14:textFill>
              </w:rPr>
            </w:pPr>
            <w:r>
              <w:rPr>
                <w:b/>
                <w:bCs/>
                <w:color w:val="auto"/>
                <w:sz w:val="24"/>
              </w:rPr>
              <mc:AlternateContent>
                <mc:Choice Requires="wpc">
                  <w:drawing>
                    <wp:inline distT="0" distB="0" distL="114300" distR="114300">
                      <wp:extent cx="5210175" cy="5467985"/>
                      <wp:effectExtent l="0" t="0" r="0" b="0"/>
                      <wp:docPr id="123" name="画布 1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0" name="矩形 60"/>
                              <wps:cNvSpPr/>
                              <wps:spPr>
                                <a:xfrm>
                                  <a:off x="1398270" y="76209"/>
                                  <a:ext cx="1542415" cy="329602"/>
                                </a:xfrm>
                                <a:prstGeom prst="rect">
                                  <a:avLst/>
                                </a:prstGeom>
                                <a:noFill/>
                                <a:ln>
                                  <a:noFill/>
                                </a:ln>
                              </wps:spPr>
                              <wps:txbx>
                                <w:txbxContent>
                                  <w:p w14:paraId="34284D69">
                                    <w:r>
                                      <w:rPr>
                                        <w:rFonts w:hint="eastAsia"/>
                                      </w:rPr>
                                      <w:t>P</w:t>
                                    </w:r>
                                    <w:r>
                                      <w:t>E</w:t>
                                    </w:r>
                                    <w:r>
                                      <w:rPr>
                                        <w:rFonts w:hint="eastAsia"/>
                                      </w:rPr>
                                      <w:t>或PP粒子、色母粒</w:t>
                                    </w:r>
                                  </w:p>
                                </w:txbxContent>
                              </wps:txbx>
                              <wps:bodyPr upright="1"/>
                            </wps:wsp>
                            <wps:wsp>
                              <wps:cNvPr id="63" name="矩形 63"/>
                              <wps:cNvSpPr/>
                              <wps:spPr>
                                <a:xfrm>
                                  <a:off x="1687195" y="2017623"/>
                                  <a:ext cx="772795" cy="33341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EA2AD0">
                                    <w:pPr>
                                      <w:jc w:val="center"/>
                                    </w:pPr>
                                    <w:r>
                                      <w:rPr>
                                        <w:rFonts w:hint="eastAsia"/>
                                      </w:rPr>
                                      <w:t>上料</w:t>
                                    </w:r>
                                  </w:p>
                                </w:txbxContent>
                              </wps:txbx>
                              <wps:bodyPr upright="1"/>
                            </wps:wsp>
                            <wps:wsp>
                              <wps:cNvPr id="79" name="直接箭头连接符 79"/>
                              <wps:cNvCnPr/>
                              <wps:spPr>
                                <a:xfrm>
                                  <a:off x="2478405" y="2177027"/>
                                  <a:ext cx="201930" cy="635"/>
                                </a:xfrm>
                                <a:prstGeom prst="straightConnector1">
                                  <a:avLst/>
                                </a:prstGeom>
                                <a:ln w="9525" cap="flat" cmpd="sng">
                                  <a:solidFill>
                                    <a:srgbClr val="000000"/>
                                  </a:solidFill>
                                  <a:prstDash val="solid"/>
                                  <a:headEnd type="none" w="med" len="med"/>
                                  <a:tailEnd type="triangle" w="med" len="med"/>
                                </a:ln>
                              </wps:spPr>
                              <wps:bodyPr/>
                            </wps:wsp>
                            <wps:wsp>
                              <wps:cNvPr id="80" name="矩形 80"/>
                              <wps:cNvSpPr/>
                              <wps:spPr>
                                <a:xfrm>
                                  <a:off x="1591945" y="2627293"/>
                                  <a:ext cx="946150" cy="32325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7052A6">
                                    <w:pPr>
                                      <w:jc w:val="center"/>
                                      <w:rPr>
                                        <w:rFonts w:hint="eastAsia"/>
                                      </w:rPr>
                                    </w:pPr>
                                    <w:r>
                                      <w:rPr>
                                        <w:rFonts w:hint="eastAsia"/>
                                      </w:rPr>
                                      <w:t>注塑成型</w:t>
                                    </w:r>
                                  </w:p>
                                </w:txbxContent>
                              </wps:txbx>
                              <wps:bodyPr upright="1"/>
                            </wps:wsp>
                            <wps:wsp>
                              <wps:cNvPr id="87" name="直接箭头连接符 87"/>
                              <wps:cNvCnPr/>
                              <wps:spPr>
                                <a:xfrm>
                                  <a:off x="2065020" y="2958165"/>
                                  <a:ext cx="635" cy="427403"/>
                                </a:xfrm>
                                <a:prstGeom prst="straightConnector1">
                                  <a:avLst/>
                                </a:prstGeom>
                                <a:ln w="9525" cap="flat" cmpd="sng">
                                  <a:solidFill>
                                    <a:srgbClr val="000000"/>
                                  </a:solidFill>
                                  <a:prstDash val="solid"/>
                                  <a:headEnd type="none" w="med" len="med"/>
                                  <a:tailEnd type="triangle" w="med" len="med"/>
                                </a:ln>
                              </wps:spPr>
                              <wps:bodyPr/>
                            </wps:wsp>
                            <wps:wsp>
                              <wps:cNvPr id="88" name="直接箭头连接符 88"/>
                              <wps:cNvCnPr/>
                              <wps:spPr>
                                <a:xfrm>
                                  <a:off x="2064385" y="2364373"/>
                                  <a:ext cx="635" cy="266095"/>
                                </a:xfrm>
                                <a:prstGeom prst="straightConnector1">
                                  <a:avLst/>
                                </a:prstGeom>
                                <a:ln w="9525" cap="flat" cmpd="sng">
                                  <a:solidFill>
                                    <a:srgbClr val="000000"/>
                                  </a:solidFill>
                                  <a:prstDash val="solid"/>
                                  <a:headEnd type="none" w="med" len="med"/>
                                  <a:tailEnd type="triangle" w="med" len="med"/>
                                </a:ln>
                              </wps:spPr>
                              <wps:bodyPr/>
                            </wps:wsp>
                            <wps:wsp>
                              <wps:cNvPr id="89" name="矩形 89"/>
                              <wps:cNvSpPr/>
                              <wps:spPr>
                                <a:xfrm>
                                  <a:off x="2665730" y="1345717"/>
                                  <a:ext cx="848995" cy="348654"/>
                                </a:xfrm>
                                <a:prstGeom prst="rect">
                                  <a:avLst/>
                                </a:prstGeom>
                                <a:noFill/>
                                <a:ln>
                                  <a:noFill/>
                                </a:ln>
                              </wps:spPr>
                              <wps:txbx>
                                <w:txbxContent>
                                  <w:p w14:paraId="6EC3A71B">
                                    <w:pPr>
                                      <w:rPr>
                                        <w:rFonts w:hint="eastAsia"/>
                                      </w:rPr>
                                    </w:pPr>
                                    <w:r>
                                      <w:rPr>
                                        <w:rFonts w:hint="eastAsia"/>
                                      </w:rPr>
                                      <w:t>N噪声</w:t>
                                    </w:r>
                                  </w:p>
                                </w:txbxContent>
                              </wps:txbx>
                              <wps:bodyPr upright="1"/>
                            </wps:wsp>
                            <wps:wsp>
                              <wps:cNvPr id="90" name="直接箭头连接符 90"/>
                              <wps:cNvCnPr/>
                              <wps:spPr>
                                <a:xfrm>
                                  <a:off x="2536825" y="2768279"/>
                                  <a:ext cx="280035" cy="635"/>
                                </a:xfrm>
                                <a:prstGeom prst="straightConnector1">
                                  <a:avLst/>
                                </a:prstGeom>
                                <a:ln w="9525" cap="flat" cmpd="sng">
                                  <a:solidFill>
                                    <a:srgbClr val="000000"/>
                                  </a:solidFill>
                                  <a:prstDash val="solid"/>
                                  <a:headEnd type="none" w="med" len="med"/>
                                  <a:tailEnd type="triangle" w="med" len="med"/>
                                </a:ln>
                              </wps:spPr>
                              <wps:bodyPr/>
                            </wps:wsp>
                            <wps:wsp>
                              <wps:cNvPr id="91" name="矩形 91"/>
                              <wps:cNvSpPr/>
                              <wps:spPr>
                                <a:xfrm>
                                  <a:off x="2705100" y="2539018"/>
                                  <a:ext cx="1212850" cy="509963"/>
                                </a:xfrm>
                                <a:prstGeom prst="rect">
                                  <a:avLst/>
                                </a:prstGeom>
                                <a:noFill/>
                                <a:ln>
                                  <a:noFill/>
                                </a:ln>
                              </wps:spPr>
                              <wps:txbx>
                                <w:txbxContent>
                                  <w:p w14:paraId="6F9F44AA">
                                    <w:pPr>
                                      <w:rPr>
                                        <w:rFonts w:hint="eastAsia"/>
                                      </w:rPr>
                                    </w:pPr>
                                    <w:r>
                                      <w:t>G1</w:t>
                                    </w:r>
                                    <w:r>
                                      <w:rPr>
                                        <w:rFonts w:hint="eastAsia"/>
                                      </w:rPr>
                                      <w:t>非甲烷</w:t>
                                    </w:r>
                                    <w:r>
                                      <w:t>总烃</w:t>
                                    </w:r>
                                  </w:p>
                                  <w:p w14:paraId="4D47B8D2">
                                    <w:pPr>
                                      <w:rPr>
                                        <w:rFonts w:hint="eastAsia"/>
                                      </w:rPr>
                                    </w:pPr>
                                    <w:r>
                                      <w:t>N</w:t>
                                    </w:r>
                                    <w:r>
                                      <w:rPr>
                                        <w:rFonts w:hint="eastAsia"/>
                                      </w:rPr>
                                      <w:t>噪声</w:t>
                                    </w:r>
                                  </w:p>
                                </w:txbxContent>
                              </wps:txbx>
                              <wps:bodyPr upright="1"/>
                            </wps:wsp>
                            <wps:wsp>
                              <wps:cNvPr id="92" name="矩形 92"/>
                              <wps:cNvSpPr/>
                              <wps:spPr>
                                <a:xfrm>
                                  <a:off x="1699895" y="3385568"/>
                                  <a:ext cx="729615" cy="2914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61DEB7">
                                    <w:pPr>
                                      <w:jc w:val="center"/>
                                      <w:rPr>
                                        <w:rFonts w:hint="eastAsia"/>
                                      </w:rPr>
                                    </w:pPr>
                                    <w:r>
                                      <w:rPr>
                                        <w:rFonts w:hint="eastAsia"/>
                                      </w:rPr>
                                      <w:t>修边</w:t>
                                    </w:r>
                                  </w:p>
                                </w:txbxContent>
                              </wps:txbx>
                              <wps:bodyPr upright="1"/>
                            </wps:wsp>
                            <wps:wsp>
                              <wps:cNvPr id="93" name="矩形 93"/>
                              <wps:cNvSpPr/>
                              <wps:spPr>
                                <a:xfrm>
                                  <a:off x="2618740" y="3325237"/>
                                  <a:ext cx="988060" cy="513773"/>
                                </a:xfrm>
                                <a:prstGeom prst="rect">
                                  <a:avLst/>
                                </a:prstGeom>
                                <a:noFill/>
                                <a:ln>
                                  <a:noFill/>
                                </a:ln>
                              </wps:spPr>
                              <wps:txbx>
                                <w:txbxContent>
                                  <w:p w14:paraId="563F6D88">
                                    <w:pPr>
                                      <w:rPr>
                                        <w:rFonts w:hint="eastAsia"/>
                                      </w:rPr>
                                    </w:pPr>
                                    <w:r>
                                      <w:t>S</w:t>
                                    </w:r>
                                    <w:r>
                                      <w:rPr>
                                        <w:vertAlign w:val="subscript"/>
                                      </w:rPr>
                                      <w:t>1</w:t>
                                    </w:r>
                                    <w:r>
                                      <w:rPr>
                                        <w:rFonts w:hint="eastAsia"/>
                                      </w:rPr>
                                      <w:t>塑料边角料</w:t>
                                    </w:r>
                                  </w:p>
                                  <w:p w14:paraId="012FDEE3">
                                    <w:r>
                                      <w:rPr>
                                        <w:rFonts w:hint="eastAsia"/>
                                      </w:rPr>
                                      <w:t>N噪声</w:t>
                                    </w:r>
                                  </w:p>
                                </w:txbxContent>
                              </wps:txbx>
                              <wps:bodyPr upright="1"/>
                            </wps:wsp>
                            <wps:wsp>
                              <wps:cNvPr id="94" name="直接箭头连接符 94"/>
                              <wps:cNvCnPr/>
                              <wps:spPr>
                                <a:xfrm>
                                  <a:off x="2438400" y="3515123"/>
                                  <a:ext cx="279400" cy="1270"/>
                                </a:xfrm>
                                <a:prstGeom prst="straightConnector1">
                                  <a:avLst/>
                                </a:prstGeom>
                                <a:ln w="9525" cap="flat" cmpd="sng">
                                  <a:solidFill>
                                    <a:srgbClr val="000000"/>
                                  </a:solidFill>
                                  <a:prstDash val="solid"/>
                                  <a:headEnd type="none" w="med" len="med"/>
                                  <a:tailEnd type="triangle" w="med" len="med"/>
                                </a:ln>
                              </wps:spPr>
                              <wps:bodyPr/>
                            </wps:wsp>
                            <wps:wsp>
                              <wps:cNvPr id="95" name="矩形 95"/>
                              <wps:cNvSpPr/>
                              <wps:spPr>
                                <a:xfrm>
                                  <a:off x="850265" y="4594745"/>
                                  <a:ext cx="517525" cy="266095"/>
                                </a:xfrm>
                                <a:prstGeom prst="rect">
                                  <a:avLst/>
                                </a:prstGeom>
                                <a:noFill/>
                                <a:ln>
                                  <a:noFill/>
                                </a:ln>
                              </wps:spPr>
                              <wps:txbx>
                                <w:txbxContent>
                                  <w:p w14:paraId="01DCA8E7">
                                    <w:r>
                                      <w:rPr>
                                        <w:rFonts w:hint="eastAsia"/>
                                      </w:rPr>
                                      <w:t>配件</w:t>
                                    </w:r>
                                  </w:p>
                                </w:txbxContent>
                              </wps:txbx>
                              <wps:bodyPr upright="1"/>
                            </wps:wsp>
                            <wps:wsp>
                              <wps:cNvPr id="96" name="直接箭头连接符 96"/>
                              <wps:cNvCnPr/>
                              <wps:spPr>
                                <a:xfrm>
                                  <a:off x="514350" y="2780345"/>
                                  <a:ext cx="1080135" cy="1270"/>
                                </a:xfrm>
                                <a:prstGeom prst="straightConnector1">
                                  <a:avLst/>
                                </a:prstGeom>
                                <a:ln w="9525" cap="flat" cmpd="sng">
                                  <a:solidFill>
                                    <a:srgbClr val="000000"/>
                                  </a:solidFill>
                                  <a:prstDash val="solid"/>
                                  <a:headEnd type="none" w="med" len="med"/>
                                  <a:tailEnd type="triangle" w="med" len="med"/>
                                </a:ln>
                              </wps:spPr>
                              <wps:bodyPr/>
                            </wps:wsp>
                            <wps:wsp>
                              <wps:cNvPr id="97" name="矩形 97"/>
                              <wps:cNvSpPr/>
                              <wps:spPr>
                                <a:xfrm>
                                  <a:off x="556260" y="2492022"/>
                                  <a:ext cx="932815" cy="339128"/>
                                </a:xfrm>
                                <a:prstGeom prst="rect">
                                  <a:avLst/>
                                </a:prstGeom>
                                <a:noFill/>
                                <a:ln>
                                  <a:noFill/>
                                </a:ln>
                              </wps:spPr>
                              <wps:txbx>
                                <w:txbxContent>
                                  <w:p w14:paraId="44A4E853">
                                    <w:pPr>
                                      <w:rPr>
                                        <w:rFonts w:hint="eastAsia"/>
                                      </w:rPr>
                                    </w:pPr>
                                    <w:r>
                                      <w:rPr>
                                        <w:rFonts w:hint="eastAsia"/>
                                      </w:rPr>
                                      <w:t>夹套冷却水</w:t>
                                    </w:r>
                                  </w:p>
                                </w:txbxContent>
                              </wps:txbx>
                              <wps:bodyPr upright="1"/>
                            </wps:wsp>
                            <wps:wsp>
                              <wps:cNvPr id="98" name="矩形 98"/>
                              <wps:cNvSpPr/>
                              <wps:spPr>
                                <a:xfrm>
                                  <a:off x="1702435" y="4596016"/>
                                  <a:ext cx="729615" cy="2914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511B40">
                                    <w:pPr>
                                      <w:jc w:val="center"/>
                                      <w:rPr>
                                        <w:rFonts w:hint="eastAsia"/>
                                      </w:rPr>
                                    </w:pPr>
                                    <w:r>
                                      <w:rPr>
                                        <w:rFonts w:hint="eastAsia"/>
                                      </w:rPr>
                                      <w:t>装配</w:t>
                                    </w:r>
                                  </w:p>
                                </w:txbxContent>
                              </wps:txbx>
                              <wps:bodyPr upright="1"/>
                            </wps:wsp>
                            <wps:wsp>
                              <wps:cNvPr id="99" name="直接箭头连接符 99"/>
                              <wps:cNvCnPr/>
                              <wps:spPr>
                                <a:xfrm rot="5400000">
                                  <a:off x="1887855" y="3819323"/>
                                  <a:ext cx="304800" cy="635"/>
                                </a:xfrm>
                                <a:prstGeom prst="straightConnector1">
                                  <a:avLst/>
                                </a:prstGeom>
                                <a:ln w="9525" cap="flat" cmpd="sng">
                                  <a:solidFill>
                                    <a:srgbClr val="000000"/>
                                  </a:solidFill>
                                  <a:prstDash val="solid"/>
                                  <a:headEnd type="none" w="med" len="med"/>
                                  <a:tailEnd type="triangle" w="med" len="med"/>
                                </a:ln>
                              </wps:spPr>
                              <wps:bodyPr/>
                            </wps:wsp>
                            <wps:wsp>
                              <wps:cNvPr id="100" name="直接箭头连接符 100"/>
                              <wps:cNvCnPr/>
                              <wps:spPr>
                                <a:xfrm>
                                  <a:off x="1234440" y="4747798"/>
                                  <a:ext cx="467995" cy="1270"/>
                                </a:xfrm>
                                <a:prstGeom prst="straightConnector1">
                                  <a:avLst/>
                                </a:prstGeom>
                                <a:ln w="9525" cap="flat" cmpd="sng">
                                  <a:solidFill>
                                    <a:srgbClr val="000000"/>
                                  </a:solidFill>
                                  <a:prstDash val="solid"/>
                                  <a:headEnd type="none" w="med" len="med"/>
                                  <a:tailEnd type="triangle" w="med" len="med"/>
                                </a:ln>
                              </wps:spPr>
                              <wps:bodyPr/>
                            </wps:wsp>
                            <wps:wsp>
                              <wps:cNvPr id="101" name="矩形 101"/>
                              <wps:cNvSpPr/>
                              <wps:spPr>
                                <a:xfrm>
                                  <a:off x="1709420" y="5176471"/>
                                  <a:ext cx="729615" cy="291498"/>
                                </a:xfrm>
                                <a:prstGeom prst="rect">
                                  <a:avLst/>
                                </a:prstGeom>
                                <a:noFill/>
                                <a:ln>
                                  <a:noFill/>
                                </a:ln>
                              </wps:spPr>
                              <wps:txbx>
                                <w:txbxContent>
                                  <w:p w14:paraId="227A72A2">
                                    <w:pPr>
                                      <w:jc w:val="center"/>
                                      <w:rPr>
                                        <w:rFonts w:hint="eastAsia"/>
                                      </w:rPr>
                                    </w:pPr>
                                    <w:r>
                                      <w:rPr>
                                        <w:rFonts w:hint="eastAsia"/>
                                      </w:rPr>
                                      <w:t>成品</w:t>
                                    </w:r>
                                  </w:p>
                                </w:txbxContent>
                              </wps:txbx>
                              <wps:bodyPr upright="1"/>
                            </wps:wsp>
                            <wps:wsp>
                              <wps:cNvPr id="102" name="直接箭头连接符 102"/>
                              <wps:cNvCnPr/>
                              <wps:spPr>
                                <a:xfrm>
                                  <a:off x="2067560" y="4895134"/>
                                  <a:ext cx="0" cy="310550"/>
                                </a:xfrm>
                                <a:prstGeom prst="straightConnector1">
                                  <a:avLst/>
                                </a:prstGeom>
                                <a:ln w="9525" cap="flat" cmpd="sng">
                                  <a:solidFill>
                                    <a:srgbClr val="000000"/>
                                  </a:solidFill>
                                  <a:prstDash val="solid"/>
                                  <a:headEnd type="none" w="med" len="med"/>
                                  <a:tailEnd type="triangle" w="med" len="med"/>
                                </a:ln>
                              </wps:spPr>
                              <wps:bodyPr/>
                            </wps:wsp>
                            <wps:wsp>
                              <wps:cNvPr id="103" name="矩形 103"/>
                              <wps:cNvSpPr/>
                              <wps:spPr>
                                <a:xfrm>
                                  <a:off x="1699895" y="3989522"/>
                                  <a:ext cx="729615" cy="2914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ECAC44">
                                    <w:pPr>
                                      <w:jc w:val="center"/>
                                      <w:rPr>
                                        <w:rFonts w:hint="eastAsia"/>
                                      </w:rPr>
                                    </w:pPr>
                                    <w:r>
                                      <w:rPr>
                                        <w:rFonts w:hint="eastAsia"/>
                                      </w:rPr>
                                      <w:t>检验</w:t>
                                    </w:r>
                                  </w:p>
                                </w:txbxContent>
                              </wps:txbx>
                              <wps:bodyPr upright="1"/>
                            </wps:wsp>
                            <wps:wsp>
                              <wps:cNvPr id="104" name="矩形 104"/>
                              <wps:cNvSpPr/>
                              <wps:spPr>
                                <a:xfrm>
                                  <a:off x="2633980" y="3970470"/>
                                  <a:ext cx="1090930" cy="290863"/>
                                </a:xfrm>
                                <a:prstGeom prst="rect">
                                  <a:avLst/>
                                </a:prstGeom>
                                <a:noFill/>
                                <a:ln>
                                  <a:noFill/>
                                </a:ln>
                              </wps:spPr>
                              <wps:txbx>
                                <w:txbxContent>
                                  <w:p w14:paraId="3673AF6E">
                                    <w:pPr>
                                      <w:rPr>
                                        <w:rFonts w:hint="eastAsia"/>
                                      </w:rPr>
                                    </w:pPr>
                                    <w:r>
                                      <w:rPr>
                                        <w:rFonts w:hint="eastAsia"/>
                                      </w:rPr>
                                      <w:t>S</w:t>
                                    </w:r>
                                    <w:r>
                                      <w:rPr>
                                        <w:vertAlign w:val="subscript"/>
                                      </w:rPr>
                                      <w:t>2</w:t>
                                    </w:r>
                                    <w:r>
                                      <w:rPr>
                                        <w:rFonts w:hint="eastAsia"/>
                                      </w:rPr>
                                      <w:t>不合格品</w:t>
                                    </w:r>
                                  </w:p>
                                </w:txbxContent>
                              </wps:txbx>
                              <wps:bodyPr upright="1"/>
                            </wps:wsp>
                            <wps:wsp>
                              <wps:cNvPr id="105" name="直接箭头连接符 105"/>
                              <wps:cNvCnPr/>
                              <wps:spPr>
                                <a:xfrm>
                                  <a:off x="2440940" y="4121617"/>
                                  <a:ext cx="279400" cy="1270"/>
                                </a:xfrm>
                                <a:prstGeom prst="straightConnector1">
                                  <a:avLst/>
                                </a:prstGeom>
                                <a:ln w="9525" cap="flat" cmpd="sng">
                                  <a:solidFill>
                                    <a:srgbClr val="000000"/>
                                  </a:solidFill>
                                  <a:prstDash val="solid"/>
                                  <a:headEnd type="none" w="med" len="med"/>
                                  <a:tailEnd type="triangle" w="med" len="med"/>
                                </a:ln>
                              </wps:spPr>
                              <wps:bodyPr/>
                            </wps:wsp>
                            <wps:wsp>
                              <wps:cNvPr id="106" name="直接箭头连接符 106"/>
                              <wps:cNvCnPr/>
                              <wps:spPr>
                                <a:xfrm>
                                  <a:off x="2070735" y="1662618"/>
                                  <a:ext cx="3175" cy="362626"/>
                                </a:xfrm>
                                <a:prstGeom prst="straightConnector1">
                                  <a:avLst/>
                                </a:prstGeom>
                                <a:ln w="9525" cap="flat" cmpd="sng">
                                  <a:solidFill>
                                    <a:srgbClr val="000000"/>
                                  </a:solidFill>
                                  <a:prstDash val="solid"/>
                                  <a:headEnd type="none" w="med" len="med"/>
                                  <a:tailEnd type="triangle" w="med" len="med"/>
                                </a:ln>
                              </wps:spPr>
                              <wps:bodyPr/>
                            </wps:wsp>
                            <wps:wsp>
                              <wps:cNvPr id="107" name="矩形 107"/>
                              <wps:cNvSpPr/>
                              <wps:spPr>
                                <a:xfrm>
                                  <a:off x="3688715" y="2885440"/>
                                  <a:ext cx="729615"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E939D5">
                                    <w:pPr>
                                      <w:jc w:val="center"/>
                                      <w:rPr>
                                        <w:rFonts w:hint="eastAsia"/>
                                      </w:rPr>
                                    </w:pPr>
                                    <w:r>
                                      <w:rPr>
                                        <w:rFonts w:hint="eastAsia"/>
                                      </w:rPr>
                                      <w:t>粉碎</w:t>
                                    </w:r>
                                  </w:p>
                                </w:txbxContent>
                              </wps:txbx>
                              <wps:bodyPr upright="1"/>
                            </wps:wsp>
                            <wps:wsp>
                              <wps:cNvPr id="109" name="直接箭头连接符 109"/>
                              <wps:cNvCnPr/>
                              <wps:spPr>
                                <a:xfrm>
                                  <a:off x="4422140" y="3016250"/>
                                  <a:ext cx="280035" cy="1270"/>
                                </a:xfrm>
                                <a:prstGeom prst="straightConnector1">
                                  <a:avLst/>
                                </a:prstGeom>
                                <a:ln w="9525" cap="flat" cmpd="sng">
                                  <a:solidFill>
                                    <a:srgbClr val="000000"/>
                                  </a:solidFill>
                                  <a:prstDash val="solid"/>
                                  <a:headEnd type="none" w="med" len="med"/>
                                  <a:tailEnd type="triangle" w="med" len="med"/>
                                </a:ln>
                              </wps:spPr>
                              <wps:bodyPr/>
                            </wps:wsp>
                            <wps:wsp>
                              <wps:cNvPr id="111" name="矩形 111"/>
                              <wps:cNvSpPr/>
                              <wps:spPr>
                                <a:xfrm>
                                  <a:off x="4652010" y="2895600"/>
                                  <a:ext cx="589280" cy="224790"/>
                                </a:xfrm>
                                <a:prstGeom prst="rect">
                                  <a:avLst/>
                                </a:prstGeom>
                                <a:noFill/>
                                <a:ln>
                                  <a:noFill/>
                                </a:ln>
                              </wps:spPr>
                              <wps:txbx>
                                <w:txbxContent>
                                  <w:p w14:paraId="17EFC023">
                                    <w:pPr>
                                      <w:rPr>
                                        <w:rFonts w:hint="eastAsia"/>
                                      </w:rPr>
                                    </w:pPr>
                                    <w:r>
                                      <w:t>N</w:t>
                                    </w:r>
                                    <w:r>
                                      <w:rPr>
                                        <w:rFonts w:hint="eastAsia"/>
                                      </w:rPr>
                                      <w:t>噪声</w:t>
                                    </w:r>
                                  </w:p>
                                </w:txbxContent>
                              </wps:txbx>
                              <wps:bodyPr upright="1"/>
                            </wps:wsp>
                            <wps:wsp>
                              <wps:cNvPr id="112" name="直接箭头连接符 112"/>
                              <wps:cNvCnPr/>
                              <wps:spPr>
                                <a:xfrm>
                                  <a:off x="2067560" y="4291816"/>
                                  <a:ext cx="0" cy="304835"/>
                                </a:xfrm>
                                <a:prstGeom prst="straightConnector1">
                                  <a:avLst/>
                                </a:prstGeom>
                                <a:ln w="9525" cap="flat" cmpd="sng">
                                  <a:solidFill>
                                    <a:srgbClr val="000000"/>
                                  </a:solidFill>
                                  <a:prstDash val="solid"/>
                                  <a:headEnd type="none" w="med" len="med"/>
                                  <a:tailEnd type="triangle" w="med" len="med"/>
                                </a:ln>
                              </wps:spPr>
                              <wps:bodyPr/>
                            </wps:wsp>
                            <wps:wsp>
                              <wps:cNvPr id="113" name="直接箭头连接符 113"/>
                              <wps:cNvCnPr/>
                              <wps:spPr>
                                <a:xfrm>
                                  <a:off x="2063115" y="296579"/>
                                  <a:ext cx="0" cy="355640"/>
                                </a:xfrm>
                                <a:prstGeom prst="straightConnector1">
                                  <a:avLst/>
                                </a:prstGeom>
                                <a:ln w="9525" cap="flat" cmpd="sng">
                                  <a:solidFill>
                                    <a:srgbClr val="000000"/>
                                  </a:solidFill>
                                  <a:prstDash val="solid"/>
                                  <a:headEnd type="none" w="med" len="med"/>
                                  <a:tailEnd type="triangle" w="med" len="med"/>
                                </a:ln>
                              </wps:spPr>
                              <wps:bodyPr/>
                            </wps:wsp>
                            <wps:wsp>
                              <wps:cNvPr id="114" name="矩形 114"/>
                              <wps:cNvSpPr/>
                              <wps:spPr>
                                <a:xfrm>
                                  <a:off x="1695450" y="652219"/>
                                  <a:ext cx="762000" cy="3302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E106EB">
                                    <w:pPr>
                                      <w:jc w:val="center"/>
                                    </w:pPr>
                                    <w:r>
                                      <w:rPr>
                                        <w:rFonts w:hint="eastAsia"/>
                                      </w:rPr>
                                      <w:t>混料</w:t>
                                    </w:r>
                                  </w:p>
                                </w:txbxContent>
                              </wps:txbx>
                              <wps:bodyPr upright="1"/>
                            </wps:wsp>
                            <wps:wsp>
                              <wps:cNvPr id="115" name="直接箭头连接符 115"/>
                              <wps:cNvCnPr/>
                              <wps:spPr>
                                <a:xfrm>
                                  <a:off x="2070735" y="988172"/>
                                  <a:ext cx="0" cy="355640"/>
                                </a:xfrm>
                                <a:prstGeom prst="straightConnector1">
                                  <a:avLst/>
                                </a:prstGeom>
                                <a:ln w="9525" cap="flat" cmpd="sng">
                                  <a:solidFill>
                                    <a:srgbClr val="000000"/>
                                  </a:solidFill>
                                  <a:prstDash val="solid"/>
                                  <a:headEnd type="none" w="med" len="med"/>
                                  <a:tailEnd type="triangle" w="med" len="med"/>
                                </a:ln>
                              </wps:spPr>
                              <wps:bodyPr/>
                            </wps:wsp>
                            <wps:wsp>
                              <wps:cNvPr id="116" name="矩形 116"/>
                              <wps:cNvSpPr/>
                              <wps:spPr>
                                <a:xfrm>
                                  <a:off x="1695450" y="1335556"/>
                                  <a:ext cx="762000" cy="3302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336ED5">
                                    <w:pPr>
                                      <w:jc w:val="center"/>
                                    </w:pPr>
                                    <w:r>
                                      <w:rPr>
                                        <w:rFonts w:hint="eastAsia"/>
                                      </w:rPr>
                                      <w:t>干燥</w:t>
                                    </w:r>
                                  </w:p>
                                </w:txbxContent>
                              </wps:txbx>
                              <wps:bodyPr upright="1"/>
                            </wps:wsp>
                            <wps:wsp>
                              <wps:cNvPr id="117" name="直接箭头连接符 117"/>
                              <wps:cNvCnPr/>
                              <wps:spPr>
                                <a:xfrm>
                                  <a:off x="2470785" y="1494959"/>
                                  <a:ext cx="190500" cy="0"/>
                                </a:xfrm>
                                <a:prstGeom prst="straightConnector1">
                                  <a:avLst/>
                                </a:prstGeom>
                                <a:ln w="9525" cap="flat" cmpd="sng">
                                  <a:solidFill>
                                    <a:srgbClr val="000000"/>
                                  </a:solidFill>
                                  <a:prstDash val="solid"/>
                                  <a:headEnd type="none" w="med" len="med"/>
                                  <a:tailEnd type="triangle" w="med" len="med"/>
                                </a:ln>
                              </wps:spPr>
                              <wps:bodyPr/>
                            </wps:wsp>
                            <wps:wsp>
                              <wps:cNvPr id="118" name="直接箭头连接符 118"/>
                              <wps:cNvCnPr/>
                              <wps:spPr>
                                <a:xfrm>
                                  <a:off x="2478405" y="812892"/>
                                  <a:ext cx="190500" cy="0"/>
                                </a:xfrm>
                                <a:prstGeom prst="straightConnector1">
                                  <a:avLst/>
                                </a:prstGeom>
                                <a:ln w="9525" cap="flat" cmpd="sng">
                                  <a:solidFill>
                                    <a:srgbClr val="000000"/>
                                  </a:solidFill>
                                  <a:prstDash val="solid"/>
                                  <a:headEnd type="none" w="med" len="med"/>
                                  <a:tailEnd type="triangle" w="med" len="med"/>
                                </a:ln>
                              </wps:spPr>
                              <wps:bodyPr/>
                            </wps:wsp>
                            <wps:wsp>
                              <wps:cNvPr id="119" name="矩形 119"/>
                              <wps:cNvSpPr/>
                              <wps:spPr>
                                <a:xfrm>
                                  <a:off x="2625725" y="671271"/>
                                  <a:ext cx="838200" cy="342939"/>
                                </a:xfrm>
                                <a:prstGeom prst="rect">
                                  <a:avLst/>
                                </a:prstGeom>
                                <a:noFill/>
                                <a:ln>
                                  <a:noFill/>
                                </a:ln>
                              </wps:spPr>
                              <wps:txbx>
                                <w:txbxContent>
                                  <w:p w14:paraId="0B7FA7F6">
                                    <w:pPr>
                                      <w:rPr>
                                        <w:rFonts w:hint="eastAsia"/>
                                      </w:rPr>
                                    </w:pPr>
                                    <w:r>
                                      <w:rPr>
                                        <w:rFonts w:hint="eastAsia"/>
                                      </w:rPr>
                                      <w:t>N噪声</w:t>
                                    </w:r>
                                  </w:p>
                                </w:txbxContent>
                              </wps:txbx>
                              <wps:bodyPr upright="1"/>
                            </wps:wsp>
                            <wps:wsp>
                              <wps:cNvPr id="120" name="矩形 120"/>
                              <wps:cNvSpPr/>
                              <wps:spPr>
                                <a:xfrm>
                                  <a:off x="2673985" y="2034135"/>
                                  <a:ext cx="838200" cy="342939"/>
                                </a:xfrm>
                                <a:prstGeom prst="rect">
                                  <a:avLst/>
                                </a:prstGeom>
                                <a:noFill/>
                                <a:ln>
                                  <a:noFill/>
                                </a:ln>
                              </wps:spPr>
                              <wps:txbx>
                                <w:txbxContent>
                                  <w:p w14:paraId="244A0FEC">
                                    <w:pPr>
                                      <w:rPr>
                                        <w:rFonts w:hint="eastAsia"/>
                                      </w:rPr>
                                    </w:pPr>
                                    <w:r>
                                      <w:rPr>
                                        <w:rFonts w:hint="eastAsia"/>
                                      </w:rPr>
                                      <w:t>N噪声</w:t>
                                    </w:r>
                                  </w:p>
                                </w:txbxContent>
                              </wps:txbx>
                              <wps:bodyPr upright="1"/>
                            </wps:wsp>
                            <wps:wsp>
                              <wps:cNvPr id="121" name="任意多边形 121"/>
                              <wps:cNvSpPr/>
                              <wps:spPr>
                                <a:xfrm>
                                  <a:off x="1118235" y="2793681"/>
                                  <a:ext cx="730250" cy="372787"/>
                                </a:xfrm>
                                <a:custGeom>
                                  <a:avLst/>
                                  <a:gdLst/>
                                  <a:ahLst/>
                                  <a:cxnLst/>
                                  <a:pathLst>
                                    <a:path w="1150" h="587">
                                      <a:moveTo>
                                        <a:pt x="1150" y="250"/>
                                      </a:moveTo>
                                      <a:lnTo>
                                        <a:pt x="1138" y="587"/>
                                      </a:lnTo>
                                      <a:lnTo>
                                        <a:pt x="0" y="587"/>
                                      </a:lnTo>
                                      <a:lnTo>
                                        <a:pt x="0" y="0"/>
                                      </a:lnTo>
                                    </a:path>
                                  </a:pathLst>
                                </a:custGeom>
                                <a:noFill/>
                                <a:ln w="9525" cap="flat" cmpd="sng">
                                  <a:solidFill>
                                    <a:srgbClr val="000000"/>
                                  </a:solidFill>
                                  <a:prstDash val="solid"/>
                                  <a:headEnd type="none" w="med" len="med"/>
                                  <a:tailEnd type="triangle" w="med" len="med"/>
                                </a:ln>
                              </wps:spPr>
                              <wps:bodyPr upright="1"/>
                            </wps:wsp>
                            <wps:wsp>
                              <wps:cNvPr id="126" name="任意多边形 126"/>
                              <wps:cNvSpPr/>
                              <wps:spPr>
                                <a:xfrm>
                                  <a:off x="3526790" y="3212465"/>
                                  <a:ext cx="508000" cy="897255"/>
                                </a:xfrm>
                                <a:custGeom>
                                  <a:avLst/>
                                  <a:gdLst>
                                    <a:gd name="connisteX0" fmla="*/ 0 w 714375"/>
                                    <a:gd name="connsiteY0" fmla="*/ 897255 h 897255"/>
                                    <a:gd name="connisteX1" fmla="*/ 714375 w 714375"/>
                                    <a:gd name="connsiteY1" fmla="*/ 897255 h 897255"/>
                                    <a:gd name="connisteX2" fmla="*/ 714375 w 714375"/>
                                    <a:gd name="connsiteY2" fmla="*/ 0 h 897255"/>
                                  </a:gdLst>
                                  <a:ahLst/>
                                  <a:cxnLst>
                                    <a:cxn ang="0">
                                      <a:pos x="connisteX0" y="connsiteY0"/>
                                    </a:cxn>
                                    <a:cxn ang="0">
                                      <a:pos x="connisteX1" y="connsiteY1"/>
                                    </a:cxn>
                                    <a:cxn ang="0">
                                      <a:pos x="connisteX2" y="connsiteY2"/>
                                    </a:cxn>
                                  </a:cxnLst>
                                  <a:rect l="l" t="t" r="r" b="b"/>
                                  <a:pathLst>
                                    <a:path w="714375" h="897255">
                                      <a:moveTo>
                                        <a:pt x="0" y="897255"/>
                                      </a:moveTo>
                                      <a:lnTo>
                                        <a:pt x="714375" y="897255"/>
                                      </a:lnTo>
                                      <a:lnTo>
                                        <a:pt x="714375" y="0"/>
                                      </a:lnTo>
                                    </a:path>
                                  </a:pathLst>
                                </a:custGeom>
                                <a:noFill/>
                                <a:ln w="6350">
                                  <a:solidFill>
                                    <a:schemeClr val="tx1"/>
                                  </a:solidFill>
                                  <a:tailEnd type="triangle"/>
                                </a:ln>
                              </wps:spPr>
                              <wps:style>
                                <a:lnRef idx="2">
                                  <a:schemeClr val="accent1">
                                    <a:lumMod val="75000"/>
                                  </a:schemeClr>
                                </a:lnRef>
                                <a:fillRef idx="1">
                                  <a:schemeClr val="accent1"/>
                                </a:fillRef>
                                <a:effectRef idx="0">
                                  <a:srgbClr val="FFFFFF"/>
                                </a:effectRef>
                                <a:fontRef idx="minor">
                                  <a:schemeClr val="lt1"/>
                                </a:fontRef>
                              </wps:style>
                              <wps:bodyPr/>
                            </wps:wsp>
                            <wps:wsp>
                              <wps:cNvPr id="127" name="直接箭头连接符 127"/>
                              <wps:cNvCnPr/>
                              <wps:spPr>
                                <a:xfrm>
                                  <a:off x="3535045" y="3434715"/>
                                  <a:ext cx="467995" cy="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29" name="任意多边形 129"/>
                              <wps:cNvSpPr/>
                              <wps:spPr>
                                <a:xfrm>
                                  <a:off x="2249170" y="1728470"/>
                                  <a:ext cx="1778000" cy="1150620"/>
                                </a:xfrm>
                                <a:custGeom>
                                  <a:avLst/>
                                  <a:gdLst>
                                    <a:gd name="connisteX0" fmla="*/ 1778000 w 1778000"/>
                                    <a:gd name="connsiteY0" fmla="*/ 1150620 h 1150620"/>
                                    <a:gd name="connisteX1" fmla="*/ 1778000 w 1778000"/>
                                    <a:gd name="connsiteY1" fmla="*/ 0 h 1150620"/>
                                    <a:gd name="connisteX2" fmla="*/ 0 w 1778000"/>
                                    <a:gd name="connsiteY2" fmla="*/ 0 h 1150620"/>
                                    <a:gd name="connisteX3" fmla="*/ 0 w 1778000"/>
                                    <a:gd name="connsiteY3" fmla="*/ 269875 h 1150620"/>
                                  </a:gdLst>
                                  <a:ahLst/>
                                  <a:cxnLst>
                                    <a:cxn ang="0">
                                      <a:pos x="connisteX0" y="connsiteY0"/>
                                    </a:cxn>
                                    <a:cxn ang="0">
                                      <a:pos x="connisteX1" y="connsiteY1"/>
                                    </a:cxn>
                                    <a:cxn ang="0">
                                      <a:pos x="connisteX2" y="connsiteY2"/>
                                    </a:cxn>
                                    <a:cxn ang="0">
                                      <a:pos x="connisteX3" y="connsiteY3"/>
                                    </a:cxn>
                                  </a:cxnLst>
                                  <a:rect l="l" t="t" r="r" b="b"/>
                                  <a:pathLst>
                                    <a:path w="1778000" h="1150620">
                                      <a:moveTo>
                                        <a:pt x="1778000" y="1150620"/>
                                      </a:moveTo>
                                      <a:lnTo>
                                        <a:pt x="1778000" y="0"/>
                                      </a:lnTo>
                                      <a:lnTo>
                                        <a:pt x="0" y="0"/>
                                      </a:lnTo>
                                      <a:lnTo>
                                        <a:pt x="0" y="269875"/>
                                      </a:lnTo>
                                    </a:path>
                                  </a:pathLst>
                                </a:custGeom>
                                <a:noFill/>
                                <a:ln w="6350">
                                  <a:solidFill>
                                    <a:schemeClr val="tx1"/>
                                  </a:solidFill>
                                  <a:tailEnd type="triangle"/>
                                </a:ln>
                              </wps:spPr>
                              <wps:style>
                                <a:lnRef idx="2">
                                  <a:schemeClr val="accent1">
                                    <a:lumMod val="75000"/>
                                  </a:schemeClr>
                                </a:lnRef>
                                <a:fillRef idx="1">
                                  <a:schemeClr val="accent1"/>
                                </a:fillRef>
                                <a:effectRef idx="0">
                                  <a:srgbClr val="FFFFFF"/>
                                </a:effectRef>
                                <a:fontRef idx="minor">
                                  <a:schemeClr val="lt1"/>
                                </a:fontRef>
                              </wps:style>
                              <wps:bodyPr/>
                            </wps:wsp>
                          </wpc:wpc>
                        </a:graphicData>
                      </a:graphic>
                    </wp:inline>
                  </w:drawing>
                </mc:Choice>
                <mc:Fallback>
                  <w:pict>
                    <v:group id="_x0000_s1026" o:spid="_x0000_s1026" o:spt="203" style="height:430.55pt;width:410.25pt;" coordsize="5210175,5467985" editas="canvas"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">
                      <o:lock v:ext="edit" aspectratio="f"/>
                      <v:shape id="_x0000_s1026" o:spid="_x0000_s1026" style="position:absolute;left:0;top:0;height:5467985;width:5210175;"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&#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">
                        <v:fill on="f" focussize="0,0"/>
                        <v:stroke on="f"/>
                        <v:imagedata o:title=""/>
                        <o:lock v:ext="edit" aspectratio="t"/>
                      </v:shape>
                      <v:rect id="_x0000_s1026" o:spid="_x0000_s1026" o:spt="1" style="position:absolute;left:1398270;top:76209;height:329602;width:1542415;"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Mu07NYA&#10;AAAFAQAADwAAAAAAAAABACAAAAAiAAAAZHJzL2Rvd25yZXYueG1sUEsBAhQAFAAAAAgAh07iQAUS&#10;tEavAQAATQMAAA4AAAAAAAAAAQAgAAAAJQEAAGRycy9lMm9Eb2MueG1sUEsFBgAAAAAGAAYAWQEA&#10;AEYFAAAAAA==&#10;">
                        <v:fill on="f" focussize="0,0"/>
                        <v:stroke on="f"/>
                        <v:imagedata o:title=""/>
                        <o:lock v:ext="edit" aspectratio="f"/>
                        <v:textbox>
                          <w:txbxContent>
                            <w:p w14:paraId="34284D69">
                              <w:r>
                                <w:rPr>
                                  <w:rFonts w:hint="eastAsia"/>
                                </w:rPr>
                                <w:t>P</w:t>
                              </w:r>
                              <w:r>
                                <w:t>E</w:t>
                              </w:r>
                              <w:r>
                                <w:rPr>
                                  <w:rFonts w:hint="eastAsia"/>
                                </w:rPr>
                                <w:t>或PP粒子、色母粒</w:t>
                              </w:r>
                            </w:p>
                          </w:txbxContent>
                        </v:textbox>
                      </v:rect>
                      <v:rect id="_x0000_s1026" o:spid="_x0000_s1026" o:spt="1" style="position:absolute;left:1687195;top:2017623;height:333413;width:772795;" fillcolor="#FFFFFF" filled="t" stroked="t" coordsize="21600,21600" o:gfxdata="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GrrjnUAAAABQEAAA8AAAAAAAAAAQAgAAAA&#10;IgAAAGRycy9kb3ducmV2LnhtbFBLAQIUABQAAAAIAIdO4kBCnT26DwIAADYEAAAOAAAAAAAAAAEA&#10;IAAAACMBAABkcnMvZTJvRG9jLnhtbFBLBQYAAAAABgAGAFkBAACkBQAAAAA=&#10;">
                        <v:fill on="t" focussize="0,0"/>
                        <v:stroke color="#000000" joinstyle="miter"/>
                        <v:imagedata o:title=""/>
                        <o:lock v:ext="edit" aspectratio="f"/>
                        <v:textbox>
                          <w:txbxContent>
                            <w:p w14:paraId="0CEA2AD0">
                              <w:pPr>
                                <w:jc w:val="center"/>
                              </w:pPr>
                              <w:r>
                                <w:rPr>
                                  <w:rFonts w:hint="eastAsia"/>
                                </w:rPr>
                                <w:t>上料</w:t>
                              </w:r>
                            </w:p>
                          </w:txbxContent>
                        </v:textbox>
                      </v:rect>
                      <v:shape id="_x0000_s1026" o:spid="_x0000_s1026" o:spt="32" type="#_x0000_t32" style="position:absolute;left:2478405;top:2177027;height:635;width:201930;"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XU4nVAAAABQEAAA8AAAAAAAAA&#10;AQAgAAAAIgAAAGRycy9kb3ducmV2LnhtbFBLAQIUABQAAAAIAIdO4kDV9xhnFAIAAP8DAAAOAAAA&#10;AAAAAAEAIAAAACQBAABkcnMvZTJvRG9jLnhtbFBLBQYAAAAABgAGAFkBAACqBQAAAAA=&#10;">
                        <v:fill on="f" focussize="0,0"/>
                        <v:stroke color="#000000" joinstyle="round" endarrow="block"/>
                        <v:imagedata o:title=""/>
                        <o:lock v:ext="edit" aspectratio="f"/>
                      </v:shape>
                      <v:rect id="_x0000_s1026" o:spid="_x0000_s1026" o:spt="1" style="position:absolute;left:1591945;top:2627293;height:323252;width:946150;" fillcolor="#FFFFFF" filled="t" stroked="t" coordsize="21600,21600" o:gfxdata="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auuOdQAAAAFAQAADwAAAAAAAAABACAAAAAi&#10;AAAAZHJzL2Rvd25yZXYueG1sUEsBAhQAFAAAAAgAh07iQAHeuYUOAgAANgQAAA4AAAAAAAAAAQAg&#10;AAAAIwEAAGRycy9lMm9Eb2MueG1sUEsFBgAAAAAGAAYAWQEAAKMFAAAAAA==&#10;">
                        <v:fill on="t" focussize="0,0"/>
                        <v:stroke color="#000000" joinstyle="miter"/>
                        <v:imagedata o:title=""/>
                        <o:lock v:ext="edit" aspectratio="f"/>
                        <v:textbox>
                          <w:txbxContent>
                            <w:p w14:paraId="637052A6">
                              <w:pPr>
                                <w:jc w:val="center"/>
                                <w:rPr>
                                  <w:rFonts w:hint="eastAsia"/>
                                </w:rPr>
                              </w:pPr>
                              <w:r>
                                <w:rPr>
                                  <w:rFonts w:hint="eastAsia"/>
                                </w:rPr>
                                <w:t>注塑成型</w:t>
                              </w:r>
                            </w:p>
                          </w:txbxContent>
                        </v:textbox>
                      </v:rect>
                      <v:shape id="_x0000_s1026" o:spid="_x0000_s1026" o:spt="32" type="#_x0000_t32" style="position:absolute;left:2065020;top:2958165;height:427403;width:635;"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XU4nVAAAABQEAAA8AAAAAAAAA&#10;AQAgAAAAIgAAAGRycy9kb3ducmV2LnhtbFBLAQIUABQAAAAIAIdO4kAxRpp6FAIAAP8DAAAOAAAA&#10;AAAAAAEAIAAAACQBAABkcnMvZTJvRG9jLnhtbFBLBQYAAAAABgAGAFkBAACqBQAAAAA=&#10;">
                        <v:fill on="f" focussize="0,0"/>
                        <v:stroke color="#000000" joinstyle="round" endarrow="block"/>
                        <v:imagedata o:title=""/>
                        <o:lock v:ext="edit" aspectratio="f"/>
                      </v:shape>
                      <v:shape id="_x0000_s1026" o:spid="_x0000_s1026" o:spt="32" type="#_x0000_t32" style="position:absolute;left:2064385;top:2364373;height:266095;width:635;"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PXU4nVAAAABQEAAA8AAAAAAAAAAQAg&#10;AAAAIgAAAGRycy9kb3ducmV2LnhtbFBLAQIUABQAAAAIAIdO4kBm8xakEQIAAP8DAAAOAAAAAAAA&#10;AAEAIAAAACQBAABkcnMvZTJvRG9jLnhtbFBLBQYAAAAABgAGAFkBAACnBQAAAAA=&#10;">
                        <v:fill on="f" focussize="0,0"/>
                        <v:stroke color="#000000" joinstyle="round" endarrow="block"/>
                        <v:imagedata o:title=""/>
                        <o:lock v:ext="edit" aspectratio="f"/>
                      </v:shape>
                      <v:rect id="_x0000_s1026" o:spid="_x0000_s1026" o:spt="1" style="position:absolute;left:2665730;top:1345717;height:348654;width:848995;"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0y7Ts&#10;1gAAAAUBAAAPAAAAAAAAAAEAIAAAACIAAABkcnMvZG93bnJldi54bWxQSwECFAAUAAAACACHTuJA&#10;XoxHN7EBAABOAwAADgAAAAAAAAABACAAAAAlAQAAZHJzL2Uyb0RvYy54bWxQSwUGAAAAAAYABgBZ&#10;AQAASAUAAAAA&#10;">
                        <v:fill on="f" focussize="0,0"/>
                        <v:stroke on="f"/>
                        <v:imagedata o:title=""/>
                        <o:lock v:ext="edit" aspectratio="f"/>
                        <v:textbox>
                          <w:txbxContent>
                            <w:p w14:paraId="6EC3A71B">
                              <w:pPr>
                                <w:rPr>
                                  <w:rFonts w:hint="eastAsia"/>
                                </w:rPr>
                              </w:pPr>
                              <w:r>
                                <w:rPr>
                                  <w:rFonts w:hint="eastAsia"/>
                                </w:rPr>
                                <w:t>N噪声</w:t>
                              </w:r>
                            </w:p>
                          </w:txbxContent>
                        </v:textbox>
                      </v:rect>
                      <v:shape id="_x0000_s1026" o:spid="_x0000_s1026" o:spt="32" type="#_x0000_t32" style="position:absolute;left:2536825;top:2768279;height:635;width:280035;"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9dTidUAAAAFAQAADwAAAAAAAAABACAA&#10;AAAiAAAAZHJzL2Rvd25yZXYueG1sUEsBAhQAFAAAAAgAh07iQH1p5QsQAgAA/wMAAA4AAAAAAAAA&#10;AQAgAAAAJAEAAGRycy9lMm9Eb2MueG1sUEsFBgAAAAAGAAYAWQEAAKYFAAAAAA==&#10;">
                        <v:fill on="f" focussize="0,0"/>
                        <v:stroke color="#000000" joinstyle="round" endarrow="block"/>
                        <v:imagedata o:title=""/>
                        <o:lock v:ext="edit" aspectratio="f"/>
                      </v:shape>
                      <v:rect id="_x0000_s1026" o:spid="_x0000_s1026" o:spt="1" style="position:absolute;left:2705100;top:2539018;height:509963;width:1212850;"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Mu07NYA&#10;AAAFAQAADwAAAAAAAAABACAAAAAiAAAAZHJzL2Rvd25yZXYueG1sUEsBAhQAFAAAAAgAh07iQLFo&#10;bs+vAQAATwMAAA4AAAAAAAAAAQAgAAAAJQEAAGRycy9lMm9Eb2MueG1sUEsFBgAAAAAGAAYAWQEA&#10;AEYFAAAAAA==&#10;">
                        <v:fill on="f" focussize="0,0"/>
                        <v:stroke on="f"/>
                        <v:imagedata o:title=""/>
                        <o:lock v:ext="edit" aspectratio="f"/>
                        <v:textbox>
                          <w:txbxContent>
                            <w:p w14:paraId="6F9F44AA">
                              <w:pPr>
                                <w:rPr>
                                  <w:rFonts w:hint="eastAsia"/>
                                </w:rPr>
                              </w:pPr>
                              <w:r>
                                <w:t>G1</w:t>
                              </w:r>
                              <w:r>
                                <w:rPr>
                                  <w:rFonts w:hint="eastAsia"/>
                                </w:rPr>
                                <w:t>非甲烷</w:t>
                              </w:r>
                              <w:r>
                                <w:t>总烃</w:t>
                              </w:r>
                            </w:p>
                            <w:p w14:paraId="4D47B8D2">
                              <w:pPr>
                                <w:rPr>
                                  <w:rFonts w:hint="eastAsia"/>
                                </w:rPr>
                              </w:pPr>
                              <w:r>
                                <w:t>N</w:t>
                              </w:r>
                              <w:r>
                                <w:rPr>
                                  <w:rFonts w:hint="eastAsia"/>
                                </w:rPr>
                                <w:t>噪声</w:t>
                              </w:r>
                            </w:p>
                          </w:txbxContent>
                        </v:textbox>
                      </v:rect>
                      <v:rect id="_x0000_s1026" o:spid="_x0000_s1026" o:spt="1" style="position:absolute;left:1699895;top:3385568;height:291498;width:729615;" fillcolor="#FFFFFF" filled="t" stroked="t" coordsize="21600,21600" o:gfxdata="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GrrjnUAAAABQEAAA8AAAAAAAAAAQAgAAAA&#10;IgAAAGRycy9kb3ducmV2LnhtbFBLAQIUABQAAAAIAIdO4kCa9IFGDwIAADYEAAAOAAAAAAAAAAEA&#10;IAAAACMBAABkcnMvZTJvRG9jLnhtbFBLBQYAAAAABgAGAFkBAACkBQAAAAA=&#10;">
                        <v:fill on="t" focussize="0,0"/>
                        <v:stroke color="#000000" joinstyle="miter"/>
                        <v:imagedata o:title=""/>
                        <o:lock v:ext="edit" aspectratio="f"/>
                        <v:textbox>
                          <w:txbxContent>
                            <w:p w14:paraId="5B61DEB7">
                              <w:pPr>
                                <w:jc w:val="center"/>
                                <w:rPr>
                                  <w:rFonts w:hint="eastAsia"/>
                                </w:rPr>
                              </w:pPr>
                              <w:r>
                                <w:rPr>
                                  <w:rFonts w:hint="eastAsia"/>
                                </w:rPr>
                                <w:t>修边</w:t>
                              </w:r>
                            </w:p>
                          </w:txbxContent>
                        </v:textbox>
                      </v:rect>
                      <v:rect id="_x0000_s1026" o:spid="_x0000_s1026" o:spt="1" style="position:absolute;left:2618740;top:3325237;height:513773;width:988060;"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0y7Ts&#10;1gAAAAUBAAAPAAAAAAAAAAEAIAAAACIAAABkcnMvZG93bnJldi54bWxQSwECFAAUAAAACACHTuJA&#10;BZUW87EBAABOAwAADgAAAAAAAAABACAAAAAlAQAAZHJzL2Uyb0RvYy54bWxQSwUGAAAAAAYABgBZ&#10;AQAASAUAAAAA&#10;">
                        <v:fill on="f" focussize="0,0"/>
                        <v:stroke on="f"/>
                        <v:imagedata o:title=""/>
                        <o:lock v:ext="edit" aspectratio="f"/>
                        <v:textbox>
                          <w:txbxContent>
                            <w:p w14:paraId="563F6D88">
                              <w:pPr>
                                <w:rPr>
                                  <w:rFonts w:hint="eastAsia"/>
                                </w:rPr>
                              </w:pPr>
                              <w:r>
                                <w:t>S</w:t>
                              </w:r>
                              <w:r>
                                <w:rPr>
                                  <w:vertAlign w:val="subscript"/>
                                </w:rPr>
                                <w:t>1</w:t>
                              </w:r>
                              <w:r>
                                <w:rPr>
                                  <w:rFonts w:hint="eastAsia"/>
                                </w:rPr>
                                <w:t>塑料边角料</w:t>
                              </w:r>
                            </w:p>
                            <w:p w14:paraId="012FDEE3">
                              <w:r>
                                <w:rPr>
                                  <w:rFonts w:hint="eastAsia"/>
                                </w:rPr>
                                <w:t>N噪声</w:t>
                              </w:r>
                            </w:p>
                          </w:txbxContent>
                        </v:textbox>
                      </v:rect>
                      <v:shape id="_x0000_s1026" o:spid="_x0000_s1026" o:spt="32" type="#_x0000_t32" style="position:absolute;left:2438400;top:3515123;height:1270;width:279400;"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11OJ1QAAAAUBAAAPAAAAAAAA&#10;AAEAIAAAACIAAABkcnMvZG93bnJldi54bWxQSwECFAAUAAAACACHTuJA6FcZsRUCAAAABAAADgAA&#10;AAAAAAABACAAAAAkAQAAZHJzL2Uyb0RvYy54bWxQSwUGAAAAAAYABgBZAQAAqwUAAAAA&#10;">
                        <v:fill on="f" focussize="0,0"/>
                        <v:stroke color="#000000" joinstyle="round" endarrow="block"/>
                        <v:imagedata o:title=""/>
                        <o:lock v:ext="edit" aspectratio="f"/>
                      </v:shape>
                      <v:rect id="_x0000_s1026" o:spid="_x0000_s1026" o:spt="1" style="position:absolute;left:850265;top:4594745;height:266095;width:517525;"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0y7Ts1gAA&#10;AAUBAAAPAAAAAAAAAAEAIAAAACIAAABkcnMvZG93bnJldi54bWxQSwECFAAUAAAACACHTuJALW2W&#10;ja4BAABNAwAADgAAAAAAAAABACAAAAAlAQAAZHJzL2Uyb0RvYy54bWxQSwUGAAAAAAYABgBZAQAA&#10;RQUAAAAA&#10;">
                        <v:fill on="f" focussize="0,0"/>
                        <v:stroke on="f"/>
                        <v:imagedata o:title=""/>
                        <o:lock v:ext="edit" aspectratio="f"/>
                        <v:textbox>
                          <w:txbxContent>
                            <w:p w14:paraId="01DCA8E7">
                              <w:r>
                                <w:rPr>
                                  <w:rFonts w:hint="eastAsia"/>
                                </w:rPr>
                                <w:t>配件</w:t>
                              </w:r>
                            </w:p>
                          </w:txbxContent>
                        </v:textbox>
                      </v:rect>
                      <v:shape id="_x0000_s1026" o:spid="_x0000_s1026" o:spt="32" type="#_x0000_t32" style="position:absolute;left:514350;top:2780345;height:1270;width:1080135;"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PXU4nVAAAABQEAAA8AAAAA&#10;AAAAAQAgAAAAIgAAAGRycy9kb3ducmV2LnhtbFBLAQIUABQAAAAIAIdO4kBBnevXFwIAAAAEAAAO&#10;AAAAAAAAAAEAIAAAACQBAABkcnMvZTJvRG9jLnhtbFBLBQYAAAAABgAGAFkBAACtBQAAAAA=&#10;">
                        <v:fill on="f" focussize="0,0"/>
                        <v:stroke color="#000000" joinstyle="round" endarrow="block"/>
                        <v:imagedata o:title=""/>
                        <o:lock v:ext="edit" aspectratio="f"/>
                      </v:shape>
                      <v:rect id="_x0000_s1026" o:spid="_x0000_s1026" o:spt="1" style="position:absolute;left:556260;top:2492022;height:339128;width:932815;"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Mu07NYA&#10;AAAFAQAADwAAAAAAAAABACAAAAAiAAAAZHJzL2Rvd25yZXYueG1sUEsBAhQAFAAAAAgAh07iQFin&#10;fyavAQAATQMAAA4AAAAAAAAAAQAgAAAAJQEAAGRycy9lMm9Eb2MueG1sUEsFBgAAAAAGAAYAWQEA&#10;AEYFAAAAAA==&#10;">
                        <v:fill on="f" focussize="0,0"/>
                        <v:stroke on="f"/>
                        <v:imagedata o:title=""/>
                        <o:lock v:ext="edit" aspectratio="f"/>
                        <v:textbox>
                          <w:txbxContent>
                            <w:p w14:paraId="44A4E853">
                              <w:pPr>
                                <w:rPr>
                                  <w:rFonts w:hint="eastAsia"/>
                                </w:rPr>
                              </w:pPr>
                              <w:r>
                                <w:rPr>
                                  <w:rFonts w:hint="eastAsia"/>
                                </w:rPr>
                                <w:t>夹套冷却水</w:t>
                              </w:r>
                            </w:p>
                          </w:txbxContent>
                        </v:textbox>
                      </v:rect>
                      <v:rect id="_x0000_s1026" o:spid="_x0000_s1026" o:spt="1" style="position:absolute;left:1702435;top:4596016;height:291498;width:729615;" fillcolor="#FFFFFF" filled="t" stroked="t" coordsize="21600,21600" o:gfxdata="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q6451AAAAAUBAAAPAAAAAAAAAAEAIAAAACIA&#10;AABkcnMvZG93bnJldi54bWxQSwECFAAUAAAACACHTuJApndJlw0CAAA2BAAADgAAAAAAAAABACAA&#10;AAAjAQAAZHJzL2Uyb0RvYy54bWxQSwUGAAAAAAYABgBZAQAAogUAAAAA&#10;">
                        <v:fill on="t" focussize="0,0"/>
                        <v:stroke color="#000000" joinstyle="miter"/>
                        <v:imagedata o:title=""/>
                        <o:lock v:ext="edit" aspectratio="f"/>
                        <v:textbox>
                          <w:txbxContent>
                            <w:p w14:paraId="55511B40">
                              <w:pPr>
                                <w:jc w:val="center"/>
                                <w:rPr>
                                  <w:rFonts w:hint="eastAsia"/>
                                </w:rPr>
                              </w:pPr>
                              <w:r>
                                <w:rPr>
                                  <w:rFonts w:hint="eastAsia"/>
                                </w:rPr>
                                <w:t>装配</w:t>
                              </w:r>
                            </w:p>
                          </w:txbxContent>
                        </v:textbox>
                      </v:rect>
                      <v:shape id="_x0000_s1026" o:spid="_x0000_s1026" o:spt="32" type="#_x0000_t32" style="position:absolute;left:1887855;top:3819323;height:635;width:304800;rotation:5898240f;" filled="f" stroked="t" coordsize="21600,21600" o:gfxdata="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IBfvdYAAAAF&#10;AQAADwAAAAAAAAABACAAAAAiAAAAZHJzL2Rvd25yZXYueG1sUEsBAhQAFAAAAAgAh07iQHQIyW0e&#10;AgAADQQAAA4AAAAAAAAAAQAgAAAAJQEAAGRycy9lMm9Eb2MueG1sUEsFBgAAAAAGAAYAWQEAALUF&#10;AAAAAA==&#10;">
                        <v:fill on="f" focussize="0,0"/>
                        <v:stroke color="#000000" joinstyle="round" endarrow="block"/>
                        <v:imagedata o:title=""/>
                        <o:lock v:ext="edit" aspectratio="f"/>
                      </v:shape>
                      <v:shape id="_x0000_s1026" o:spid="_x0000_s1026" o:spt="32" type="#_x0000_t32" style="position:absolute;left:1234440;top:4747798;height:1270;width:467995;"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9dTidUAAAAFAQAADwAAAAAA&#10;AAABACAAAAAiAAAAZHJzL2Rvd25yZXYueG1sUEsBAhQAFAAAAAgAh07iQES5eBYWAgAAAgQAAA4A&#10;AAAAAAAAAQAgAAAAJAEAAGRycy9lMm9Eb2MueG1sUEsFBgAAAAAGAAYAWQEAAKwFAAAAAA==&#10;">
                        <v:fill on="f" focussize="0,0"/>
                        <v:stroke color="#000000" joinstyle="round" endarrow="block"/>
                        <v:imagedata o:title=""/>
                        <o:lock v:ext="edit" aspectratio="f"/>
                      </v:shape>
                      <v:rect id="_x0000_s1026" o:spid="_x0000_s1026" o:spt="1" style="position:absolute;left:1709420;top:5176471;height:291498;width:729615;"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Mu0&#10;7NYAAAAFAQAADwAAAAAAAAABACAAAAAiAAAAZHJzL2Rvd25yZXYueG1sUEsBAhQAFAAAAAgAh07i&#10;QB7/0gWyAQAAUAMAAA4AAAAAAAAAAQAgAAAAJQEAAGRycy9lMm9Eb2MueG1sUEsFBgAAAAAGAAYA&#10;WQEAAEkFAAAAAA==&#10;">
                        <v:fill on="f" focussize="0,0"/>
                        <v:stroke on="f"/>
                        <v:imagedata o:title=""/>
                        <o:lock v:ext="edit" aspectratio="f"/>
                        <v:textbox>
                          <w:txbxContent>
                            <w:p w14:paraId="227A72A2">
                              <w:pPr>
                                <w:jc w:val="center"/>
                                <w:rPr>
                                  <w:rFonts w:hint="eastAsia"/>
                                </w:rPr>
                              </w:pPr>
                              <w:r>
                                <w:rPr>
                                  <w:rFonts w:hint="eastAsia"/>
                                </w:rPr>
                                <w:t>成品</w:t>
                              </w:r>
                            </w:p>
                          </w:txbxContent>
                        </v:textbox>
                      </v:rect>
                      <v:shape id="_x0000_s1026" o:spid="_x0000_s1026" o:spt="32" type="#_x0000_t32" style="position:absolute;left:2067560;top:4895134;height:310550;width:0;"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9dTidUAAAAFAQAADwAAAAAA&#10;AAABACAAAAAiAAAAZHJzL2Rvd25yZXYueG1sUEsBAhQAFAAAAAgAh07iQL5K7kYWAgAA/wMAAA4A&#10;AAAAAAAAAQAgAAAAJAEAAGRycy9lMm9Eb2MueG1sUEsFBgAAAAAGAAYAWQEAAKwFAAAAAA==&#10;">
                        <v:fill on="f" focussize="0,0"/>
                        <v:stroke color="#000000" joinstyle="round" endarrow="block"/>
                        <v:imagedata o:title=""/>
                        <o:lock v:ext="edit" aspectratio="f"/>
                      </v:shape>
                      <v:rect id="_x0000_s1026" o:spid="_x0000_s1026" o:spt="1" style="position:absolute;left:1699895;top:3989522;height:291498;width:729615;" fillcolor="#FFFFFF" filled="t" stroked="t" coordsize="21600,21600" o:gfxdata="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auuOdQAAAAFAQAADwAAAAAAAAABACAAAAAiAAAA&#10;ZHJzL2Rvd25yZXYueG1sUEsBAhQAFAAAAAgAh07iQE4NXkQLAgAAOAQAAA4AAAAAAAAAAQAgAAAA&#10;IwEAAGRycy9lMm9Eb2MueG1sUEsFBgAAAAAGAAYAWQEAAKAFAAAAAA==&#10;">
                        <v:fill on="t" focussize="0,0"/>
                        <v:stroke color="#000000" joinstyle="miter"/>
                        <v:imagedata o:title=""/>
                        <o:lock v:ext="edit" aspectratio="f"/>
                        <v:textbox>
                          <w:txbxContent>
                            <w:p w14:paraId="38ECAC44">
                              <w:pPr>
                                <w:jc w:val="center"/>
                                <w:rPr>
                                  <w:rFonts w:hint="eastAsia"/>
                                </w:rPr>
                              </w:pPr>
                              <w:r>
                                <w:rPr>
                                  <w:rFonts w:hint="eastAsia"/>
                                </w:rPr>
                                <w:t>检验</w:t>
                              </w:r>
                            </w:p>
                          </w:txbxContent>
                        </v:textbox>
                      </v:rect>
                      <v:rect id="_x0000_s1026" o:spid="_x0000_s1026" o:spt="1" style="position:absolute;left:2633980;top:3970470;height:290863;width:1090930;"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Mu0&#10;7NYAAAAFAQAADwAAAAAAAAABACAAAAAiAAAAZHJzL2Rvd25yZXYueG1sUEsBAhQAFAAAAAgAh07i&#10;QNoA/F+yAQAAUQMAAA4AAAAAAAAAAQAgAAAAJQEAAGRycy9lMm9Eb2MueG1sUEsFBgAAAAAGAAYA&#10;WQEAAEkFAAAAAA==&#10;">
                        <v:fill on="f" focussize="0,0"/>
                        <v:stroke on="f"/>
                        <v:imagedata o:title=""/>
                        <o:lock v:ext="edit" aspectratio="f"/>
                        <v:textbox>
                          <w:txbxContent>
                            <w:p w14:paraId="3673AF6E">
                              <w:pPr>
                                <w:rPr>
                                  <w:rFonts w:hint="eastAsia"/>
                                </w:rPr>
                              </w:pPr>
                              <w:r>
                                <w:rPr>
                                  <w:rFonts w:hint="eastAsia"/>
                                </w:rPr>
                                <w:t>S</w:t>
                              </w:r>
                              <w:r>
                                <w:rPr>
                                  <w:vertAlign w:val="subscript"/>
                                </w:rPr>
                                <w:t>2</w:t>
                              </w:r>
                              <w:r>
                                <w:rPr>
                                  <w:rFonts w:hint="eastAsia"/>
                                </w:rPr>
                                <w:t>不合格品</w:t>
                              </w:r>
                            </w:p>
                          </w:txbxContent>
                        </v:textbox>
                      </v:rect>
                      <v:shape id="_x0000_s1026" o:spid="_x0000_s1026" o:spt="32" type="#_x0000_t32" style="position:absolute;left:2440940;top:4121617;height:1270;width:279400;"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9dTidUAAAAFAQAADwAAAAAA&#10;AAABACAAAAAiAAAAZHJzL2Rvd25yZXYueG1sUEsBAhQAFAAAAAgAh07iQMq4FcMWAgAAAgQAAA4A&#10;AAAAAAAAAQAgAAAAJAEAAGRycy9lMm9Eb2MueG1sUEsFBgAAAAAGAAYAWQEAAKwFAAAAAA==&#10;">
                        <v:fill on="f" focussize="0,0"/>
                        <v:stroke color="#000000" joinstyle="round" endarrow="block"/>
                        <v:imagedata o:title=""/>
                        <o:lock v:ext="edit" aspectratio="f"/>
                      </v:shape>
                      <v:shape id="_x0000_s1026" o:spid="_x0000_s1026" o:spt="32" type="#_x0000_t32" style="position:absolute;left:2070735;top:1662618;height:362626;width:3175;"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11OJ1QAAAAUBAAAPAAAAAAAA&#10;AAEAIAAAACIAAABkcnMvZG93bnJldi54bWxQSwECFAAUAAAACACHTuJAKeTVcxUCAAACBAAADgAA&#10;AAAAAAABACAAAAAkAQAAZHJzL2Uyb0RvYy54bWxQSwUGAAAAAAYABgBZAQAAqwUAAAAA&#10;">
                        <v:fill on="f" focussize="0,0"/>
                        <v:stroke color="#000000" joinstyle="round" endarrow="block"/>
                        <v:imagedata o:title=""/>
                        <o:lock v:ext="edit" aspectratio="f"/>
                      </v:shape>
                      <v:rect id="_x0000_s1026" o:spid="_x0000_s1026" o:spt="1" style="position:absolute;left:3688715;top:2885440;height:292100;width:729615;" fillcolor="#FFFFFF" filled="t" stroked="t" coordsize="21600,21600" o:gfxdata="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q6451AAAAAUBAAAPAAAAAAAAAAEAIAAA&#10;ACIAAABkcnMvZG93bnJldi54bWxQSwECFAAUAAAACACHTuJALnkyFRACAAA4BAAADgAAAAAAAAAB&#10;ACAAAAAjAQAAZHJzL2Uyb0RvYy54bWxQSwUGAAAAAAYABgBZAQAApQUAAAAA&#10;">
                        <v:fill on="t" focussize="0,0"/>
                        <v:stroke color="#000000" joinstyle="miter"/>
                        <v:imagedata o:title=""/>
                        <o:lock v:ext="edit" aspectratio="f"/>
                        <v:textbox>
                          <w:txbxContent>
                            <w:p w14:paraId="1AE939D5">
                              <w:pPr>
                                <w:jc w:val="center"/>
                                <w:rPr>
                                  <w:rFonts w:hint="eastAsia"/>
                                </w:rPr>
                              </w:pPr>
                              <w:r>
                                <w:rPr>
                                  <w:rFonts w:hint="eastAsia"/>
                                </w:rPr>
                                <w:t>粉碎</w:t>
                              </w:r>
                            </w:p>
                          </w:txbxContent>
                        </v:textbox>
                      </v:rect>
                      <v:shape id="_x0000_s1026" o:spid="_x0000_s1026" o:spt="32" type="#_x0000_t32" style="position:absolute;left:4422140;top:3016250;height:1270;width:280035;"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9dTidUAAAAFAQAADwAAAAAA&#10;AAABACAAAAAiAAAAZHJzL2Rvd25yZXYueG1sUEsBAhQAFAAAAAgAh07iQITJocAWAgAAAgQAAA4A&#10;AAAAAAAAAQAgAAAAJAEAAGRycy9lMm9Eb2MueG1sUEsFBgAAAAAGAAYAWQEAAKwFAAAAAA==&#10;">
                        <v:fill on="f" focussize="0,0"/>
                        <v:stroke color="#000000" joinstyle="round" endarrow="block"/>
                        <v:imagedata o:title=""/>
                        <o:lock v:ext="edit" aspectratio="f"/>
                      </v:shape>
                      <v:rect id="_x0000_s1026" o:spid="_x0000_s1026" o:spt="1" style="position:absolute;left:4652010;top:2895600;height:224790;width:589280;"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0y7Ts1gAA&#10;AAUBAAAPAAAAAAAAAAEAIAAAACIAAABkcnMvZG93bnJldi54bWxQSwECFAAUAAAACACHTuJA4JMI&#10;Ka4BAABQAwAADgAAAAAAAAABACAAAAAlAQAAZHJzL2Uyb0RvYy54bWxQSwUGAAAAAAYABgBZAQAA&#10;RQUAAAAA&#10;">
                        <v:fill on="f" focussize="0,0"/>
                        <v:stroke on="f"/>
                        <v:imagedata o:title=""/>
                        <o:lock v:ext="edit" aspectratio="f"/>
                        <v:textbox>
                          <w:txbxContent>
                            <w:p w14:paraId="17EFC023">
                              <w:pPr>
                                <w:rPr>
                                  <w:rFonts w:hint="eastAsia"/>
                                </w:rPr>
                              </w:pPr>
                              <w:r>
                                <w:t>N</w:t>
                              </w:r>
                              <w:r>
                                <w:rPr>
                                  <w:rFonts w:hint="eastAsia"/>
                                </w:rPr>
                                <w:t>噪声</w:t>
                              </w:r>
                            </w:p>
                          </w:txbxContent>
                        </v:textbox>
                      </v:rect>
                      <v:shape id="_x0000_s1026" o:spid="_x0000_s1026" o:spt="32" type="#_x0000_t32" style="position:absolute;left:2067560;top:4291816;height:304835;width:0;"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9dTidUAAAAFAQAADwAAAAAAAAAB&#10;ACAAAAAiAAAAZHJzL2Rvd25yZXYueG1sUEsBAhQAFAAAAAgAh07iQLLKxJYTAgAA/wMAAA4AAAAA&#10;AAAAAQAgAAAAJAEAAGRycy9lMm9Eb2MueG1sUEsFBgAAAAAGAAYAWQEAAKkFAAAAAA==&#10;">
                        <v:fill on="f" focussize="0,0"/>
                        <v:stroke color="#000000" joinstyle="round" endarrow="block"/>
                        <v:imagedata o:title=""/>
                        <o:lock v:ext="edit" aspectratio="f"/>
                      </v:shape>
                      <v:shape id="_x0000_s1026" o:spid="_x0000_s1026" o:spt="32" type="#_x0000_t32" style="position:absolute;left:2063115;top:296579;height:355640;width:0;"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XU4nVAAAABQEAAA8AAAAAAAAA&#10;AQAgAAAAIgAAAGRycy9kb3ducmV2LnhtbFBLAQIUABQAAAAIAIdO4kB+/jgxFAIAAP4DAAAOAAAA&#10;AAAAAAEAIAAAACQBAABkcnMvZTJvRG9jLnhtbFBLBQYAAAAABgAGAFkBAACqBQAAAAA=&#10;">
                        <v:fill on="f" focussize="0,0"/>
                        <v:stroke color="#000000" joinstyle="round" endarrow="block"/>
                        <v:imagedata o:title=""/>
                        <o:lock v:ext="edit" aspectratio="f"/>
                      </v:shape>
                      <v:rect id="_x0000_s1026" o:spid="_x0000_s1026" o:spt="1" style="position:absolute;left:1695450;top:652219;height:330237;width:762000;" fillcolor="#FFFFFF" filled="t" stroked="t" coordsize="21600,21600" o:gfxdata="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q6451AAAAAUBAAAPAAAAAAAAAAEAIAAA&#10;ACIAAABkcnMvZG93bnJldi54bWxQSwECFAAUAAAACACHTuJA5JpchhACAAA3BAAADgAAAAAAAAAB&#10;ACAAAAAjAQAAZHJzL2Uyb0RvYy54bWxQSwUGAAAAAAYABgBZAQAApQUAAAAA&#10;">
                        <v:fill on="t" focussize="0,0"/>
                        <v:stroke color="#000000" joinstyle="miter"/>
                        <v:imagedata o:title=""/>
                        <o:lock v:ext="edit" aspectratio="f"/>
                        <v:textbox>
                          <w:txbxContent>
                            <w:p w14:paraId="5BE106EB">
                              <w:pPr>
                                <w:jc w:val="center"/>
                              </w:pPr>
                              <w:r>
                                <w:rPr>
                                  <w:rFonts w:hint="eastAsia"/>
                                </w:rPr>
                                <w:t>混料</w:t>
                              </w:r>
                            </w:p>
                          </w:txbxContent>
                        </v:textbox>
                      </v:rect>
                      <v:shape id="_x0000_s1026" o:spid="_x0000_s1026" o:spt="32" type="#_x0000_t32" style="position:absolute;left:2070735;top:988172;height:355640;width:0;"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XU4nVAAAABQEAAA8AAAAAAAAA&#10;AQAgAAAAIgAAAGRycy9kb3ducmV2LnhtbFBLAQIUABQAAAAIAIdO4kAVWq75FAIAAP4DAAAOAAAA&#10;AAAAAAEAIAAAACQBAABkcnMvZTJvRG9jLnhtbFBLBQYAAAAABgAGAFkBAACqBQAAAAA=&#10;">
                        <v:fill on="f" focussize="0,0"/>
                        <v:stroke color="#000000" joinstyle="round" endarrow="block"/>
                        <v:imagedata o:title=""/>
                        <o:lock v:ext="edit" aspectratio="f"/>
                      </v:shape>
                      <v:rect id="_x0000_s1026" o:spid="_x0000_s1026" o:spt="1" style="position:absolute;left:1695450;top:1335556;height:330237;width:762000;" fillcolor="#FFFFFF" filled="t" stroked="t" coordsize="21600,21600" o:gfxdata="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q6451AAAAAUBAAAPAAAAAAAAAAEAIAAA&#10;ACIAAABkcnMvZG93bnJldi54bWxQSwECFAAUAAAACACHTuJAKPpT9BACAAA4BAAADgAAAAAAAAAB&#10;ACAAAAAjAQAAZHJzL2Uyb0RvYy54bWxQSwUGAAAAAAYABgBZAQAApQUAAAAA&#10;">
                        <v:fill on="t" focussize="0,0"/>
                        <v:stroke color="#000000" joinstyle="miter"/>
                        <v:imagedata o:title=""/>
                        <o:lock v:ext="edit" aspectratio="f"/>
                        <v:textbox>
                          <w:txbxContent>
                            <w:p w14:paraId="7F336ED5">
                              <w:pPr>
                                <w:jc w:val="center"/>
                              </w:pPr>
                              <w:r>
                                <w:rPr>
                                  <w:rFonts w:hint="eastAsia"/>
                                </w:rPr>
                                <w:t>干燥</w:t>
                              </w:r>
                            </w:p>
                          </w:txbxContent>
                        </v:textbox>
                      </v:rect>
                      <v:shape id="_x0000_s1026" o:spid="_x0000_s1026" o:spt="32" type="#_x0000_t32" style="position:absolute;left:2470785;top:1494959;height:0;width:190500;"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11OJ1QAAAAUBAAAPAAAAAAAA&#10;AAEAIAAAACIAAABkcnMvZG93bnJldi54bWxQSwECFAAUAAAACACHTuJAaZORoRUCAAD/AwAADgAA&#10;AAAAAAABACAAAAAkAQAAZHJzL2Uyb0RvYy54bWxQSwUGAAAAAAYABgBZAQAAqwUAAAAA&#10;">
                        <v:fill on="f" focussize="0,0"/>
                        <v:stroke color="#000000" joinstyle="round" endarrow="block"/>
                        <v:imagedata o:title=""/>
                        <o:lock v:ext="edit" aspectratio="f"/>
                      </v:shape>
                      <v:shape id="_x0000_s1026" o:spid="_x0000_s1026" o:spt="32" type="#_x0000_t32" style="position:absolute;left:2478405;top:812892;height:0;width:190500;" filled="f" stroked="t" coordsize="21600,21600" o:gfxdata="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XU4nVAAAABQEAAA8AAAAAAAAA&#10;AQAgAAAAIgAAAGRycy9kb3ducmV2LnhtbFBLAQIUABQAAAAIAIdO4kBxRDxUFAIAAP4DAAAOAAAA&#10;AAAAAAEAIAAAACQBAABkcnMvZTJvRG9jLnhtbFBLBQYAAAAABgAGAFkBAACqBQAAAAA=&#10;">
                        <v:fill on="f" focussize="0,0"/>
                        <v:stroke color="#000000" joinstyle="round" endarrow="block"/>
                        <v:imagedata o:title=""/>
                        <o:lock v:ext="edit" aspectratio="f"/>
                      </v:shape>
                      <v:rect id="_x0000_s1026" o:spid="_x0000_s1026" o:spt="1" style="position:absolute;left:2625725;top:671271;height:342939;width:838200;"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TLtOzW&#10;AAAABQEAAA8AAAAAAAAAAQAgAAAAIgAAAGRycy9kb3ducmV2LnhtbFBLAQIUABQAAAAIAIdO4kCx&#10;IP7asAEAAE8DAAAOAAAAAAAAAAEAIAAAACUBAABkcnMvZTJvRG9jLnhtbFBLBQYAAAAABgAGAFkB&#10;AABHBQAAAAA=&#10;">
                        <v:fill on="f" focussize="0,0"/>
                        <v:stroke on="f"/>
                        <v:imagedata o:title=""/>
                        <o:lock v:ext="edit" aspectratio="f"/>
                        <v:textbox>
                          <w:txbxContent>
                            <w:p w14:paraId="0B7FA7F6">
                              <w:pPr>
                                <w:rPr>
                                  <w:rFonts w:hint="eastAsia"/>
                                </w:rPr>
                              </w:pPr>
                              <w:r>
                                <w:rPr>
                                  <w:rFonts w:hint="eastAsia"/>
                                </w:rPr>
                                <w:t>N噪声</w:t>
                              </w:r>
                            </w:p>
                          </w:txbxContent>
                        </v:textbox>
                      </v:rect>
                      <v:rect id="_x0000_s1026" o:spid="_x0000_s1026" o:spt="1" style="position:absolute;left:2673985;top:2034135;height:342939;width:838200;" filled="f" stroked="f" coordsize="21600,21600" o:gfxdata="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Mu0&#10;7NYAAAAFAQAADwAAAAAAAAABACAAAAAiAAAAZHJzL2Rvd25yZXYueG1sUEsBAhQAFAAAAAgAh07i&#10;QJjV4FuyAQAAUAMAAA4AAAAAAAAAAQAgAAAAJQEAAGRycy9lMm9Eb2MueG1sUEsFBgAAAAAGAAYA&#10;WQEAAEkFAAAAAA==&#10;">
                        <v:fill on="f" focussize="0,0"/>
                        <v:stroke on="f"/>
                        <v:imagedata o:title=""/>
                        <o:lock v:ext="edit" aspectratio="f"/>
                        <v:textbox>
                          <w:txbxContent>
                            <w:p w14:paraId="244A0FEC">
                              <w:pPr>
                                <w:rPr>
                                  <w:rFonts w:hint="eastAsia"/>
                                </w:rPr>
                              </w:pPr>
                              <w:r>
                                <w:rPr>
                                  <w:rFonts w:hint="eastAsia"/>
                                </w:rPr>
                                <w:t>N噪声</w:t>
                              </w:r>
                            </w:p>
                          </w:txbxContent>
                        </v:textbox>
                      </v:rect>
                      <v:shape id="_x0000_s1026" o:spid="_x0000_s1026" o:spt="100" style="position:absolute;left:1118235;top:2793681;height:372787;width:730250;" filled="f" stroked="t" coordsize="1150,587" o:gfxdata="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Bm3&#10;6tUAAAAFAQAADwAAAAAAAAABACAAAAAiAAAAZHJzL2Rvd25yZXYueG1sUEsBAhQAFAAAAAgAh07i&#10;QMXbo49eAgAA8wQAAA4AAAAAAAAAAQAgAAAAJAEAAGRycy9lMm9Eb2MueG1sUEsFBgAAAAAGAAYA&#10;WQEAAPQFAAAAAA==&#10;" path="m1150,250l1138,587,0,587,0,0e">
                        <v:fill on="f" focussize="0,0"/>
                        <v:stroke color="#000000" joinstyle="round" endarrow="block"/>
                        <v:imagedata o:title=""/>
                        <o:lock v:ext="edit" aspectratio="f"/>
                      </v:shape>
                      <v:shape id="_x0000_s1026" o:spid="_x0000_s1026" o:spt="100" style="position:absolute;left:3526790;top:3212465;height:897255;width:508000;" filled="f" stroked="t" coordsize="714375,897255" o:gfxdata="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VDTF7NYAAAAFAQAADwAAAAAAAAABACAAAAAiAAAAZHJzL2Rvd25yZXYueG1sUEsB&#10;AhQAFAAAAAgAh07iQHZxrKzbAgAAyQYAAA4AAAAAAAAAAQAgAAAAJQEAAGRycy9lMm9Eb2MueG1s&#10;UEsFBgAAAAAGAAYAWQEAAHIGAAAAAA==&#10;" path="m0,897255l714375,897255,714375,0e">
                        <v:path o:connectlocs="0,897255;508000,897255;508000,0" o:connectangles="0,0,0"/>
                        <v:fill on="f" focussize="0,0"/>
                        <v:stroke weight="0.5pt" color="#000000 [3213]" miterlimit="8" joinstyle="miter" endarrow="block"/>
                        <v:imagedata o:title=""/>
                        <o:lock v:ext="edit" aspectratio="f"/>
                      </v:shape>
                      <v:shape id="_x0000_s1026" o:spid="_x0000_s1026" o:spt="32" type="#_x0000_t32" style="position:absolute;left:3535045;top:3434715;height:0;width:467995;" filled="f" stroked="t" coordsize="21600,21600" o:gfxdata="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8pce0wAAAAUBAAAPAAAAAAAAAAEA&#10;IAAAACIAAABkcnMvZG93bnJldi54bWxQSwECFAAUAAAACACHTuJA0rIS1RQCAADwAwAADgAAAAAA&#10;AAABACAAAAAiAQAAZHJzL2Uyb0RvYy54bWxQSwUGAAAAAAYABgBZAQAAqAUAAAAA&#10;">
                        <v:fill on="f" focussize="0,0"/>
                        <v:stroke weight="0.5pt" color="#000000 [3213]" miterlimit="8" joinstyle="miter" endarrow="block"/>
                        <v:imagedata o:title=""/>
                        <o:lock v:ext="edit" aspectratio="f"/>
                      </v:shape>
                      <v:shape id="_x0000_s1026" o:spid="_x0000_s1026" o:spt="100" style="position:absolute;left:2249170;top:1728470;height:1150620;width:1778000;" filled="f" stroked="t" coordsize="1778000,1150620" o:gfxdata="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U4nvqdYAAAAFAQAADwAAAAAAAAABACAA&#10;AAAiAAAAZHJzL2Rvd25yZXYueG1sUEsBAhQAFAAAAAgAh07iQBfdLEbzAgAAmAcAAA4AAAAAAAAA&#10;AQAgAAAAJQEAAGRycy9lMm9Eb2MueG1sUEsFBgAAAAAGAAYAWQEAAIoGAAAAAA==&#10;" path="m1778000,1150620l1778000,0,0,0,0,269875e">
                        <v:path o:connectlocs="1778000,1150620;1778000,0;0,0;0,269875" o:connectangles="0,0,0,0"/>
                        <v:fill on="f" focussize="0,0"/>
                        <v:stroke weight="0.5pt" color="#000000 [3213]" miterlimit="8" joinstyle="miter" endarrow="block"/>
                        <v:imagedata o:title=""/>
                        <o:lock v:ext="edit" aspectratio="f"/>
                      </v:shape>
                      <w10:wrap type="none"/>
                      <w10:anchorlock/>
                    </v:group>
                  </w:pict>
                </mc:Fallback>
              </mc:AlternateContent>
            </w:r>
          </w:p>
          <w:p w14:paraId="2FCCA286">
            <w:pPr>
              <w:pStyle w:val="11"/>
              <w:numPr>
                <w:ilvl w:val="0"/>
                <w:numId w:val="0"/>
              </w:num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图2-</w:t>
            </w:r>
            <w:r>
              <w:rPr>
                <w:rFonts w:hint="eastAsia" w:ascii="Times New Roman" w:hAnsi="Times New Roman" w:eastAsia="宋体" w:cs="Times New Roman"/>
                <w:b/>
                <w:bCs/>
                <w:color w:val="auto"/>
                <w:sz w:val="21"/>
                <w:szCs w:val="21"/>
                <w:lang w:val="en-US" w:eastAsia="zh-CN"/>
              </w:rPr>
              <w:t>3</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val="en-US" w:eastAsia="zh-CN"/>
              </w:rPr>
              <w:t>现有项目塑料瓶盖生产</w:t>
            </w:r>
            <w:r>
              <w:rPr>
                <w:rFonts w:hint="default" w:ascii="Times New Roman" w:hAnsi="Times New Roman" w:eastAsia="宋体" w:cs="Times New Roman"/>
                <w:b/>
                <w:bCs/>
                <w:color w:val="auto"/>
                <w:sz w:val="21"/>
                <w:szCs w:val="21"/>
              </w:rPr>
              <w:t>工艺流程及产污环节图</w:t>
            </w:r>
          </w:p>
          <w:p w14:paraId="612672F9">
            <w:pPr>
              <w:spacing w:line="360" w:lineRule="auto"/>
              <w:ind w:firstLine="420" w:firstLineChars="200"/>
              <w:rPr>
                <w:rFonts w:hint="eastAsia" w:eastAsia="宋体"/>
                <w:bCs/>
                <w:color w:val="000000" w:themeColor="text1"/>
                <w:szCs w:val="21"/>
                <w:lang w:eastAsia="zh-CN"/>
                <w14:textFill>
                  <w14:solidFill>
                    <w14:schemeClr w14:val="tx1"/>
                  </w14:solidFill>
                </w14:textFill>
              </w:rPr>
            </w:pPr>
            <w:r>
              <w:rPr>
                <w:sz w:val="21"/>
              </w:rPr>
              <mc:AlternateContent>
                <mc:Choice Requires="wpc">
                  <w:drawing>
                    <wp:inline distT="0" distB="0" distL="114300" distR="114300">
                      <wp:extent cx="4799330" cy="1841500"/>
                      <wp:effectExtent l="0" t="0" r="0" b="0"/>
                      <wp:docPr id="130" name="画布 130"/>
                      <wp:cNvGraphicFramePr/>
                      <a:graphic xmlns:a="http://schemas.openxmlformats.org/drawingml/2006/main">
                        <a:graphicData uri="http://schemas.microsoft.com/office/word/2010/wordprocessingCanvas">
                          <wpc:wpc>
                            <wpc:bg/>
                            <wpc:whole/>
                            <wps:wsp>
                              <wps:cNvPr id="131" name="直接箭头连接符 131"/>
                              <wps:cNvCnPr/>
                              <wps:spPr>
                                <a:xfrm>
                                  <a:off x="481965" y="1029335"/>
                                  <a:ext cx="611505"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32" name="文本框 132"/>
                              <wps:cNvSpPr txBox="1"/>
                              <wps:spPr>
                                <a:xfrm>
                                  <a:off x="529590" y="1037590"/>
                                  <a:ext cx="46101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0E0D8">
                                    <w:pPr>
                                      <w:rPr>
                                        <w:rFonts w:hint="eastAsia" w:eastAsia="宋体"/>
                                        <w:lang w:val="en-US" w:eastAsia="zh-CN"/>
                                      </w:rPr>
                                    </w:pPr>
                                    <w:r>
                                      <w:rPr>
                                        <w:rFonts w:hint="eastAsia"/>
                                        <w:lang w:val="en-US" w:eastAsia="zh-CN"/>
                                      </w:rPr>
                                      <w:t>新鲜水</w:t>
                                    </w:r>
                                  </w:p>
                                </w:txbxContent>
                              </wps:txbx>
                              <wps:bodyPr rot="0" spcFirstLastPara="0" vertOverflow="overflow" horzOverflow="overflow" vert="horz" wrap="square" lIns="0" tIns="0" rIns="0" bIns="0" numCol="1" spcCol="0" rtlCol="0" fromWordArt="0" anchor="t" anchorCtr="0" forceAA="0" compatLnSpc="1">
                                <a:noAutofit/>
                              </wps:bodyPr>
                            </wps:wsp>
                            <wps:wsp>
                              <wps:cNvPr id="133" name="文本框 133"/>
                              <wps:cNvSpPr txBox="1"/>
                              <wps:spPr>
                                <a:xfrm>
                                  <a:off x="600710" y="855345"/>
                                  <a:ext cx="358775"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863DA">
                                    <w:pPr>
                                      <w:rPr>
                                        <w:rFonts w:hint="default" w:eastAsia="宋体"/>
                                        <w:lang w:val="en-US" w:eastAsia="zh-CN"/>
                                      </w:rPr>
                                    </w:pPr>
                                    <w:r>
                                      <w:rPr>
                                        <w:rFonts w:hint="eastAsia"/>
                                        <w:lang w:val="en-US" w:eastAsia="zh-CN"/>
                                      </w:rPr>
                                      <w:t>5970</w:t>
                                    </w:r>
                                  </w:p>
                                </w:txbxContent>
                              </wps:txbx>
                              <wps:bodyPr rot="0" spcFirstLastPara="0" vertOverflow="overflow" horzOverflow="overflow" vert="horz" wrap="square" lIns="0" tIns="0" rIns="0" bIns="0" numCol="1" spcCol="0" rtlCol="0" fromWordArt="0" anchor="t" anchorCtr="0" forceAA="0" compatLnSpc="1">
                                <a:noAutofit/>
                              </wps:bodyPr>
                            </wps:wsp>
                            <wps:wsp>
                              <wps:cNvPr id="134" name="直接连接符 134"/>
                              <wps:cNvCnPr/>
                              <wps:spPr>
                                <a:xfrm>
                                  <a:off x="1109345" y="584835"/>
                                  <a:ext cx="0" cy="8572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5" name="直接箭头连接符 135"/>
                              <wps:cNvCnPr/>
                              <wps:spPr>
                                <a:xfrm>
                                  <a:off x="1101090" y="584835"/>
                                  <a:ext cx="396875"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36" name="直接箭头连接符 136"/>
                              <wps:cNvCnPr/>
                              <wps:spPr>
                                <a:xfrm>
                                  <a:off x="1101090" y="1434465"/>
                                  <a:ext cx="396875"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37" name="文本框 137"/>
                              <wps:cNvSpPr txBox="1"/>
                              <wps:spPr>
                                <a:xfrm>
                                  <a:off x="1116965" y="419100"/>
                                  <a:ext cx="358775"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BC2CD">
                                    <w:pPr>
                                      <w:rPr>
                                        <w:rFonts w:hint="default" w:eastAsia="宋体"/>
                                        <w:lang w:val="en-US" w:eastAsia="zh-CN"/>
                                      </w:rPr>
                                    </w:pPr>
                                    <w:r>
                                      <w:rPr>
                                        <w:rFonts w:hint="eastAsia"/>
                                        <w:lang w:val="en-US" w:eastAsia="zh-CN"/>
                                      </w:rPr>
                                      <w:t>5520</w:t>
                                    </w:r>
                                  </w:p>
                                </w:txbxContent>
                              </wps:txbx>
                              <wps:bodyPr rot="0" spcFirstLastPara="0" vertOverflow="overflow" horzOverflow="overflow" vert="horz" wrap="square" lIns="0" tIns="0" rIns="0" bIns="0" numCol="1" spcCol="0" rtlCol="0" fromWordArt="0" anchor="t" anchorCtr="0" forceAA="0" compatLnSpc="1">
                                <a:noAutofit/>
                              </wps:bodyPr>
                            </wps:wsp>
                            <wps:wsp>
                              <wps:cNvPr id="138" name="文本框 138"/>
                              <wps:cNvSpPr txBox="1"/>
                              <wps:spPr>
                                <a:xfrm>
                                  <a:off x="1141095" y="1292225"/>
                                  <a:ext cx="29591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B3AEC">
                                    <w:pPr>
                                      <w:rPr>
                                        <w:rFonts w:hint="default" w:eastAsia="宋体"/>
                                        <w:lang w:val="en-US" w:eastAsia="zh-CN"/>
                                      </w:rPr>
                                    </w:pPr>
                                    <w:r>
                                      <w:rPr>
                                        <w:rFonts w:hint="eastAsia"/>
                                        <w:lang w:val="en-US" w:eastAsia="zh-CN"/>
                                      </w:rPr>
                                      <w:t>450</w:t>
                                    </w:r>
                                  </w:p>
                                </w:txbxContent>
                              </wps:txbx>
                              <wps:bodyPr rot="0" spcFirstLastPara="0" vertOverflow="overflow" horzOverflow="overflow" vert="horz" wrap="square" lIns="0" tIns="0" rIns="0" bIns="0" numCol="1" spcCol="0" rtlCol="0" fromWordArt="0" anchor="t" anchorCtr="0" forceAA="0" compatLnSpc="1">
                                <a:noAutofit/>
                              </wps:bodyPr>
                            </wps:wsp>
                            <wps:wsp>
                              <wps:cNvPr id="139" name="文本框 139"/>
                              <wps:cNvSpPr txBox="1"/>
                              <wps:spPr>
                                <a:xfrm>
                                  <a:off x="1513840" y="456565"/>
                                  <a:ext cx="792480" cy="182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0EC613">
                                    <w:pPr>
                                      <w:spacing w:line="360" w:lineRule="auto"/>
                                      <w:jc w:val="center"/>
                                      <w:rPr>
                                        <w:rFonts w:hint="default" w:eastAsia="宋体"/>
                                        <w:lang w:val="en-US" w:eastAsia="zh-CN"/>
                                      </w:rPr>
                                    </w:pPr>
                                    <w:r>
                                      <w:rPr>
                                        <w:rFonts w:hint="eastAsia"/>
                                        <w:lang w:val="en-US" w:eastAsia="zh-CN"/>
                                      </w:rPr>
                                      <w:t>夹套冷却水</w:t>
                                    </w:r>
                                  </w:p>
                                </w:txbxContent>
                              </wps:txbx>
                              <wps:bodyPr rot="0" spcFirstLastPara="0" vertOverflow="overflow" horzOverflow="overflow" vert="horz" wrap="square" lIns="0" tIns="0" rIns="0" bIns="0" numCol="1" spcCol="0" rtlCol="0" fromWordArt="0" anchor="t" anchorCtr="0" forceAA="0" compatLnSpc="1">
                                <a:noAutofit/>
                              </wps:bodyPr>
                            </wps:wsp>
                            <wps:wsp>
                              <wps:cNvPr id="141" name="直接箭头连接符 141"/>
                              <wps:cNvCnPr/>
                              <wps:spPr>
                                <a:xfrm flipV="1">
                                  <a:off x="1593215" y="1099185"/>
                                  <a:ext cx="0" cy="26225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42" name="文本框 142"/>
                              <wps:cNvSpPr txBox="1"/>
                              <wps:spPr>
                                <a:xfrm>
                                  <a:off x="1656715" y="236220"/>
                                  <a:ext cx="723900"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56A0B">
                                    <w:pPr>
                                      <w:spacing w:line="360" w:lineRule="auto"/>
                                      <w:rPr>
                                        <w:rFonts w:hint="default" w:eastAsia="宋体"/>
                                        <w:lang w:val="en-US" w:eastAsia="zh-CN"/>
                                      </w:rPr>
                                    </w:pPr>
                                    <w:r>
                                      <w:rPr>
                                        <w:rFonts w:hint="eastAsia"/>
                                        <w:lang w:val="en-US" w:eastAsia="zh-CN"/>
                                      </w:rPr>
                                      <w:t>损耗5520</w:t>
                                    </w:r>
                                  </w:p>
                                </w:txbxContent>
                              </wps:txbx>
                              <wps:bodyPr rot="0" spcFirstLastPara="0" vertOverflow="overflow" horzOverflow="overflow" vert="horz" wrap="square" lIns="0" tIns="0" rIns="0" bIns="0" numCol="1" spcCol="0" rtlCol="0" fromWordArt="0" anchor="t" anchorCtr="0" forceAA="0" compatLnSpc="1">
                                <a:noAutofit/>
                              </wps:bodyPr>
                            </wps:wsp>
                            <wps:wsp>
                              <wps:cNvPr id="143" name="任意多边形 143"/>
                              <wps:cNvSpPr/>
                              <wps:spPr>
                                <a:xfrm>
                                  <a:off x="1577340" y="551815"/>
                                  <a:ext cx="1285875" cy="365125"/>
                                </a:xfrm>
                                <a:custGeom>
                                  <a:avLst/>
                                  <a:gdLst>
                                    <a:gd name="connisteX0" fmla="*/ 730250 w 1285875"/>
                                    <a:gd name="connsiteY0" fmla="*/ 0 h 365125"/>
                                    <a:gd name="connisteX1" fmla="*/ 1285875 w 1285875"/>
                                    <a:gd name="connsiteY1" fmla="*/ 0 h 365125"/>
                                    <a:gd name="connisteX2" fmla="*/ 1285875 w 1285875"/>
                                    <a:gd name="connsiteY2" fmla="*/ 365125 h 365125"/>
                                    <a:gd name="connisteX3" fmla="*/ 0 w 1285875"/>
                                    <a:gd name="connsiteY3" fmla="*/ 365125 h 365125"/>
                                    <a:gd name="connisteX4" fmla="*/ 0 w 1285875"/>
                                    <a:gd name="connsiteY4" fmla="*/ 111125 h 365125"/>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1285875" h="365125">
                                      <a:moveTo>
                                        <a:pt x="730250" y="0"/>
                                      </a:moveTo>
                                      <a:lnTo>
                                        <a:pt x="1285875" y="0"/>
                                      </a:lnTo>
                                      <a:lnTo>
                                        <a:pt x="1285875" y="365125"/>
                                      </a:lnTo>
                                      <a:lnTo>
                                        <a:pt x="0" y="365125"/>
                                      </a:lnTo>
                                      <a:lnTo>
                                        <a:pt x="0" y="111125"/>
                                      </a:lnTo>
                                    </a:path>
                                  </a:pathLst>
                                </a:custGeom>
                                <a:noFill/>
                                <a:ln>
                                  <a:solidFill>
                                    <a:schemeClr val="tx1"/>
                                  </a:solidFill>
                                  <a:tailEnd type="triangle"/>
                                </a:ln>
                              </wps:spPr>
                              <wps:style>
                                <a:lnRef idx="2">
                                  <a:schemeClr val="accent1">
                                    <a:lumMod val="75000"/>
                                  </a:schemeClr>
                                </a:lnRef>
                                <a:fillRef idx="1">
                                  <a:schemeClr val="accent1"/>
                                </a:fillRef>
                                <a:effectRef idx="0">
                                  <a:srgbClr val="FFFFFF"/>
                                </a:effectRef>
                                <a:fontRef idx="minor">
                                  <a:schemeClr val="lt1"/>
                                </a:fontRef>
                              </wps:style>
                              <wps:bodyPr/>
                            </wps:wsp>
                            <wps:wsp>
                              <wps:cNvPr id="144" name="文本框 144"/>
                              <wps:cNvSpPr txBox="1"/>
                              <wps:spPr>
                                <a:xfrm>
                                  <a:off x="1974215" y="768985"/>
                                  <a:ext cx="676275"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9189D">
                                    <w:pPr>
                                      <w:rPr>
                                        <w:rFonts w:hint="default"/>
                                        <w:lang w:val="en-US" w:eastAsia="zh-CN"/>
                                      </w:rPr>
                                    </w:pPr>
                                    <w:r>
                                      <w:rPr>
                                        <w:rFonts w:hint="eastAsia"/>
                                      </w:rPr>
                                      <w:t>110400</w:t>
                                    </w:r>
                                  </w:p>
                                </w:txbxContent>
                              </wps:txbx>
                              <wps:bodyPr rot="0" spcFirstLastPara="0" vertOverflow="overflow" horzOverflow="overflow" vert="horz" wrap="square" lIns="0" tIns="0" rIns="0" bIns="0" numCol="1" spcCol="0" rtlCol="0" fromWordArt="0" anchor="t" anchorCtr="0" forceAA="0" compatLnSpc="1">
                                <a:noAutofit/>
                              </wps:bodyPr>
                            </wps:wsp>
                            <wps:wsp>
                              <wps:cNvPr id="145" name="文本框 145"/>
                              <wps:cNvSpPr txBox="1"/>
                              <wps:spPr>
                                <a:xfrm>
                                  <a:off x="1497965" y="1353185"/>
                                  <a:ext cx="792480" cy="182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237392">
                                    <w:pPr>
                                      <w:spacing w:line="360" w:lineRule="auto"/>
                                      <w:jc w:val="center"/>
                                      <w:rPr>
                                        <w:rFonts w:hint="default" w:eastAsia="宋体"/>
                                        <w:lang w:val="en-US" w:eastAsia="zh-CN"/>
                                      </w:rPr>
                                    </w:pPr>
                                    <w:r>
                                      <w:rPr>
                                        <w:rFonts w:hint="eastAsia"/>
                                        <w:lang w:val="en-US" w:eastAsia="zh-CN"/>
                                      </w:rPr>
                                      <w:t>生活用水</w:t>
                                    </w:r>
                                  </w:p>
                                </w:txbxContent>
                              </wps:txbx>
                              <wps:bodyPr rot="0" spcFirstLastPara="0" vertOverflow="overflow" horzOverflow="overflow" vert="horz" wrap="square" lIns="0" tIns="0" rIns="0" bIns="0" numCol="1" spcCol="0" rtlCol="0" fromWordArt="0" anchor="t" anchorCtr="0" forceAA="0" compatLnSpc="1">
                                <a:noAutofit/>
                              </wps:bodyPr>
                            </wps:wsp>
                            <wps:wsp>
                              <wps:cNvPr id="146" name="文本框 146"/>
                              <wps:cNvSpPr txBox="1"/>
                              <wps:spPr>
                                <a:xfrm>
                                  <a:off x="1617345" y="1164590"/>
                                  <a:ext cx="526415"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DAF22">
                                    <w:pPr>
                                      <w:spacing w:line="360" w:lineRule="auto"/>
                                      <w:rPr>
                                        <w:rFonts w:hint="default" w:eastAsia="宋体"/>
                                        <w:lang w:val="en-US" w:eastAsia="zh-CN"/>
                                      </w:rPr>
                                    </w:pPr>
                                    <w:r>
                                      <w:rPr>
                                        <w:rFonts w:hint="eastAsia"/>
                                        <w:lang w:val="en-US" w:eastAsia="zh-CN"/>
                                      </w:rPr>
                                      <w:t>损耗90</w:t>
                                    </w:r>
                                  </w:p>
                                </w:txbxContent>
                              </wps:txbx>
                              <wps:bodyPr rot="0" spcFirstLastPara="0" vertOverflow="overflow" horzOverflow="overflow" vert="horz" wrap="square" lIns="0" tIns="0" rIns="0" bIns="0" numCol="1" spcCol="0" rtlCol="0" fromWordArt="0" anchor="t" anchorCtr="0" forceAA="0" compatLnSpc="1">
                                <a:noAutofit/>
                              </wps:bodyPr>
                            </wps:wsp>
                            <wps:wsp>
                              <wps:cNvPr id="147" name="直接箭头连接符 147"/>
                              <wps:cNvCnPr/>
                              <wps:spPr>
                                <a:xfrm>
                                  <a:off x="2290445" y="1444625"/>
                                  <a:ext cx="37465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48" name="文本框 148"/>
                              <wps:cNvSpPr txBox="1"/>
                              <wps:spPr>
                                <a:xfrm>
                                  <a:off x="2688590" y="1353185"/>
                                  <a:ext cx="563880" cy="182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E963CBA">
                                    <w:pPr>
                                      <w:spacing w:line="360" w:lineRule="auto"/>
                                      <w:jc w:val="center"/>
                                      <w:rPr>
                                        <w:rFonts w:hint="default" w:eastAsia="宋体"/>
                                        <w:lang w:val="en-US" w:eastAsia="zh-CN"/>
                                      </w:rPr>
                                    </w:pPr>
                                    <w:r>
                                      <w:rPr>
                                        <w:rFonts w:hint="eastAsia"/>
                                        <w:lang w:val="en-US" w:eastAsia="zh-CN"/>
                                      </w:rPr>
                                      <w:t>化粪池</w:t>
                                    </w:r>
                                  </w:p>
                                </w:txbxContent>
                              </wps:txbx>
                              <wps:bodyPr rot="0" spcFirstLastPara="0" vertOverflow="overflow" horzOverflow="overflow" vert="horz" wrap="square" lIns="0" tIns="0" rIns="0" bIns="0" numCol="1" spcCol="0" rtlCol="0" fromWordArt="0" anchor="t" anchorCtr="0" forceAA="0" compatLnSpc="1">
                                <a:noAutofit/>
                              </wps:bodyPr>
                            </wps:wsp>
                            <wps:wsp>
                              <wps:cNvPr id="149" name="文本框 149"/>
                              <wps:cNvSpPr txBox="1"/>
                              <wps:spPr>
                                <a:xfrm>
                                  <a:off x="2339975" y="1290955"/>
                                  <a:ext cx="24130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FFCB0">
                                    <w:pPr>
                                      <w:spacing w:line="360" w:lineRule="auto"/>
                                      <w:rPr>
                                        <w:rFonts w:hint="default" w:eastAsia="宋体"/>
                                        <w:lang w:val="en-US" w:eastAsia="zh-CN"/>
                                      </w:rPr>
                                    </w:pPr>
                                    <w:r>
                                      <w:rPr>
                                        <w:rFonts w:hint="eastAsia"/>
                                        <w:lang w:val="en-US" w:eastAsia="zh-CN"/>
                                      </w:rPr>
                                      <w:t>360</w:t>
                                    </w:r>
                                  </w:p>
                                </w:txbxContent>
                              </wps:txbx>
                              <wps:bodyPr rot="0" spcFirstLastPara="0" vertOverflow="overflow" horzOverflow="overflow" vert="horz" wrap="square" lIns="0" tIns="0" rIns="0" bIns="0" numCol="1" spcCol="0" rtlCol="0" fromWordArt="0" anchor="t" anchorCtr="0" forceAA="0" compatLnSpc="1">
                                <a:noAutofit/>
                              </wps:bodyPr>
                            </wps:wsp>
                            <wps:wsp>
                              <wps:cNvPr id="150" name="直接箭头连接符 150"/>
                              <wps:cNvCnPr/>
                              <wps:spPr>
                                <a:xfrm>
                                  <a:off x="3251200" y="1452245"/>
                                  <a:ext cx="37465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1" name="文本框 151"/>
                              <wps:cNvSpPr txBox="1"/>
                              <wps:spPr>
                                <a:xfrm>
                                  <a:off x="3649345" y="1172210"/>
                                  <a:ext cx="907415" cy="509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7801B">
                                    <w:pPr>
                                      <w:rPr>
                                        <w:rFonts w:hint="eastAsia"/>
                                        <w:lang w:val="en-US" w:eastAsia="zh-CN"/>
                                      </w:rPr>
                                    </w:pPr>
                                    <w:r>
                                      <w:rPr>
                                        <w:rFonts w:hint="eastAsia"/>
                                        <w:lang w:val="en-US" w:eastAsia="zh-CN"/>
                                      </w:rPr>
                                      <w:t>江阴市月城综合污水处理有限公司</w:t>
                                    </w:r>
                                  </w:p>
                                </w:txbxContent>
                              </wps:txbx>
                              <wps:bodyPr rot="0" spcFirstLastPara="0" vertOverflow="overflow" horzOverflow="overflow" vert="horz" wrap="square" lIns="0" tIns="0" rIns="0" bIns="0" numCol="1" spcCol="0" rtlCol="0" fromWordArt="0" anchor="t" anchorCtr="0" forceAA="0" compatLnSpc="1">
                                <a:noAutofit/>
                              </wps:bodyPr>
                            </wps:wsp>
                          </wpc:wpc>
                        </a:graphicData>
                      </a:graphic>
                    </wp:inline>
                  </w:drawing>
                </mc:Choice>
                <mc:Fallback>
                  <w:pict>
                    <v:group id="_x0000_s1026" o:spid="_x0000_s1026" o:spt="203" style="height:145pt;width:377.9pt;" coordsize="4799330,1841500" editas="canvas" o:gfxdata="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">
                      <o:lock v:ext="edit" aspectratio="f"/>
                      <v:shape id="_x0000_s1026" o:spid="_x0000_s1026" style="position:absolute;left:0;top:0;height:1841500;width:4799330;" filled="f" stroked="f" coordsize="21600,21600" o:gfxdata="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9z85UdcAAAAFAQAADwAAAAAAAAABACAAAAAiAAAAZHJz&#10;L2Rvd25yZXYueG1sUEsBAhQAFAAAAAgAh07iQPU+y++WBwAAdjYAAA4AAAAAAAAAAQAgAAAAJgEA&#10;AGRycy9lMm9Eb2MueG1sUEsFBgAAAAAGAAYAWQEAAC4LAAAAAA==&#10;">
                        <v:fill on="f" focussize="0,0"/>
                        <v:stroke on="f"/>
                        <v:imagedata o:title=""/>
                        <o:lock v:ext="edit" aspectratio="f"/>
                      </v:shape>
                      <v:shape id="_x0000_s1026" o:spid="_x0000_s1026" o:spt="32" type="#_x0000_t32" style="position:absolute;left:481965;top:1029335;height:0;width:611505;" filled="f" stroked="t" coordsize="21600,21600" o:gfxdata="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jCm51QAAAAUBAAAPAAAAAAAA&#10;AAEAIAAAACIAAABkcnMvZG93bnJldi54bWxQSwECFAAUAAAACACHTuJAQGf03hUCAADwAwAADgAA&#10;AAAAAAABACAAAAAkAQAAZHJzL2Uyb0RvYy54bWxQSwUGAAAAAAYABgBZAQAAqwUAAAAA&#10;">
                        <v:fill on="f" focussize="0,0"/>
                        <v:stroke weight="1pt" color="#000000 [3213]" miterlimit="8" joinstyle="miter" endarrow="block"/>
                        <v:imagedata o:title=""/>
                        <o:lock v:ext="edit" aspectratio="f"/>
                      </v:shape>
                      <v:shape id="_x0000_s1026" o:spid="_x0000_s1026" o:spt="202" type="#_x0000_t202" style="position:absolute;left:529590;top:1037590;height:209550;width:461010;" filled="f" stroked="f" coordsize="21600,21600" o:gfxdata="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p/Y69UAAAAFAQAADwAAAAAAAAABACAAAAAiAAAAZHJzL2Rvd25y&#10;ZXYueG1sUEsBAhQAFAAAAAgAh07iQGMMw3Q6AgAAZAQAAA4AAAAAAAAAAQAgAAAAJAEAAGRycy9l&#10;Mm9Eb2MueG1sUEsFBgAAAAAGAAYAWQEAANAFAAAAAA==&#10;">
                        <v:fill on="f" focussize="0,0"/>
                        <v:stroke on="f" weight="0.5pt"/>
                        <v:imagedata o:title=""/>
                        <o:lock v:ext="edit" aspectratio="f"/>
                        <v:textbox inset="0mm,0mm,0mm,0mm">
                          <w:txbxContent>
                            <w:p w14:paraId="2140E0D8">
                              <w:pPr>
                                <w:rPr>
                                  <w:rFonts w:hint="eastAsia" w:eastAsia="宋体"/>
                                  <w:lang w:val="en-US" w:eastAsia="zh-CN"/>
                                </w:rPr>
                              </w:pPr>
                              <w:r>
                                <w:rPr>
                                  <w:rFonts w:hint="eastAsia"/>
                                  <w:lang w:val="en-US" w:eastAsia="zh-CN"/>
                                </w:rPr>
                                <w:t>新鲜水</w:t>
                              </w:r>
                            </w:p>
                          </w:txbxContent>
                        </v:textbox>
                      </v:shape>
                      <v:shape id="_x0000_s1026" o:spid="_x0000_s1026" o:spt="202" type="#_x0000_t202" style="position:absolute;left:600710;top:855345;height:209550;width:358775;" filled="f" stroked="f" coordsize="21600,21600" o:gfxdata="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p/Y69UAAAAFAQAADwAAAAAAAAABACAAAAAiAAAAZHJzL2Rv&#10;d25yZXYueG1sUEsBAhQAFAAAAAgAh07iQDoa7s49AgAAYwQAAA4AAAAAAAAAAQAgAAAAJAEAAGRy&#10;cy9lMm9Eb2MueG1sUEsFBgAAAAAGAAYAWQEAANMFAAAAAA==&#10;">
                        <v:fill on="f" focussize="0,0"/>
                        <v:stroke on="f" weight="0.5pt"/>
                        <v:imagedata o:title=""/>
                        <o:lock v:ext="edit" aspectratio="f"/>
                        <v:textbox inset="0mm,0mm,0mm,0mm">
                          <w:txbxContent>
                            <w:p w14:paraId="579863DA">
                              <w:pPr>
                                <w:rPr>
                                  <w:rFonts w:hint="default" w:eastAsia="宋体"/>
                                  <w:lang w:val="en-US" w:eastAsia="zh-CN"/>
                                </w:rPr>
                              </w:pPr>
                              <w:r>
                                <w:rPr>
                                  <w:rFonts w:hint="eastAsia"/>
                                  <w:lang w:val="en-US" w:eastAsia="zh-CN"/>
                                </w:rPr>
                                <w:t>5970</w:t>
                              </w:r>
                            </w:p>
                          </w:txbxContent>
                        </v:textbox>
                      </v:shape>
                      <v:line id="_x0000_s1026" o:spid="_x0000_s1026" o:spt="20" style="position:absolute;left:1109345;top:584835;height:857250;width:0;" filled="f" stroked="t" coordsize="21600,21600" o:gfxdata="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BwHZPWAAAABQEAAA8AAAAAAAAAAQAgAAAAIgAAAGRycy9kb3ducmV2LnhtbFBLAQIUABQA&#10;AAAIAIdO4kApYi4h8gEAAMADAAAOAAAAAAAAAAEAIAAAACUBAABkcnMvZTJvRG9jLnhtbFBLBQYA&#10;AAAABgAGAFkBAACJBQAAAAA=&#10;">
                        <v:fill on="f" focussize="0,0"/>
                        <v:stroke weight="1pt" color="#000000 [3213]" miterlimit="8" joinstyle="miter"/>
                        <v:imagedata o:title=""/>
                        <o:lock v:ext="edit" aspectratio="f"/>
                      </v:line>
                      <v:shape id="_x0000_s1026" o:spid="_x0000_s1026" o:spt="32" type="#_x0000_t32" style="position:absolute;left:1101090;top:584835;height:0;width:396875;" filled="f" stroked="t" coordsize="21600,21600" o:gfxdata="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GMKbnVAAAABQEAAA8AAAAAAAAA&#10;AQAgAAAAIgAAAGRycy9kb3ducmV2LnhtbFBLAQIUABQAAAAIAIdO4kDB6/L5FAIAAPADAAAOAAAA&#10;AAAAAAEAIAAAACQBAABkcnMvZTJvRG9jLnhtbFBLBQYAAAAABgAGAFkBAACqBQAAAAA=&#10;">
                        <v:fill on="f" focussize="0,0"/>
                        <v:stroke weight="1pt" color="#000000 [3213]" miterlimit="8" joinstyle="miter" endarrow="block"/>
                        <v:imagedata o:title=""/>
                        <o:lock v:ext="edit" aspectratio="f"/>
                      </v:shape>
                      <v:shape id="_x0000_s1026" o:spid="_x0000_s1026" o:spt="32" type="#_x0000_t32" style="position:absolute;left:1101090;top:1434465;height:0;width:396875;" filled="f" stroked="t" coordsize="21600,21600" o:gfxdata="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GMKbnVAAAABQEAAA8AAAAAAAAA&#10;AQAgAAAAIgAAAGRycy9kb3ducmV2LnhtbFBLAQIUABQAAAAIAIdO4kAN8cyiFAIAAPEDAAAOAAAA&#10;AAAAAAEAIAAAACQBAABkcnMvZTJvRG9jLnhtbFBLBQYAAAAABgAGAFkBAACqBQAAAAA=&#10;">
                        <v:fill on="f" focussize="0,0"/>
                        <v:stroke weight="1pt" color="#000000 [3213]" miterlimit="8" joinstyle="miter" endarrow="block"/>
                        <v:imagedata o:title=""/>
                        <o:lock v:ext="edit" aspectratio="f"/>
                      </v:shape>
                      <v:shape id="_x0000_s1026" o:spid="_x0000_s1026" o:spt="202" type="#_x0000_t202" style="position:absolute;left:1116965;top:419100;height:209550;width:358775;" filled="f" stroked="f" coordsize="21600,21600" o:gfxdata="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qf2OvVAAAABQEAAA8AAAAAAAAAAQAgAAAAIgAAAGRycy9k&#10;b3ducmV2LnhtbFBLAQIUABQAAAAIAIdO4kBDfbj2PgIAAGQEAAAOAAAAAAAAAAEAIAAAACQBAABk&#10;cnMvZTJvRG9jLnhtbFBLBQYAAAAABgAGAFkBAADUBQAAAAA=&#10;">
                        <v:fill on="f" focussize="0,0"/>
                        <v:stroke on="f" weight="0.5pt"/>
                        <v:imagedata o:title=""/>
                        <o:lock v:ext="edit" aspectratio="f"/>
                        <v:textbox inset="0mm,0mm,0mm,0mm">
                          <w:txbxContent>
                            <w:p w14:paraId="281BC2CD">
                              <w:pPr>
                                <w:rPr>
                                  <w:rFonts w:hint="default" w:eastAsia="宋体"/>
                                  <w:lang w:val="en-US" w:eastAsia="zh-CN"/>
                                </w:rPr>
                              </w:pPr>
                              <w:r>
                                <w:rPr>
                                  <w:rFonts w:hint="eastAsia"/>
                                  <w:lang w:val="en-US" w:eastAsia="zh-CN"/>
                                </w:rPr>
                                <w:t>5520</w:t>
                              </w:r>
                            </w:p>
                          </w:txbxContent>
                        </v:textbox>
                      </v:shape>
                      <v:shape id="_x0000_s1026" o:spid="_x0000_s1026" o:spt="202" type="#_x0000_t202" style="position:absolute;left:1141095;top:1292225;height:209550;width:295910;" filled="f" stroked="f" coordsize="21600,21600" o:gfxdata="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n9jr1QAAAAUBAAAPAAAAAAAAAAEAIAAAACIAAABkcnMvZG93&#10;bnJldi54bWxQSwECFAAUAAAACACHTuJAzdPwpTwCAABlBAAADgAAAAAAAAABACAAAAAkAQAAZHJz&#10;L2Uyb0RvYy54bWxQSwUGAAAAAAYABgBZAQAA0gUAAAAA&#10;">
                        <v:fill on="f" focussize="0,0"/>
                        <v:stroke on="f" weight="0.5pt"/>
                        <v:imagedata o:title=""/>
                        <o:lock v:ext="edit" aspectratio="f"/>
                        <v:textbox inset="0mm,0mm,0mm,0mm">
                          <w:txbxContent>
                            <w:p w14:paraId="4D5B3AEC">
                              <w:pPr>
                                <w:rPr>
                                  <w:rFonts w:hint="default" w:eastAsia="宋体"/>
                                  <w:lang w:val="en-US" w:eastAsia="zh-CN"/>
                                </w:rPr>
                              </w:pPr>
                              <w:r>
                                <w:rPr>
                                  <w:rFonts w:hint="eastAsia"/>
                                  <w:lang w:val="en-US" w:eastAsia="zh-CN"/>
                                </w:rPr>
                                <w:t>450</w:t>
                              </w:r>
                            </w:p>
                          </w:txbxContent>
                        </v:textbox>
                      </v:shape>
                      <v:shape id="_x0000_s1026" o:spid="_x0000_s1026" o:spt="202" type="#_x0000_t202" style="position:absolute;left:1513840;top:456565;height:182880;width:792480;" fillcolor="#FFFFFF [3201]" filled="t" stroked="t" coordsize="21600,21600" o:gfxdata="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o3961QAA&#10;AAUBAAAPAAAAAAAAAAEAIAAAACIAAABkcnMvZG93bnJldi54bWxQSwECFAAUAAAACACHTuJAhgno&#10;X1oCAAC1BAAADgAAAAAAAAABACAAAAAkAQAAZHJzL2Uyb0RvYy54bWxQSwUGAAAAAAYABgBZAQAA&#10;8AUAAAAA&#10;">
                        <v:fill on="t" focussize="0,0"/>
                        <v:stroke weight="0.5pt" color="#000000 [3204]" joinstyle="round"/>
                        <v:imagedata o:title=""/>
                        <o:lock v:ext="edit" aspectratio="f"/>
                        <v:textbox inset="0mm,0mm,0mm,0mm">
                          <w:txbxContent>
                            <w:p w14:paraId="4B0EC613">
                              <w:pPr>
                                <w:spacing w:line="360" w:lineRule="auto"/>
                                <w:jc w:val="center"/>
                                <w:rPr>
                                  <w:rFonts w:hint="default" w:eastAsia="宋体"/>
                                  <w:lang w:val="en-US" w:eastAsia="zh-CN"/>
                                </w:rPr>
                              </w:pPr>
                              <w:r>
                                <w:rPr>
                                  <w:rFonts w:hint="eastAsia"/>
                                  <w:lang w:val="en-US" w:eastAsia="zh-CN"/>
                                </w:rPr>
                                <w:t>夹套冷却水</w:t>
                              </w:r>
                            </w:p>
                          </w:txbxContent>
                        </v:textbox>
                      </v:shape>
                      <v:shape id="_x0000_s1026" o:spid="_x0000_s1026" o:spt="32" type="#_x0000_t32" style="position:absolute;left:1593215;top:1099185;flip:y;height:262255;width:0;" filled="f" stroked="t" coordsize="21600,21600" o:gfxdata="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BIxe0wAAAAUBAAAPAAAA&#10;AAAAAAEAIAAAACIAAABkcnMvZG93bnJldi54bWxQSwECFAAUAAAACACHTuJAy067zxoCAAD7AwAA&#10;DgAAAAAAAAABACAAAAAiAQAAZHJzL2Uyb0RvYy54bWxQSwUGAAAAAAYABgBZAQAArgUAAAAA&#10;">
                        <v:fill on="f" focussize="0,0"/>
                        <v:stroke weight="1pt" color="#000000 [3213]" miterlimit="8" joinstyle="miter" endarrow="block"/>
                        <v:imagedata o:title=""/>
                        <o:lock v:ext="edit" aspectratio="f"/>
                      </v:shape>
                      <v:shape id="_x0000_s1026" o:spid="_x0000_s1026" o:spt="202" type="#_x0000_t202" style="position:absolute;left:1656715;top:236220;height:161925;width:723900;" filled="f" stroked="f" coordsize="21600,21600" o:gfxdata="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n9jr1QAAAAUBAAAPAAAAAAAAAAEAIAAAACIAAABkcnMv&#10;ZG93bnJldi54bWxQSwECFAAUAAAACACHTuJAc6at2j8CAABkBAAADgAAAAAAAAABACAAAAAkAQAA&#10;ZHJzL2Uyb0RvYy54bWxQSwUGAAAAAAYABgBZAQAA1QUAAAAA&#10;">
                        <v:fill on="f" focussize="0,0"/>
                        <v:stroke on="f" weight="0.5pt"/>
                        <v:imagedata o:title=""/>
                        <o:lock v:ext="edit" aspectratio="f"/>
                        <v:textbox inset="0mm,0mm,0mm,0mm">
                          <w:txbxContent>
                            <w:p w14:paraId="14556A0B">
                              <w:pPr>
                                <w:spacing w:line="360" w:lineRule="auto"/>
                                <w:rPr>
                                  <w:rFonts w:hint="default" w:eastAsia="宋体"/>
                                  <w:lang w:val="en-US" w:eastAsia="zh-CN"/>
                                </w:rPr>
                              </w:pPr>
                              <w:r>
                                <w:rPr>
                                  <w:rFonts w:hint="eastAsia"/>
                                  <w:lang w:val="en-US" w:eastAsia="zh-CN"/>
                                </w:rPr>
                                <w:t>损耗5520</w:t>
                              </w:r>
                            </w:p>
                          </w:txbxContent>
                        </v:textbox>
                      </v:shape>
                      <v:shape id="_x0000_s1026" o:spid="_x0000_s1026" o:spt="100" style="position:absolute;left:1577340;top:551815;height:365125;width:1285875;" filled="f" stroked="t" coordsize="1285875,365125" o:gfxdata="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BxfY77WAAAABQEAAA8AAAAAAAAAAQAgAAAAIgAAAGRycy9kb3ducmV2LnhtbFBL&#10;AQIUABQAAAAIAIdO4kBdVJwrFQMAAGIIAAAOAAAAAAAAAAEAIAAAACUBAABkcnMvZTJvRG9jLnht&#10;bFBLBQYAAAAABgAGAFkBAACsBgAAAAA=&#10;" path="m730250,0l1285875,0,1285875,365125,0,365125,0,111125e">
                        <v:path o:connectlocs="730250,0;1285875,0;1285875,365125;0,365125;0,111125" o:connectangles="0,0,0,0,0"/>
                        <v:fill on="f" focussize="0,0"/>
                        <v:stroke weight="1pt" color="#000000 [3213]" miterlimit="8" joinstyle="miter" endarrow="block"/>
                        <v:imagedata o:title=""/>
                        <o:lock v:ext="edit" aspectratio="f"/>
                      </v:shape>
                      <v:shape id="_x0000_s1026" o:spid="_x0000_s1026" o:spt="202" type="#_x0000_t202" style="position:absolute;left:1974215;top:768985;height:161925;width:676275;" filled="f" stroked="f" coordsize="21600,21600" o:gfxdata="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p/Y69UAAAAFAQAADwAAAAAAAAABACAAAAAiAAAAZHJz&#10;L2Rvd25yZXYueG1sUEsBAhQAFAAAAAgAh07iQI0tWlNAAgAAZAQAAA4AAAAAAAAAAQAgAAAAJAEA&#10;AGRycy9lMm9Eb2MueG1sUEsFBgAAAAAGAAYAWQEAANYFAAAAAA==&#10;">
                        <v:fill on="f" focussize="0,0"/>
                        <v:stroke on="f" weight="0.5pt"/>
                        <v:imagedata o:title=""/>
                        <o:lock v:ext="edit" aspectratio="f"/>
                        <v:textbox inset="0mm,0mm,0mm,0mm">
                          <w:txbxContent>
                            <w:p w14:paraId="1BA9189D">
                              <w:pPr>
                                <w:rPr>
                                  <w:rFonts w:hint="default"/>
                                  <w:lang w:val="en-US" w:eastAsia="zh-CN"/>
                                </w:rPr>
                              </w:pPr>
                              <w:r>
                                <w:rPr>
                                  <w:rFonts w:hint="eastAsia"/>
                                </w:rPr>
                                <w:t>110400</w:t>
                              </w:r>
                            </w:p>
                          </w:txbxContent>
                        </v:textbox>
                      </v:shape>
                      <v:shape id="_x0000_s1026" o:spid="_x0000_s1026" o:spt="202" type="#_x0000_t202" style="position:absolute;left:1497965;top:1353185;height:182880;width:792480;" fillcolor="#FFFFFF [3201]" filled="t" stroked="t" coordsize="21600,21600" o:gfxdata="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qN/etUA&#10;AAAFAQAADwAAAAAAAAABACAAAAAiAAAAZHJzL2Rvd25yZXYueG1sUEsBAhQAFAAAAAgAh07iQBdI&#10;6b1bAgAAtgQAAA4AAAAAAAAAAQAgAAAAJAEAAGRycy9lMm9Eb2MueG1sUEsFBgAAAAAGAAYAWQEA&#10;APEFAAAAAA==&#10;">
                        <v:fill on="t" focussize="0,0"/>
                        <v:stroke weight="0.5pt" color="#000000 [3204]" joinstyle="round"/>
                        <v:imagedata o:title=""/>
                        <o:lock v:ext="edit" aspectratio="f"/>
                        <v:textbox inset="0mm,0mm,0mm,0mm">
                          <w:txbxContent>
                            <w:p w14:paraId="07237392">
                              <w:pPr>
                                <w:spacing w:line="360" w:lineRule="auto"/>
                                <w:jc w:val="center"/>
                                <w:rPr>
                                  <w:rFonts w:hint="default" w:eastAsia="宋体"/>
                                  <w:lang w:val="en-US" w:eastAsia="zh-CN"/>
                                </w:rPr>
                              </w:pPr>
                              <w:r>
                                <w:rPr>
                                  <w:rFonts w:hint="eastAsia"/>
                                  <w:lang w:val="en-US" w:eastAsia="zh-CN"/>
                                </w:rPr>
                                <w:t>生活用水</w:t>
                              </w:r>
                            </w:p>
                          </w:txbxContent>
                        </v:textbox>
                      </v:shape>
                      <v:shape id="_x0000_s1026" o:spid="_x0000_s1026" o:spt="202" type="#_x0000_t202" style="position:absolute;left:1617345;top:1164590;height:185420;width:526415;" filled="f" stroked="f" coordsize="21600,21600" o:gfxdata="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qf2OvVAAAABQEAAA8AAAAAAAAAAQAgAAAAIgAAAGRycy9k&#10;b3ducmV2LnhtbFBLAQIUABQAAAAIAIdO4kC2rwroPgIAAGUEAAAOAAAAAAAAAAEAIAAAACQBAABk&#10;cnMvZTJvRG9jLnhtbFBLBQYAAAAABgAGAFkBAADUBQAAAAA=&#10;">
                        <v:fill on="f" focussize="0,0"/>
                        <v:stroke on="f" weight="0.5pt"/>
                        <v:imagedata o:title=""/>
                        <o:lock v:ext="edit" aspectratio="f"/>
                        <v:textbox inset="0mm,0mm,0mm,0mm">
                          <w:txbxContent>
                            <w:p w14:paraId="3E5DAF22">
                              <w:pPr>
                                <w:spacing w:line="360" w:lineRule="auto"/>
                                <w:rPr>
                                  <w:rFonts w:hint="default" w:eastAsia="宋体"/>
                                  <w:lang w:val="en-US" w:eastAsia="zh-CN"/>
                                </w:rPr>
                              </w:pPr>
                              <w:r>
                                <w:rPr>
                                  <w:rFonts w:hint="eastAsia"/>
                                  <w:lang w:val="en-US" w:eastAsia="zh-CN"/>
                                </w:rPr>
                                <w:t>损耗90</w:t>
                              </w:r>
                            </w:p>
                          </w:txbxContent>
                        </v:textbox>
                      </v:shape>
                      <v:shape id="_x0000_s1026" o:spid="_x0000_s1026" o:spt="32" type="#_x0000_t32" style="position:absolute;left:2290445;top:1444625;height:0;width:374650;" filled="f" stroked="t" coordsize="21600,21600" o:gfxdata="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jCm51QAAAAUBAAAPAAAAAAAA&#10;AAEAIAAAACIAAABkcnMvZG93bnJldi54bWxQSwECFAAUAAAACACHTuJAo+kSrBUCAADxAwAADgAA&#10;AAAAAAABACAAAAAkAQAAZHJzL2Uyb0RvYy54bWxQSwUGAAAAAAYABgBZAQAAqwUAAAAA&#10;">
                        <v:fill on="f" focussize="0,0"/>
                        <v:stroke weight="1pt" color="#000000 [3213]" miterlimit="8" joinstyle="miter" endarrow="block"/>
                        <v:imagedata o:title=""/>
                        <o:lock v:ext="edit" aspectratio="f"/>
                      </v:shape>
                      <v:shape id="_x0000_s1026" o:spid="_x0000_s1026" o:spt="202" type="#_x0000_t202" style="position:absolute;left:2688590;top:1353185;height:182880;width:563880;" fillcolor="#FFFFFF [3201]" filled="t" stroked="t" coordsize="21600,21600" o:gfxdata="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o3961QAA&#10;AAUBAAAPAAAAAAAAAAEAIAAAACIAAABkcnMvZG93bnJldi54bWxQSwECFAAUAAAACACHTuJA72q5&#10;lVoCAAC2BAAADgAAAAAAAAABACAAAAAkAQAAZHJzL2Uyb0RvYy54bWxQSwUGAAAAAAYABgBZAQAA&#10;8AUAAAAA&#10;">
                        <v:fill on="t" focussize="0,0"/>
                        <v:stroke weight="0.5pt" color="#000000 [3204]" joinstyle="round"/>
                        <v:imagedata o:title=""/>
                        <o:lock v:ext="edit" aspectratio="f"/>
                        <v:textbox inset="0mm,0mm,0mm,0mm">
                          <w:txbxContent>
                            <w:p w14:paraId="1E963CBA">
                              <w:pPr>
                                <w:spacing w:line="360" w:lineRule="auto"/>
                                <w:jc w:val="center"/>
                                <w:rPr>
                                  <w:rFonts w:hint="default" w:eastAsia="宋体"/>
                                  <w:lang w:val="en-US" w:eastAsia="zh-CN"/>
                                </w:rPr>
                              </w:pPr>
                              <w:r>
                                <w:rPr>
                                  <w:rFonts w:hint="eastAsia"/>
                                  <w:lang w:val="en-US" w:eastAsia="zh-CN"/>
                                </w:rPr>
                                <w:t>化粪池</w:t>
                              </w:r>
                            </w:p>
                          </w:txbxContent>
                        </v:textbox>
                      </v:shape>
                      <v:shape id="_x0000_s1026" o:spid="_x0000_s1026" o:spt="202" type="#_x0000_t202" style="position:absolute;left:2339975;top:1290955;height:185420;width:241300;" filled="f" stroked="f" coordsize="21600,21600" o:gfxdata="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p/Y69UAAAAFAQAADwAAAAAAAAABACAAAAAiAAAAZHJz&#10;L2Rvd25yZXYueG1sUEsBAhQAFAAAAAgAh07iQIu+ZhVAAgAAZQQAAA4AAAAAAAAAAQAgAAAAJAEA&#10;AGRycy9lMm9Eb2MueG1sUEsFBgAAAAAGAAYAWQEAANYFAAAAAA==&#10;">
                        <v:fill on="f" focussize="0,0"/>
                        <v:stroke on="f" weight="0.5pt"/>
                        <v:imagedata o:title=""/>
                        <o:lock v:ext="edit" aspectratio="f"/>
                        <v:textbox inset="0mm,0mm,0mm,0mm">
                          <w:txbxContent>
                            <w:p w14:paraId="066FFCB0">
                              <w:pPr>
                                <w:spacing w:line="360" w:lineRule="auto"/>
                                <w:rPr>
                                  <w:rFonts w:hint="default" w:eastAsia="宋体"/>
                                  <w:lang w:val="en-US" w:eastAsia="zh-CN"/>
                                </w:rPr>
                              </w:pPr>
                              <w:r>
                                <w:rPr>
                                  <w:rFonts w:hint="eastAsia"/>
                                  <w:lang w:val="en-US" w:eastAsia="zh-CN"/>
                                </w:rPr>
                                <w:t>360</w:t>
                              </w:r>
                            </w:p>
                          </w:txbxContent>
                        </v:textbox>
                      </v:shape>
                      <v:shape id="_x0000_s1026" o:spid="_x0000_s1026" o:spt="32" type="#_x0000_t32" style="position:absolute;left:3251200;top:1452245;height:0;width:374650;" filled="f" stroked="t" coordsize="21600,21600" o:gfxdata="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jCm51QAAAAUBAAAPAAAAAAAAAAEA&#10;IAAAACIAAABkcnMvZG93bnJldi54bWxQSwECFAAUAAAACACHTuJA371KbxICAADxAwAADgAAAAAA&#10;AAABACAAAAAkAQAAZHJzL2Uyb0RvYy54bWxQSwUGAAAAAAYABgBZAQAAqAUAAAAA&#10;">
                        <v:fill on="f" focussize="0,0"/>
                        <v:stroke weight="1pt" color="#000000 [3213]" miterlimit="8" joinstyle="miter" endarrow="block"/>
                        <v:imagedata o:title=""/>
                        <o:lock v:ext="edit" aspectratio="f"/>
                      </v:shape>
                      <v:shape id="_x0000_s1026" o:spid="_x0000_s1026" o:spt="202" type="#_x0000_t202" style="position:absolute;left:3649345;top:1172210;height:509905;width:907415;" filled="f" stroked="f" coordsize="21600,21600" o:gfxdata="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n9jr1QAAAAUBAAAPAAAAAAAAAAEAIAAAACIAAABkcnMv&#10;ZG93bnJldi54bWxQSwECFAAUAAAACACHTuJABHAQWz8CAABlBAAADgAAAAAAAAABACAAAAAkAQAA&#10;ZHJzL2Uyb0RvYy54bWxQSwUGAAAAAAYABgBZAQAA1QUAAAAA&#10;">
                        <v:fill on="f" focussize="0,0"/>
                        <v:stroke on="f" weight="0.5pt"/>
                        <v:imagedata o:title=""/>
                        <o:lock v:ext="edit" aspectratio="f"/>
                        <v:textbox inset="0mm,0mm,0mm,0mm">
                          <w:txbxContent>
                            <w:p w14:paraId="5337801B">
                              <w:pPr>
                                <w:rPr>
                                  <w:rFonts w:hint="eastAsia"/>
                                  <w:lang w:val="en-US" w:eastAsia="zh-CN"/>
                                </w:rPr>
                              </w:pPr>
                              <w:r>
                                <w:rPr>
                                  <w:rFonts w:hint="eastAsia"/>
                                  <w:lang w:val="en-US" w:eastAsia="zh-CN"/>
                                </w:rPr>
                                <w:t>江阴市月城综合污水处理有限公司</w:t>
                              </w:r>
                            </w:p>
                          </w:txbxContent>
                        </v:textbox>
                      </v:shape>
                      <w10:wrap type="none"/>
                      <w10:anchorlock/>
                    </v:group>
                  </w:pict>
                </mc:Fallback>
              </mc:AlternateContent>
            </w:r>
          </w:p>
          <w:p w14:paraId="177DF6B0">
            <w:pPr>
              <w:spacing w:line="360" w:lineRule="auto"/>
              <w:jc w:val="center"/>
              <w:rPr>
                <w:bCs/>
                <w:color w:val="000000" w:themeColor="text1"/>
                <w:szCs w:val="21"/>
                <w14:textFill>
                  <w14:solidFill>
                    <w14:schemeClr w14:val="tx1"/>
                  </w14:solidFill>
                </w14:textFill>
              </w:rPr>
            </w:pPr>
            <w:r>
              <w:rPr>
                <w:rFonts w:hint="default" w:ascii="Times New Roman" w:hAnsi="Times New Roman" w:eastAsia="宋体" w:cs="Times New Roman"/>
                <w:b/>
                <w:bCs/>
                <w:color w:val="auto"/>
                <w:sz w:val="21"/>
                <w:szCs w:val="21"/>
              </w:rPr>
              <w:t>图2-</w:t>
            </w:r>
            <w:r>
              <w:rPr>
                <w:rFonts w:hint="eastAsia" w:ascii="Times New Roman" w:hAnsi="Times New Roman" w:eastAsia="宋体" w:cs="Times New Roman"/>
                <w:b/>
                <w:bCs/>
                <w:color w:val="auto"/>
                <w:sz w:val="21"/>
                <w:szCs w:val="21"/>
                <w:lang w:val="en-US" w:eastAsia="zh-CN"/>
              </w:rPr>
              <w:t>4</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val="en-US" w:eastAsia="zh-CN"/>
              </w:rPr>
              <w:t>现有项目水平衡图（单位：t/a）</w:t>
            </w:r>
          </w:p>
          <w:p w14:paraId="3F96D0F8">
            <w:pPr>
              <w:spacing w:line="360" w:lineRule="auto"/>
              <w:rPr>
                <w:bCs/>
                <w:color w:val="000000" w:themeColor="text1"/>
                <w:szCs w:val="21"/>
                <w14:textFill>
                  <w14:solidFill>
                    <w14:schemeClr w14:val="tx1"/>
                  </w14:solidFill>
                </w14:textFill>
              </w:rPr>
            </w:pPr>
          </w:p>
          <w:p w14:paraId="2E007ACF">
            <w:pPr>
              <w:spacing w:line="360" w:lineRule="auto"/>
              <w:rPr>
                <w:bCs/>
                <w:color w:val="000000" w:themeColor="text1"/>
                <w:szCs w:val="21"/>
                <w14:textFill>
                  <w14:solidFill>
                    <w14:schemeClr w14:val="tx1"/>
                  </w14:solidFill>
                </w14:textFill>
              </w:rPr>
            </w:pPr>
          </w:p>
          <w:p w14:paraId="5527BD3E">
            <w:pPr>
              <w:pStyle w:val="135"/>
              <w:ind w:firstLine="504"/>
              <w:rPr>
                <w:color w:val="auto"/>
              </w:rPr>
            </w:pPr>
            <w:r>
              <w:rPr>
                <w:rFonts w:hint="eastAsia"/>
                <w:color w:val="auto"/>
              </w:rPr>
              <w:t>（1）</w:t>
            </w:r>
            <w:r>
              <w:rPr>
                <w:color w:val="auto"/>
              </w:rPr>
              <w:t>废气</w:t>
            </w:r>
          </w:p>
          <w:p w14:paraId="75284DFC">
            <w:pPr>
              <w:spacing w:line="360" w:lineRule="auto"/>
              <w:ind w:firstLine="420" w:firstLineChars="200"/>
              <w:rPr>
                <w:rFonts w:hint="eastAsia"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现有</w:t>
            </w:r>
            <w:r>
              <w:rPr>
                <w:rFonts w:hint="default" w:ascii="Times New Roman" w:hAnsi="Times New Roman" w:eastAsia="宋体" w:cs="Times New Roman"/>
                <w:color w:val="auto"/>
              </w:rPr>
              <w:t>项目废气主要为注塑成型工序产生的有机废气（以非甲烷总烃计）经吸风罩收集后引入一套“二级活性炭吸附”装置处理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捕集率90％、去除率90％</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，尾气通过一根15米高的排气筒（</w:t>
            </w:r>
            <w:r>
              <w:rPr>
                <w:rFonts w:hint="eastAsia" w:cs="Times New Roman"/>
                <w:color w:val="auto"/>
                <w:lang w:val="en-US" w:eastAsia="zh-CN"/>
              </w:rPr>
              <w:t>DA001</w:t>
            </w:r>
            <w:r>
              <w:rPr>
                <w:rFonts w:hint="default" w:ascii="Times New Roman" w:hAnsi="Times New Roman" w:eastAsia="宋体" w:cs="Times New Roman"/>
                <w:color w:val="auto"/>
              </w:rPr>
              <w:t>）排放。参照《空气污染物排放和控制手册》（美国国家环保局）中推荐的公式，该手册认为在无控制措施时，有机废气的排放系数为0.35kg/t</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项目塑料粒子（PP粒子、PE粒子、色母粒）用量合计为</w:t>
            </w:r>
            <w:r>
              <w:rPr>
                <w:rFonts w:hint="default" w:ascii="Times New Roman" w:hAnsi="Times New Roman" w:eastAsia="宋体" w:cs="Times New Roman"/>
                <w:color w:val="auto"/>
                <w:lang w:val="en-US" w:eastAsia="zh-CN"/>
              </w:rPr>
              <w:t>840</w:t>
            </w:r>
            <w:r>
              <w:rPr>
                <w:rFonts w:hint="default" w:ascii="Times New Roman" w:hAnsi="Times New Roman" w:eastAsia="宋体" w:cs="Times New Roman"/>
                <w:color w:val="auto"/>
              </w:rPr>
              <w:t>t/a，非甲烷总烃产生量约为</w:t>
            </w:r>
            <w:r>
              <w:rPr>
                <w:rFonts w:hint="default" w:ascii="Times New Roman" w:hAnsi="Times New Roman" w:eastAsia="宋体" w:cs="Times New Roman"/>
                <w:color w:val="auto"/>
                <w:lang w:val="en-US" w:eastAsia="zh-CN"/>
              </w:rPr>
              <w:t>0.294</w:t>
            </w:r>
            <w:r>
              <w:rPr>
                <w:rFonts w:hint="default" w:ascii="Times New Roman" w:hAnsi="Times New Roman" w:eastAsia="宋体" w:cs="Times New Roman"/>
                <w:color w:val="auto"/>
              </w:rPr>
              <w:t>t/a。</w:t>
            </w:r>
          </w:p>
          <w:p w14:paraId="24551439">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根据</w:t>
            </w:r>
            <w:r>
              <w:rPr>
                <w:rFonts w:hint="eastAsia" w:ascii="Times New Roman" w:hAnsi="Times New Roman" w:eastAsia="宋体" w:cs="Times New Roman"/>
                <w:color w:val="auto"/>
                <w:lang w:val="en-US" w:eastAsia="zh-CN"/>
              </w:rPr>
              <w:t>江阴市一众检测有限公司</w:t>
            </w:r>
            <w:r>
              <w:rPr>
                <w:rFonts w:hint="eastAsia" w:cs="Times New Roman"/>
                <w:color w:val="auto"/>
                <w:lang w:val="en-US" w:eastAsia="zh-CN"/>
              </w:rPr>
              <w:t>出具的检测报告，报告编号：</w:t>
            </w:r>
            <w:r>
              <w:rPr>
                <w:rFonts w:hint="eastAsia" w:ascii="Times New Roman" w:hAnsi="Times New Roman" w:eastAsia="宋体" w:cs="Times New Roman"/>
                <w:color w:val="auto"/>
                <w:lang w:val="en-US" w:eastAsia="zh-CN"/>
              </w:rPr>
              <w:t>YZJC-BG-2025-09187，有组织及</w:t>
            </w:r>
            <w:r>
              <w:rPr>
                <w:rFonts w:hint="eastAsia" w:cs="Times New Roman"/>
                <w:color w:val="auto"/>
                <w:lang w:val="en-US" w:eastAsia="zh-CN"/>
              </w:rPr>
              <w:t>厂界</w:t>
            </w:r>
            <w:r>
              <w:rPr>
                <w:rFonts w:hint="eastAsia" w:ascii="Times New Roman" w:hAnsi="Times New Roman" w:eastAsia="宋体" w:cs="Times New Roman"/>
                <w:color w:val="auto"/>
                <w:lang w:val="en-US" w:eastAsia="zh-CN"/>
              </w:rPr>
              <w:t>无组织废气均可达</w:t>
            </w:r>
            <w:r>
              <w:rPr>
                <w:rFonts w:hint="eastAsia" w:ascii="Times New Roman" w:hAnsi="Times New Roman" w:eastAsia="宋体" w:cs="Times New Roman"/>
                <w:color w:val="auto"/>
              </w:rPr>
              <w:t>《合成树脂工业污染物排放标准》GB31572-2015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含2024年修改单</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表5、表9中标准</w:t>
            </w:r>
            <w:r>
              <w:rPr>
                <w:rFonts w:hint="eastAsia" w:ascii="Times New Roman" w:hAnsi="Times New Roman" w:eastAsia="宋体" w:cs="Times New Roman"/>
                <w:color w:val="auto"/>
                <w:lang w:eastAsia="zh-CN"/>
              </w:rPr>
              <w:t>，</w:t>
            </w:r>
            <w:r>
              <w:rPr>
                <w:rFonts w:hint="eastAsia" w:cs="Times New Roman"/>
                <w:color w:val="auto"/>
                <w:lang w:val="en-US" w:eastAsia="zh-CN"/>
              </w:rPr>
              <w:t>厂区内无组织废气</w:t>
            </w:r>
            <w:r>
              <w:rPr>
                <w:rFonts w:hint="eastAsia" w:ascii="Times New Roman" w:hAnsi="Times New Roman" w:eastAsia="宋体" w:cs="Times New Roman"/>
                <w:color w:val="auto"/>
                <w:lang w:val="en-US" w:eastAsia="zh-CN"/>
              </w:rPr>
              <w:t>达</w:t>
            </w:r>
            <w:r>
              <w:rPr>
                <w:rFonts w:hint="eastAsia" w:ascii="Times New Roman" w:hAnsi="Times New Roman" w:eastAsia="宋体" w:cs="Times New Roman"/>
                <w:color w:val="auto"/>
              </w:rPr>
              <w:t>江苏省地标《大气污染物综合排放标准》（DB32/4041-2021）表2标准</w:t>
            </w:r>
            <w:r>
              <w:rPr>
                <w:rFonts w:hint="eastAsia" w:cs="Times New Roman"/>
                <w:color w:val="auto"/>
                <w:lang w:eastAsia="zh-CN"/>
              </w:rPr>
              <w:t>，</w:t>
            </w:r>
            <w:r>
              <w:rPr>
                <w:rFonts w:hint="eastAsia" w:cs="Times New Roman"/>
                <w:color w:val="auto"/>
                <w:lang w:val="en-US" w:eastAsia="zh-CN"/>
              </w:rPr>
              <w:t>废气有组织排放量约为0.0022t/a</w:t>
            </w:r>
            <w:r>
              <w:rPr>
                <w:rFonts w:hint="eastAsia" w:ascii="Times New Roman" w:hAnsi="Times New Roman" w:eastAsia="宋体" w:cs="Times New Roman"/>
                <w:color w:val="auto"/>
                <w:lang w:val="en-US" w:eastAsia="zh-CN"/>
              </w:rPr>
              <w:t>。</w:t>
            </w:r>
          </w:p>
          <w:p w14:paraId="2B8D5493">
            <w:pPr>
              <w:pStyle w:val="135"/>
              <w:ind w:left="0" w:leftChars="0" w:firstLine="436"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废水</w:t>
            </w:r>
          </w:p>
          <w:p w14:paraId="0E7AE538">
            <w:pPr>
              <w:spacing w:line="360" w:lineRule="auto"/>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现有项目废水主要为职工生活污水，</w:t>
            </w:r>
            <w:r>
              <w:rPr>
                <w:bCs/>
                <w:color w:val="auto"/>
              </w:rPr>
              <w:t>生活污水产生量为</w:t>
            </w:r>
            <w:r>
              <w:rPr>
                <w:rFonts w:hint="eastAsia"/>
                <w:bCs/>
                <w:color w:val="auto"/>
              </w:rPr>
              <w:t>360</w:t>
            </w:r>
            <w:r>
              <w:rPr>
                <w:bCs/>
                <w:color w:val="auto"/>
              </w:rPr>
              <w:t>t/a。经化粪池预处理后通过污水接管口接入江阴市月城综合污水处理有限公司集中处理，处理出水达《太湖地区城镇污水处理厂及重点工业行业主要水污染物排放限值》（DB32/1072-2018）表2标准和《城镇污水处理厂污染物排放标准》（GB18918-2002）表1一级A标准后排入</w:t>
            </w:r>
            <w:r>
              <w:rPr>
                <w:rFonts w:hint="eastAsia"/>
                <w:bCs/>
                <w:color w:val="auto"/>
              </w:rPr>
              <w:t>锡澄运</w:t>
            </w:r>
            <w:r>
              <w:rPr>
                <w:bCs/>
                <w:color w:val="auto"/>
              </w:rPr>
              <w:t>河</w:t>
            </w:r>
            <w:r>
              <w:rPr>
                <w:color w:val="auto"/>
              </w:rPr>
              <w:t>。</w:t>
            </w:r>
          </w:p>
          <w:p w14:paraId="72F8B866">
            <w:pPr>
              <w:spacing w:line="360" w:lineRule="auto"/>
              <w:ind w:firstLine="420" w:firstLineChars="200"/>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rPr>
              <w:t>根据</w:t>
            </w:r>
            <w:r>
              <w:rPr>
                <w:rFonts w:hint="eastAsia" w:ascii="Times New Roman" w:hAnsi="Times New Roman" w:eastAsia="宋体" w:cs="Times New Roman"/>
                <w:bCs/>
                <w:color w:val="auto"/>
                <w:lang w:val="en-US" w:eastAsia="zh-CN"/>
              </w:rPr>
              <w:t>江阴市一众检测有限公司YZJC-BG-2025-09187中的相关内容，该厂区生活废水各污染因子均可达标接管。</w:t>
            </w:r>
          </w:p>
          <w:p w14:paraId="6B674ABD">
            <w:pPr>
              <w:pStyle w:val="135"/>
              <w:ind w:left="0" w:leftChars="0" w:firstLine="436"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噪声</w:t>
            </w:r>
          </w:p>
          <w:p w14:paraId="6260EF60">
            <w:pPr>
              <w:spacing w:line="360" w:lineRule="auto"/>
              <w:ind w:firstLine="420" w:firstLineChars="200"/>
              <w:rPr>
                <w:rFonts w:hint="eastAsia" w:ascii="Times New Roman" w:hAnsi="Times New Roman" w:eastAsia="宋体" w:cs="Times New Roman"/>
                <w:bCs/>
                <w:color w:val="auto"/>
              </w:rPr>
            </w:pPr>
            <w:r>
              <w:rPr>
                <w:rFonts w:hint="eastAsia" w:ascii="Times New Roman" w:hAnsi="Times New Roman" w:eastAsia="宋体" w:cs="Times New Roman"/>
                <w:bCs/>
                <w:color w:val="auto"/>
                <w:lang w:val="en-US" w:eastAsia="zh-CN"/>
              </w:rPr>
              <w:t>现有</w:t>
            </w:r>
            <w:r>
              <w:rPr>
                <w:rFonts w:ascii="Times New Roman" w:hAnsi="Times New Roman" w:eastAsia="宋体" w:cs="Times New Roman"/>
                <w:bCs/>
                <w:color w:val="auto"/>
              </w:rPr>
              <w:t>项目</w:t>
            </w:r>
            <w:r>
              <w:rPr>
                <w:rFonts w:hint="eastAsia" w:ascii="Times New Roman" w:hAnsi="Times New Roman" w:eastAsia="宋体" w:cs="Times New Roman"/>
                <w:bCs/>
                <w:color w:val="auto"/>
              </w:rPr>
              <w:t>噪声源主要为注塑机、粉碎机、空压机、自动组装机、干燥机、混料机、冷却塔等生产及辅助设备，噪声源强≤85dB(A)，经建筑物车间厂房隔声、距离衰减后，厂界噪声可达《工业企业厂界环境噪声排放标准》（GB12348-2008）表1中3类标准。</w:t>
            </w:r>
          </w:p>
          <w:p w14:paraId="4D299BE6">
            <w:pPr>
              <w:spacing w:line="360" w:lineRule="auto"/>
              <w:ind w:firstLine="420" w:firstLineChars="200"/>
              <w:rPr>
                <w:rFonts w:hint="eastAsia"/>
                <w:color w:val="auto"/>
                <w:lang w:eastAsia="zh-CN"/>
              </w:rPr>
            </w:pPr>
            <w:r>
              <w:rPr>
                <w:rFonts w:hint="eastAsia" w:ascii="Times New Roman" w:hAnsi="Times New Roman" w:eastAsia="宋体" w:cs="Times New Roman"/>
                <w:bCs/>
                <w:color w:val="auto"/>
                <w:lang w:val="en-US" w:eastAsia="zh-CN"/>
              </w:rPr>
              <w:t>根据江阴市一众检测有限公司YZJC-BG-2025-09187中的相关内容，该厂区东、西、北厂界满足</w:t>
            </w:r>
            <w:r>
              <w:rPr>
                <w:color w:val="auto"/>
              </w:rPr>
              <w:t>《工业企业厂界环境噪声排放标准》（GB12348-2008）3类限值</w:t>
            </w:r>
            <w:r>
              <w:rPr>
                <w:rFonts w:hint="eastAsia"/>
                <w:color w:val="auto"/>
                <w:lang w:eastAsia="zh-CN"/>
              </w:rPr>
              <w:t>。</w:t>
            </w:r>
          </w:p>
          <w:p w14:paraId="3074CC83">
            <w:pPr>
              <w:pStyle w:val="135"/>
              <w:ind w:left="0" w:leftChars="0" w:firstLine="436"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固废</w:t>
            </w:r>
          </w:p>
          <w:p w14:paraId="6311B4A1">
            <w:pPr>
              <w:spacing w:line="360" w:lineRule="auto"/>
              <w:ind w:firstLine="420" w:firstLineChars="200"/>
              <w:rPr>
                <w:rFonts w:hint="eastAsia"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项目固体废物为塑料边角料、不合格品、废活性炭、废机油、废油桶和生活垃圾，其中塑料边角料、不合格品为一般固废，收集后粉碎回收利用，废活性炭、废机油、废油桶为危险废物，委托有资质单位处置，生活垃圾由当地环卫部门统一处置。</w:t>
            </w:r>
          </w:p>
          <w:p w14:paraId="064A0238">
            <w:pPr>
              <w:spacing w:line="360" w:lineRule="auto"/>
              <w:ind w:firstLine="420" w:firstLineChars="200"/>
              <w:rPr>
                <w:rFonts w:hint="eastAsia"/>
                <w:color w:val="auto"/>
                <w:lang w:val="en-US" w:eastAsia="zh-CN"/>
              </w:rPr>
            </w:pPr>
          </w:p>
        </w:tc>
      </w:tr>
    </w:tbl>
    <w:p w14:paraId="3E8B0DDB">
      <w:pPr>
        <w:jc w:val="center"/>
        <w:rPr>
          <w:rFonts w:ascii="黑体" w:hAnsi="黑体" w:eastAsia="黑体"/>
          <w:snapToGrid w:val="0"/>
          <w:color w:val="000000" w:themeColor="text1"/>
          <w:sz w:val="36"/>
          <w:szCs w:val="36"/>
          <w:highlight w:val="yellow"/>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79F51D0">
      <w:pPr>
        <w:spacing w:line="360" w:lineRule="auto"/>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三、区域环境质量现状、环境保护目标及评价标准</w:t>
      </w:r>
    </w:p>
    <w:tbl>
      <w:tblPr>
        <w:tblStyle w:val="27"/>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428"/>
      </w:tblGrid>
      <w:tr w14:paraId="6B460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62" w:type="dxa"/>
            <w:tcBorders>
              <w:top w:val="single" w:color="auto" w:sz="4" w:space="0"/>
              <w:left w:val="single" w:color="auto" w:sz="4" w:space="0"/>
              <w:bottom w:val="single" w:color="auto" w:sz="4" w:space="0"/>
            </w:tcBorders>
            <w:vAlign w:val="center"/>
          </w:tcPr>
          <w:p w14:paraId="36128ECD">
            <w:pPr>
              <w:adjustRightInd w:val="0"/>
              <w:snapToGrid w:val="0"/>
              <w:jc w:val="center"/>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区域环境质量现状</w:t>
            </w:r>
          </w:p>
        </w:tc>
        <w:tc>
          <w:tcPr>
            <w:tcW w:w="8428" w:type="dxa"/>
            <w:tcBorders>
              <w:top w:val="single" w:color="auto" w:sz="4" w:space="0"/>
              <w:bottom w:val="single" w:color="auto" w:sz="4" w:space="0"/>
              <w:right w:val="single" w:color="auto" w:sz="4" w:space="0"/>
            </w:tcBorders>
          </w:tcPr>
          <w:p w14:paraId="00FD1A3B">
            <w:pPr>
              <w:spacing w:line="360" w:lineRule="auto"/>
              <w:jc w:val="left"/>
              <w:rPr>
                <w:rFonts w:ascii="宋体" w:hAnsi="宋体" w:cs="宋体"/>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1</w:t>
            </w:r>
            <w:r>
              <w:rPr>
                <w:rFonts w:hint="eastAsia"/>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大气环境</w:t>
            </w:r>
          </w:p>
          <w:p w14:paraId="08E3EF0D">
            <w:pPr>
              <w:spacing w:line="360" w:lineRule="auto"/>
              <w:ind w:firstLine="422" w:firstLineChars="200"/>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（1）达标区判定</w:t>
            </w:r>
          </w:p>
          <w:p w14:paraId="2B56803F">
            <w:pPr>
              <w:spacing w:line="360"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根据无锡市江阴生态环境局公开发布的《2024年度江阴市生态环境状况公报》，2024年江阴市主要空气污染物指标监测结果见表3-1。</w:t>
            </w:r>
          </w:p>
          <w:p w14:paraId="3082AA8C">
            <w:pPr>
              <w:jc w:val="center"/>
              <w:rPr>
                <w:rFonts w:hint="default" w:ascii="Times New Roman" w:hAnsi="Times New Roman" w:eastAsia="宋体" w:cs="Times New Roman"/>
                <w:b/>
                <w:color w:val="000000" w:themeColor="text1"/>
                <w:szCs w:val="21"/>
                <w14:textFill>
                  <w14:solidFill>
                    <w14:schemeClr w14:val="tx1"/>
                  </w14:solidFill>
                </w14:textFill>
              </w:rPr>
            </w:pPr>
            <w:r>
              <w:rPr>
                <w:rFonts w:hint="default" w:ascii="Times New Roman" w:hAnsi="Times New Roman" w:eastAsia="宋体" w:cs="Times New Roman"/>
                <w:b/>
                <w:color w:val="000000" w:themeColor="text1"/>
                <w:szCs w:val="21"/>
                <w14:textFill>
                  <w14:solidFill>
                    <w14:schemeClr w14:val="tx1"/>
                  </w14:solidFill>
                </w14:textFill>
              </w:rPr>
              <w:t xml:space="preserve">表3-1  </w:t>
            </w:r>
            <w:r>
              <w:rPr>
                <w:rFonts w:hint="default" w:ascii="Times New Roman" w:hAnsi="Times New Roman" w:eastAsia="宋体" w:cs="Times New Roman"/>
                <w:b/>
                <w:color w:val="000000" w:themeColor="text1"/>
                <w14:textFill>
                  <w14:solidFill>
                    <w14:schemeClr w14:val="tx1"/>
                  </w14:solidFill>
                </w14:textFill>
              </w:rPr>
              <w:t>区域空气质量现状评价表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36" w:type="dxa"/>
                <w:left w:w="107" w:type="dxa"/>
                <w:bottom w:w="0" w:type="dxa"/>
                <w:right w:w="108" w:type="dxa"/>
              </w:tblCellMar>
            </w:tblPr>
            <w:tblGrid>
              <w:gridCol w:w="829"/>
              <w:gridCol w:w="2193"/>
              <w:gridCol w:w="1400"/>
              <w:gridCol w:w="1354"/>
              <w:gridCol w:w="1175"/>
              <w:gridCol w:w="1261"/>
            </w:tblGrid>
            <w:tr w14:paraId="7A0BE3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36" w:type="dxa"/>
                  <w:left w:w="107" w:type="dxa"/>
                  <w:bottom w:w="0" w:type="dxa"/>
                  <w:right w:w="108" w:type="dxa"/>
                </w:tblCellMar>
              </w:tblPrEx>
              <w:trPr>
                <w:trHeight w:val="340" w:hRule="atLeast"/>
                <w:jc w:val="center"/>
              </w:trPr>
              <w:tc>
                <w:tcPr>
                  <w:tcW w:w="829" w:type="dxa"/>
                  <w:vAlign w:val="center"/>
                </w:tcPr>
                <w:p w14:paraId="1FD57ACA">
                  <w:pPr>
                    <w:adjustRightInd w:val="0"/>
                    <w:snapToGrid w:val="0"/>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污染物</w:t>
                  </w:r>
                </w:p>
              </w:tc>
              <w:tc>
                <w:tcPr>
                  <w:tcW w:w="2193" w:type="dxa"/>
                  <w:vAlign w:val="center"/>
                </w:tcPr>
                <w:p w14:paraId="5BD462DF">
                  <w:pPr>
                    <w:adjustRightInd w:val="0"/>
                    <w:snapToGrid w:val="0"/>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年评价指标</w:t>
                  </w:r>
                </w:p>
              </w:tc>
              <w:tc>
                <w:tcPr>
                  <w:tcW w:w="1400" w:type="dxa"/>
                  <w:vAlign w:val="center"/>
                </w:tcPr>
                <w:p w14:paraId="7DE1F224">
                  <w:pPr>
                    <w:adjustRightInd w:val="0"/>
                    <w:snapToGrid w:val="0"/>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现状浓度/</w:t>
                  </w:r>
                </w:p>
                <w:p w14:paraId="6013519A">
                  <w:pPr>
                    <w:adjustRightInd w:val="0"/>
                    <w:snapToGrid w:val="0"/>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（μg/m</w:t>
                  </w:r>
                  <w:r>
                    <w:rPr>
                      <w:rFonts w:hint="default" w:ascii="Times New Roman" w:hAnsi="Times New Roman" w:eastAsia="宋体" w:cs="Times New Roman"/>
                      <w:b/>
                      <w:color w:val="000000" w:themeColor="text1"/>
                      <w:sz w:val="18"/>
                      <w:szCs w:val="18"/>
                      <w:vertAlign w:val="superscript"/>
                      <w14:textFill>
                        <w14:solidFill>
                          <w14:schemeClr w14:val="tx1"/>
                        </w14:solidFill>
                      </w14:textFill>
                    </w:rPr>
                    <w:t>3</w:t>
                  </w:r>
                  <w:r>
                    <w:rPr>
                      <w:rFonts w:hint="default" w:ascii="Times New Roman" w:hAnsi="Times New Roman" w:eastAsia="宋体" w:cs="Times New Roman"/>
                      <w:b/>
                      <w:color w:val="000000" w:themeColor="text1"/>
                      <w:sz w:val="18"/>
                      <w:szCs w:val="18"/>
                      <w14:textFill>
                        <w14:solidFill>
                          <w14:schemeClr w14:val="tx1"/>
                        </w14:solidFill>
                      </w14:textFill>
                    </w:rPr>
                    <w:t>）</w:t>
                  </w:r>
                </w:p>
              </w:tc>
              <w:tc>
                <w:tcPr>
                  <w:tcW w:w="1354" w:type="dxa"/>
                  <w:vAlign w:val="center"/>
                </w:tcPr>
                <w:p w14:paraId="602E6AF8">
                  <w:pPr>
                    <w:adjustRightInd w:val="0"/>
                    <w:snapToGrid w:val="0"/>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标准值/</w:t>
                  </w:r>
                </w:p>
                <w:p w14:paraId="6FCA86C1">
                  <w:pPr>
                    <w:adjustRightInd w:val="0"/>
                    <w:snapToGrid w:val="0"/>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（μg/m</w:t>
                  </w:r>
                  <w:r>
                    <w:rPr>
                      <w:rFonts w:hint="default" w:ascii="Times New Roman" w:hAnsi="Times New Roman" w:eastAsia="宋体" w:cs="Times New Roman"/>
                      <w:b/>
                      <w:color w:val="000000" w:themeColor="text1"/>
                      <w:sz w:val="18"/>
                      <w:szCs w:val="18"/>
                      <w:vertAlign w:val="superscript"/>
                      <w14:textFill>
                        <w14:solidFill>
                          <w14:schemeClr w14:val="tx1"/>
                        </w14:solidFill>
                      </w14:textFill>
                    </w:rPr>
                    <w:t>3</w:t>
                  </w:r>
                  <w:r>
                    <w:rPr>
                      <w:rFonts w:hint="default" w:ascii="Times New Roman" w:hAnsi="Times New Roman" w:eastAsia="宋体" w:cs="Times New Roman"/>
                      <w:b/>
                      <w:color w:val="000000" w:themeColor="text1"/>
                      <w:sz w:val="18"/>
                      <w:szCs w:val="18"/>
                      <w14:textFill>
                        <w14:solidFill>
                          <w14:schemeClr w14:val="tx1"/>
                        </w14:solidFill>
                      </w14:textFill>
                    </w:rPr>
                    <w:t>）</w:t>
                  </w:r>
                </w:p>
              </w:tc>
              <w:tc>
                <w:tcPr>
                  <w:tcW w:w="1175" w:type="dxa"/>
                  <w:vAlign w:val="center"/>
                </w:tcPr>
                <w:p w14:paraId="47A09213">
                  <w:pPr>
                    <w:adjustRightInd w:val="0"/>
                    <w:snapToGrid w:val="0"/>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占标率%</w:t>
                  </w:r>
                </w:p>
              </w:tc>
              <w:tc>
                <w:tcPr>
                  <w:tcW w:w="1261" w:type="dxa"/>
                  <w:vAlign w:val="center"/>
                </w:tcPr>
                <w:p w14:paraId="7610B565">
                  <w:pPr>
                    <w:adjustRightInd w:val="0"/>
                    <w:snapToGrid w:val="0"/>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达标情况</w:t>
                  </w:r>
                </w:p>
              </w:tc>
            </w:tr>
            <w:tr w14:paraId="57951C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36" w:type="dxa"/>
                  <w:left w:w="107" w:type="dxa"/>
                  <w:bottom w:w="0" w:type="dxa"/>
                  <w:right w:w="108" w:type="dxa"/>
                </w:tblCellMar>
              </w:tblPrEx>
              <w:trPr>
                <w:trHeight w:val="340" w:hRule="atLeast"/>
                <w:jc w:val="center"/>
              </w:trPr>
              <w:tc>
                <w:tcPr>
                  <w:tcW w:w="829" w:type="dxa"/>
                  <w:vAlign w:val="center"/>
                </w:tcPr>
                <w:p w14:paraId="351E7AC5">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SO</w:t>
                  </w:r>
                  <w:r>
                    <w:rPr>
                      <w:rFonts w:hint="default" w:ascii="Times New Roman" w:hAnsi="Times New Roman" w:eastAsia="宋体" w:cs="Times New Roman"/>
                      <w:bCs/>
                      <w:color w:val="000000" w:themeColor="text1"/>
                      <w:sz w:val="18"/>
                      <w:szCs w:val="18"/>
                      <w:vertAlign w:val="subscript"/>
                      <w14:textFill>
                        <w14:solidFill>
                          <w14:schemeClr w14:val="tx1"/>
                        </w14:solidFill>
                      </w14:textFill>
                    </w:rPr>
                    <w:t>2</w:t>
                  </w:r>
                </w:p>
              </w:tc>
              <w:tc>
                <w:tcPr>
                  <w:tcW w:w="2193" w:type="dxa"/>
                  <w:vAlign w:val="center"/>
                </w:tcPr>
                <w:p w14:paraId="6D58A783">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年平均质量浓度</w:t>
                  </w:r>
                </w:p>
              </w:tc>
              <w:tc>
                <w:tcPr>
                  <w:tcW w:w="1400" w:type="dxa"/>
                  <w:vAlign w:val="center"/>
                </w:tcPr>
                <w:p w14:paraId="7D1F4585">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8</w:t>
                  </w:r>
                </w:p>
              </w:tc>
              <w:tc>
                <w:tcPr>
                  <w:tcW w:w="1354" w:type="dxa"/>
                  <w:vAlign w:val="center"/>
                </w:tcPr>
                <w:p w14:paraId="33BB061D">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60</w:t>
                  </w:r>
                </w:p>
              </w:tc>
              <w:tc>
                <w:tcPr>
                  <w:tcW w:w="1175" w:type="dxa"/>
                  <w:vAlign w:val="center"/>
                </w:tcPr>
                <w:p w14:paraId="28E657AF">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13.3</w:t>
                  </w:r>
                </w:p>
              </w:tc>
              <w:tc>
                <w:tcPr>
                  <w:tcW w:w="1261" w:type="dxa"/>
                  <w:vAlign w:val="center"/>
                </w:tcPr>
                <w:p w14:paraId="27BEA38D">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达标</w:t>
                  </w:r>
                </w:p>
              </w:tc>
            </w:tr>
            <w:tr w14:paraId="713AC6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36" w:type="dxa"/>
                  <w:left w:w="107" w:type="dxa"/>
                  <w:bottom w:w="0" w:type="dxa"/>
                  <w:right w:w="108" w:type="dxa"/>
                </w:tblCellMar>
              </w:tblPrEx>
              <w:trPr>
                <w:trHeight w:val="340" w:hRule="atLeast"/>
                <w:jc w:val="center"/>
              </w:trPr>
              <w:tc>
                <w:tcPr>
                  <w:tcW w:w="829" w:type="dxa"/>
                  <w:vAlign w:val="center"/>
                </w:tcPr>
                <w:p w14:paraId="0E83C5F5">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NO</w:t>
                  </w:r>
                  <w:r>
                    <w:rPr>
                      <w:rFonts w:hint="default" w:ascii="Times New Roman" w:hAnsi="Times New Roman" w:eastAsia="宋体" w:cs="Times New Roman"/>
                      <w:bCs/>
                      <w:color w:val="000000" w:themeColor="text1"/>
                      <w:sz w:val="18"/>
                      <w:szCs w:val="18"/>
                      <w:vertAlign w:val="subscript"/>
                      <w14:textFill>
                        <w14:solidFill>
                          <w14:schemeClr w14:val="tx1"/>
                        </w14:solidFill>
                      </w14:textFill>
                    </w:rPr>
                    <w:t>2</w:t>
                  </w:r>
                </w:p>
              </w:tc>
              <w:tc>
                <w:tcPr>
                  <w:tcW w:w="2193" w:type="dxa"/>
                  <w:vAlign w:val="center"/>
                </w:tcPr>
                <w:p w14:paraId="704E0644">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年平均质量浓度</w:t>
                  </w:r>
                </w:p>
              </w:tc>
              <w:tc>
                <w:tcPr>
                  <w:tcW w:w="1400" w:type="dxa"/>
                  <w:vAlign w:val="center"/>
                </w:tcPr>
                <w:p w14:paraId="7C535CBB">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33.1</w:t>
                  </w:r>
                </w:p>
              </w:tc>
              <w:tc>
                <w:tcPr>
                  <w:tcW w:w="1354" w:type="dxa"/>
                  <w:vAlign w:val="center"/>
                </w:tcPr>
                <w:p w14:paraId="25195FDB">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40</w:t>
                  </w:r>
                </w:p>
              </w:tc>
              <w:tc>
                <w:tcPr>
                  <w:tcW w:w="1175" w:type="dxa"/>
                  <w:vAlign w:val="center"/>
                </w:tcPr>
                <w:p w14:paraId="597F1A04">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82.8</w:t>
                  </w:r>
                </w:p>
              </w:tc>
              <w:tc>
                <w:tcPr>
                  <w:tcW w:w="1261" w:type="dxa"/>
                  <w:vAlign w:val="center"/>
                </w:tcPr>
                <w:p w14:paraId="7C15F3E6">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达标</w:t>
                  </w:r>
                </w:p>
              </w:tc>
            </w:tr>
            <w:tr w14:paraId="163925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36" w:type="dxa"/>
                  <w:left w:w="107" w:type="dxa"/>
                  <w:bottom w:w="0" w:type="dxa"/>
                  <w:right w:w="108" w:type="dxa"/>
                </w:tblCellMar>
              </w:tblPrEx>
              <w:trPr>
                <w:trHeight w:val="340" w:hRule="atLeast"/>
                <w:jc w:val="center"/>
              </w:trPr>
              <w:tc>
                <w:tcPr>
                  <w:tcW w:w="829" w:type="dxa"/>
                  <w:vAlign w:val="center"/>
                </w:tcPr>
                <w:p w14:paraId="76E59C83">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PM</w:t>
                  </w:r>
                  <w:r>
                    <w:rPr>
                      <w:rFonts w:hint="default" w:ascii="Times New Roman" w:hAnsi="Times New Roman" w:eastAsia="宋体" w:cs="Times New Roman"/>
                      <w:bCs/>
                      <w:color w:val="000000" w:themeColor="text1"/>
                      <w:sz w:val="18"/>
                      <w:szCs w:val="18"/>
                      <w:vertAlign w:val="subscript"/>
                      <w14:textFill>
                        <w14:solidFill>
                          <w14:schemeClr w14:val="tx1"/>
                        </w14:solidFill>
                      </w14:textFill>
                    </w:rPr>
                    <w:t>10</w:t>
                  </w:r>
                </w:p>
              </w:tc>
              <w:tc>
                <w:tcPr>
                  <w:tcW w:w="2193" w:type="dxa"/>
                  <w:vAlign w:val="center"/>
                </w:tcPr>
                <w:p w14:paraId="61B2458C">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年平均质量浓度</w:t>
                  </w:r>
                </w:p>
              </w:tc>
              <w:tc>
                <w:tcPr>
                  <w:tcW w:w="1400" w:type="dxa"/>
                  <w:vAlign w:val="center"/>
                </w:tcPr>
                <w:p w14:paraId="0F2304B9">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51.7</w:t>
                  </w:r>
                </w:p>
              </w:tc>
              <w:tc>
                <w:tcPr>
                  <w:tcW w:w="1354" w:type="dxa"/>
                  <w:vAlign w:val="center"/>
                </w:tcPr>
                <w:p w14:paraId="4D78E028">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70</w:t>
                  </w:r>
                </w:p>
              </w:tc>
              <w:tc>
                <w:tcPr>
                  <w:tcW w:w="1175" w:type="dxa"/>
                  <w:vAlign w:val="center"/>
                </w:tcPr>
                <w:p w14:paraId="313C4C27">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73.9</w:t>
                  </w:r>
                </w:p>
              </w:tc>
              <w:tc>
                <w:tcPr>
                  <w:tcW w:w="1261" w:type="dxa"/>
                  <w:vAlign w:val="center"/>
                </w:tcPr>
                <w:p w14:paraId="7142440A">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达标</w:t>
                  </w:r>
                </w:p>
              </w:tc>
            </w:tr>
            <w:tr w14:paraId="4A12E0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36" w:type="dxa"/>
                  <w:left w:w="107" w:type="dxa"/>
                  <w:bottom w:w="0" w:type="dxa"/>
                  <w:right w:w="108" w:type="dxa"/>
                </w:tblCellMar>
              </w:tblPrEx>
              <w:trPr>
                <w:trHeight w:val="340" w:hRule="atLeast"/>
                <w:jc w:val="center"/>
              </w:trPr>
              <w:tc>
                <w:tcPr>
                  <w:tcW w:w="829" w:type="dxa"/>
                  <w:vAlign w:val="center"/>
                </w:tcPr>
                <w:p w14:paraId="29644310">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PM</w:t>
                  </w:r>
                  <w:r>
                    <w:rPr>
                      <w:rFonts w:hint="default" w:ascii="Times New Roman" w:hAnsi="Times New Roman" w:eastAsia="宋体" w:cs="Times New Roman"/>
                      <w:bCs/>
                      <w:color w:val="000000" w:themeColor="text1"/>
                      <w:sz w:val="18"/>
                      <w:szCs w:val="18"/>
                      <w:vertAlign w:val="subscript"/>
                      <w14:textFill>
                        <w14:solidFill>
                          <w14:schemeClr w14:val="tx1"/>
                        </w14:solidFill>
                      </w14:textFill>
                    </w:rPr>
                    <w:t>2.5</w:t>
                  </w:r>
                </w:p>
              </w:tc>
              <w:tc>
                <w:tcPr>
                  <w:tcW w:w="2193" w:type="dxa"/>
                  <w:vAlign w:val="center"/>
                </w:tcPr>
                <w:p w14:paraId="066D868C">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年平均质量浓度</w:t>
                  </w:r>
                </w:p>
              </w:tc>
              <w:tc>
                <w:tcPr>
                  <w:tcW w:w="1400" w:type="dxa"/>
                  <w:vAlign w:val="center"/>
                </w:tcPr>
                <w:p w14:paraId="32CF5225">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32</w:t>
                  </w:r>
                </w:p>
              </w:tc>
              <w:tc>
                <w:tcPr>
                  <w:tcW w:w="1354" w:type="dxa"/>
                  <w:vAlign w:val="center"/>
                </w:tcPr>
                <w:p w14:paraId="568F3280">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35</w:t>
                  </w:r>
                </w:p>
              </w:tc>
              <w:tc>
                <w:tcPr>
                  <w:tcW w:w="1175" w:type="dxa"/>
                  <w:vAlign w:val="center"/>
                </w:tcPr>
                <w:p w14:paraId="4E914944">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91.4</w:t>
                  </w:r>
                </w:p>
              </w:tc>
              <w:tc>
                <w:tcPr>
                  <w:tcW w:w="1261" w:type="dxa"/>
                  <w:vAlign w:val="center"/>
                </w:tcPr>
                <w:p w14:paraId="36B49DB4">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达标</w:t>
                  </w:r>
                </w:p>
              </w:tc>
            </w:tr>
            <w:tr w14:paraId="67A4BA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36" w:type="dxa"/>
                  <w:left w:w="107" w:type="dxa"/>
                  <w:bottom w:w="0" w:type="dxa"/>
                  <w:right w:w="108" w:type="dxa"/>
                </w:tblCellMar>
              </w:tblPrEx>
              <w:trPr>
                <w:trHeight w:val="340" w:hRule="atLeast"/>
                <w:jc w:val="center"/>
              </w:trPr>
              <w:tc>
                <w:tcPr>
                  <w:tcW w:w="829" w:type="dxa"/>
                  <w:vAlign w:val="center"/>
                </w:tcPr>
                <w:p w14:paraId="51440D58">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CO</w:t>
                  </w:r>
                </w:p>
              </w:tc>
              <w:tc>
                <w:tcPr>
                  <w:tcW w:w="2193" w:type="dxa"/>
                  <w:vAlign w:val="center"/>
                </w:tcPr>
                <w:p w14:paraId="3AC0D7A3">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第95百分位数</w:t>
                  </w:r>
                </w:p>
              </w:tc>
              <w:tc>
                <w:tcPr>
                  <w:tcW w:w="1400" w:type="dxa"/>
                  <w:vAlign w:val="center"/>
                </w:tcPr>
                <w:p w14:paraId="131D6CEC">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1134</w:t>
                  </w:r>
                </w:p>
              </w:tc>
              <w:tc>
                <w:tcPr>
                  <w:tcW w:w="1354" w:type="dxa"/>
                  <w:vAlign w:val="center"/>
                </w:tcPr>
                <w:p w14:paraId="6AE85201">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4000</w:t>
                  </w:r>
                </w:p>
              </w:tc>
              <w:tc>
                <w:tcPr>
                  <w:tcW w:w="1175" w:type="dxa"/>
                  <w:vAlign w:val="center"/>
                </w:tcPr>
                <w:p w14:paraId="6D9EDA02">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28.4</w:t>
                  </w:r>
                </w:p>
              </w:tc>
              <w:tc>
                <w:tcPr>
                  <w:tcW w:w="1261" w:type="dxa"/>
                  <w:vAlign w:val="center"/>
                </w:tcPr>
                <w:p w14:paraId="021E836E">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达标</w:t>
                  </w:r>
                </w:p>
              </w:tc>
            </w:tr>
            <w:tr w14:paraId="44872D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36" w:type="dxa"/>
                  <w:left w:w="107" w:type="dxa"/>
                  <w:bottom w:w="0" w:type="dxa"/>
                  <w:right w:w="108" w:type="dxa"/>
                </w:tblCellMar>
              </w:tblPrEx>
              <w:trPr>
                <w:trHeight w:val="340" w:hRule="atLeast"/>
                <w:jc w:val="center"/>
              </w:trPr>
              <w:tc>
                <w:tcPr>
                  <w:tcW w:w="829" w:type="dxa"/>
                  <w:vAlign w:val="center"/>
                </w:tcPr>
                <w:p w14:paraId="35919D0E">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O</w:t>
                  </w:r>
                  <w:r>
                    <w:rPr>
                      <w:rFonts w:hint="default" w:ascii="Times New Roman" w:hAnsi="Times New Roman" w:eastAsia="宋体" w:cs="Times New Roman"/>
                      <w:bCs/>
                      <w:color w:val="000000" w:themeColor="text1"/>
                      <w:sz w:val="18"/>
                      <w:szCs w:val="18"/>
                      <w:vertAlign w:val="subscript"/>
                      <w14:textFill>
                        <w14:solidFill>
                          <w14:schemeClr w14:val="tx1"/>
                        </w14:solidFill>
                      </w14:textFill>
                    </w:rPr>
                    <w:t>3</w:t>
                  </w:r>
                </w:p>
              </w:tc>
              <w:tc>
                <w:tcPr>
                  <w:tcW w:w="2193" w:type="dxa"/>
                  <w:vAlign w:val="center"/>
                </w:tcPr>
                <w:p w14:paraId="2E42F34F">
                  <w:pPr>
                    <w:widowControl/>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lang w:bidi="ar"/>
                      <w14:textFill>
                        <w14:solidFill>
                          <w14:schemeClr w14:val="tx1"/>
                        </w14:solidFill>
                      </w14:textFill>
                    </w:rPr>
                    <w:t>最大8小时滑动平均值第90百分位数</w:t>
                  </w:r>
                </w:p>
              </w:tc>
              <w:tc>
                <w:tcPr>
                  <w:tcW w:w="1400" w:type="dxa"/>
                  <w:vAlign w:val="center"/>
                </w:tcPr>
                <w:p w14:paraId="597CF3A4">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162</w:t>
                  </w:r>
                </w:p>
              </w:tc>
              <w:tc>
                <w:tcPr>
                  <w:tcW w:w="1354" w:type="dxa"/>
                  <w:vAlign w:val="center"/>
                </w:tcPr>
                <w:p w14:paraId="299BC188">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160</w:t>
                  </w:r>
                </w:p>
              </w:tc>
              <w:tc>
                <w:tcPr>
                  <w:tcW w:w="1175" w:type="dxa"/>
                  <w:vAlign w:val="center"/>
                </w:tcPr>
                <w:p w14:paraId="575C47E9">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101.3</w:t>
                  </w:r>
                </w:p>
              </w:tc>
              <w:tc>
                <w:tcPr>
                  <w:tcW w:w="1261" w:type="dxa"/>
                  <w:vAlign w:val="center"/>
                </w:tcPr>
                <w:p w14:paraId="0A3F96C1">
                  <w:pPr>
                    <w:adjustRightInd w:val="0"/>
                    <w:snapToGrid w:val="0"/>
                    <w:jc w:val="center"/>
                    <w:rPr>
                      <w:rFonts w:hint="default" w:ascii="Times New Roman" w:hAnsi="Times New Roman" w:eastAsia="宋体" w:cs="Times New Roman"/>
                      <w:bCs/>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sz w:val="18"/>
                      <w:szCs w:val="18"/>
                      <w14:textFill>
                        <w14:solidFill>
                          <w14:schemeClr w14:val="tx1"/>
                        </w14:solidFill>
                      </w14:textFill>
                    </w:rPr>
                    <w:t>超标</w:t>
                  </w:r>
                </w:p>
              </w:tc>
            </w:tr>
          </w:tbl>
          <w:p w14:paraId="10DCE0A1">
            <w:pPr>
              <w:spacing w:before="120" w:beforeLines="50" w:line="360"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由上表可见，2024年江阴市环境空气中SO</w:t>
            </w:r>
            <w:r>
              <w:rPr>
                <w:rFonts w:hint="default" w:ascii="Times New Roman" w:hAnsi="Times New Roman" w:eastAsia="宋体" w:cs="Times New Roman"/>
                <w:color w:val="000000" w:themeColor="text1"/>
                <w:vertAlign w:val="sub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、NO</w:t>
            </w:r>
            <w:r>
              <w:rPr>
                <w:rFonts w:hint="default" w:ascii="Times New Roman" w:hAnsi="Times New Roman" w:eastAsia="宋体" w:cs="Times New Roman"/>
                <w:color w:val="000000" w:themeColor="text1"/>
                <w:vertAlign w:val="sub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、PM</w:t>
            </w:r>
            <w:r>
              <w:rPr>
                <w:rFonts w:hint="default" w:ascii="Times New Roman" w:hAnsi="Times New Roman" w:eastAsia="宋体" w:cs="Times New Roman"/>
                <w:color w:val="000000" w:themeColor="text1"/>
                <w:vertAlign w:val="subscript"/>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、PM</w:t>
            </w:r>
            <w:r>
              <w:rPr>
                <w:rFonts w:hint="default" w:ascii="Times New Roman" w:hAnsi="Times New Roman" w:eastAsia="宋体" w:cs="Times New Roman"/>
                <w:color w:val="000000" w:themeColor="text1"/>
                <w:vertAlign w:val="subscript"/>
                <w14:textFill>
                  <w14:solidFill>
                    <w14:schemeClr w14:val="tx1"/>
                  </w14:solidFill>
                </w14:textFill>
              </w:rPr>
              <w:t>2.5</w:t>
            </w:r>
            <w:r>
              <w:rPr>
                <w:rFonts w:hint="default" w:ascii="Times New Roman" w:hAnsi="Times New Roman" w:eastAsia="宋体" w:cs="Times New Roman"/>
                <w:color w:val="000000" w:themeColor="text1"/>
                <w14:textFill>
                  <w14:solidFill>
                    <w14:schemeClr w14:val="tx1"/>
                  </w14:solidFill>
                </w14:textFill>
              </w:rPr>
              <w:t>年均浓度、CO第95百分位数浓度满足《环境空气质量标准》（GB3095-2012）二级标准，O</w:t>
            </w:r>
            <w:r>
              <w:rPr>
                <w:rFonts w:hint="default" w:ascii="Times New Roman" w:hAnsi="Times New Roman" w:eastAsia="宋体" w:cs="Times New Roman"/>
                <w:color w:val="000000" w:themeColor="text1"/>
                <w:vertAlign w:val="sub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的</w:t>
            </w:r>
            <w:r>
              <w:rPr>
                <w:rFonts w:hint="default" w:ascii="Times New Roman" w:hAnsi="Times New Roman" w:eastAsia="宋体" w:cs="Times New Roman"/>
                <w:color w:val="000000" w:themeColor="text1"/>
                <w:kern w:val="0"/>
                <w:szCs w:val="21"/>
                <w:lang w:bidi="ar"/>
                <w14:textFill>
                  <w14:solidFill>
                    <w14:schemeClr w14:val="tx1"/>
                  </w14:solidFill>
                </w14:textFill>
              </w:rPr>
              <w:t>最大8小时滑动平均值第90百分位数</w:t>
            </w:r>
            <w:r>
              <w:rPr>
                <w:rFonts w:hint="default" w:ascii="Times New Roman" w:hAnsi="Times New Roman" w:eastAsia="宋体" w:cs="Times New Roman"/>
                <w:color w:val="000000" w:themeColor="text1"/>
                <w14:textFill>
                  <w14:solidFill>
                    <w14:schemeClr w14:val="tx1"/>
                  </w14:solidFill>
                </w14:textFill>
              </w:rPr>
              <w:t>超过《环境空气质量标准》（GB3095-2012）二级标准。因此，项目所在的江阴市属于不达标区。</w:t>
            </w:r>
          </w:p>
          <w:p w14:paraId="1701A1E8">
            <w:pPr>
              <w:spacing w:line="360" w:lineRule="auto"/>
              <w:jc w:val="left"/>
              <w:rPr>
                <w:rFonts w:ascii="宋体" w:hAnsi="宋体" w:cs="宋体"/>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2</w:t>
            </w:r>
            <w:r>
              <w:rPr>
                <w:rFonts w:hint="eastAsia"/>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地表水环境</w:t>
            </w:r>
          </w:p>
          <w:p w14:paraId="34AD07A4">
            <w:pPr>
              <w:spacing w:line="360" w:lineRule="auto"/>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根据《2024年度江阴市生态环境状况公报》，2024年全市国、省考河流断面水质优Ⅲ比例达到100%，长江三个集中式饮用水源地达标率100%，长江干流江阴段稳定达到Ⅱ类标准，地表水环境质量总体改善。</w:t>
            </w:r>
            <w:r>
              <w:rPr>
                <w:color w:val="000000" w:themeColor="text1"/>
                <w:szCs w:val="21"/>
                <w14:textFill>
                  <w14:solidFill>
                    <w14:schemeClr w14:val="tx1"/>
                  </w14:solidFill>
                </w14:textFill>
              </w:rPr>
              <w:t>全市6个国考断面全部达标，优Ⅲ比例100%，同比持平，其中4个断面达到Ⅱ类；全市18个省考断面全部达标，优Ⅲ比例100%，同比持平，其中11个断面达到Ⅱ类。全市16条主要河流共设置地表水重点监测断面22个，其中Ⅱ类水质断面13个，Ⅲ类水质断面9个，无Ⅳ类、Ⅴ类和劣Ⅴ类水质断面。与2023年相比，总体水质变好，Ⅱ类断面比例上升4.6个百分点。16条重点河流中，长江、应天河、桃花港、石牌港、申港河、利港河、老夏港河、新夏港河、白屈港、锡澄运河、新沟河等11条河流水质状况为优；东横河、东清河、二干河、青祝运河、张家港河等5条河流水质状况为良好。与2023年相比，2024年全市16条重点河流中，白屈港、锡澄运河、新沟河、新夏港河水质由良好转为优。</w:t>
            </w:r>
          </w:p>
          <w:p w14:paraId="11280731">
            <w:pPr>
              <w:adjustRightInd w:val="0"/>
              <w:snapToGrid w:val="0"/>
              <w:spacing w:line="360" w:lineRule="auto"/>
              <w:jc w:val="left"/>
              <w:rPr>
                <w:rFonts w:ascii="宋体" w:hAnsi="宋体" w:cs="宋体"/>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3</w:t>
            </w:r>
            <w:r>
              <w:rPr>
                <w:rFonts w:hint="eastAsia"/>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声环境</w:t>
            </w:r>
          </w:p>
          <w:p w14:paraId="47A89BBF">
            <w:pPr>
              <w:spacing w:line="360" w:lineRule="auto"/>
              <w:ind w:firstLine="420" w:firstLineChars="2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本项目厂界外5</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m范围内不存在噪声敏感目标。</w:t>
            </w:r>
            <w:r>
              <w:rPr>
                <w:color w:val="000000" w:themeColor="text1"/>
                <w14:textFill>
                  <w14:solidFill>
                    <w14:schemeClr w14:val="tx1"/>
                  </w14:solidFill>
                </w14:textFill>
              </w:rPr>
              <w:t>根据《2024年度江阴市生态环境状况公报》，</w:t>
            </w:r>
            <w:r>
              <w:rPr>
                <w:rFonts w:hint="eastAsia"/>
                <w:color w:val="000000" w:themeColor="text1"/>
                <w14:textFill>
                  <w14:solidFill>
                    <w14:schemeClr w14:val="tx1"/>
                  </w14:solidFill>
                </w14:textFill>
              </w:rPr>
              <w:t>2024年全市昼间和夜间声环境质量基本保持稳定，声环境质量总体较好。全市城区区域声环境质量昼间平均等效声级为54.3dB（A），昼间声环境质量等级为二级（较好）。影响城全市区声环境质量的主要声源是生活噪声和交通噪声，所占比例分别为53.9%、30.4%；其余依次为工业噪声和施工噪声，所占比例分别为8.8%、6.9%。从声源强度来看，从高到低依次为交通噪声（56.3dB（A））、施工噪声（55.0dB（A））、工业噪声（54.7dB（A））、生活噪声（53.0dB（A））。与2023年相比，2024年交通噪声声源强度下降0.8dB（A）；工业噪声、生活噪声、施工噪声声源强度均略有上升。2024年，全市城区功能区噪声达标率为95.3%，昼间、夜间环境噪声监测达标率分别为100%、90.6%。昼间、夜间环境噪声监测达标率均有所上升。</w:t>
            </w:r>
          </w:p>
          <w:p w14:paraId="186AD1AF">
            <w:pPr>
              <w:spacing w:line="360" w:lineRule="auto"/>
              <w:rPr>
                <w:rFonts w:hint="eastAsia" w:ascii="Times New Roman" w:hAnsi="Times New Roman" w:eastAsia="宋体" w:cs="Times New Roman"/>
                <w:b/>
                <w:bCs/>
                <w:color w:val="000000" w:themeColor="text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Cs w:val="21"/>
                <w:lang w:val="en-US" w:eastAsia="zh-CN"/>
                <w14:textFill>
                  <w14:solidFill>
                    <w14:schemeClr w14:val="tx1"/>
                  </w14:solidFill>
                </w14:textFill>
              </w:rPr>
              <w:t>5、</w:t>
            </w:r>
            <w:r>
              <w:rPr>
                <w:rFonts w:hint="eastAsia" w:ascii="宋体" w:hAnsi="宋体" w:cs="宋体"/>
                <w:b/>
                <w:bCs/>
                <w:color w:val="000000" w:themeColor="text1"/>
                <w:kern w:val="0"/>
                <w:szCs w:val="21"/>
                <w14:textFill>
                  <w14:solidFill>
                    <w14:schemeClr w14:val="tx1"/>
                  </w14:solidFill>
                </w14:textFill>
              </w:rPr>
              <w:t>地下水</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、土壤环境</w:t>
            </w:r>
          </w:p>
          <w:p w14:paraId="043227A4">
            <w:pPr>
              <w:spacing w:line="360" w:lineRule="auto"/>
              <w:ind w:firstLine="420" w:firstLineChars="200"/>
              <w:rPr>
                <w:color w:val="auto"/>
                <w:szCs w:val="21"/>
              </w:rPr>
            </w:pPr>
            <w:r>
              <w:rPr>
                <w:color w:val="auto"/>
              </w:rPr>
              <w:t>根据《2024年度江阴市生态环境状况公报》</w:t>
            </w:r>
            <w:r>
              <w:rPr>
                <w:rFonts w:hint="eastAsia"/>
                <w:color w:val="auto"/>
              </w:rPr>
              <w:t>，</w:t>
            </w:r>
            <w:r>
              <w:rPr>
                <w:rFonts w:hint="eastAsia"/>
                <w:color w:val="auto"/>
                <w:szCs w:val="21"/>
              </w:rPr>
              <w:t>2024年全市一般工业固体废物产生量861.82万吨，综合利用量为845.42万吨（含综合利用往年贮存量5.44万吨），处置量为16.42万吨（含处置往年贮存量0.35万吨）；2024年全市危险废物产生量39.49万吨，共有18家危险废物许可证持证单位和1家豁免利用危险废物单位，核准收集、利用、处置、贮存危险废物能力达到185.7822万吨/年+317.5万只/年（洗桶单位会涉及单位为只）；2024年全市土壤环境安全保障总体情况良好，新增建设用地土壤环境安全保障率100%。本项目厂区进行分区防渗，正常工况下不存在土壤污染途径，原则上不开展土壤环境质量现状调查。</w:t>
            </w:r>
          </w:p>
          <w:p w14:paraId="3F2DD6B7">
            <w:pPr>
              <w:spacing w:line="360" w:lineRule="auto"/>
              <w:ind w:firstLine="420" w:firstLineChars="20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本项目厂区按要求进行分区防渗，不考虑地下水环境、土壤污染途径，故不开展地下水环境、土壤质量现状调查。</w:t>
            </w:r>
          </w:p>
          <w:p w14:paraId="53364CE8">
            <w:pPr>
              <w:spacing w:line="360" w:lineRule="auto"/>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6、生态环境</w:t>
            </w:r>
          </w:p>
          <w:p w14:paraId="65313087">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本项目位于月城镇工业园区内，属于已规划的产业园区，且用地范围不涉及生态环境保护目标，原则上不开展生态环境质量现状调查。</w:t>
            </w:r>
          </w:p>
          <w:p w14:paraId="2B1F997D">
            <w:pPr>
              <w:spacing w:line="360" w:lineRule="auto"/>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7、辐射环境</w:t>
            </w:r>
          </w:p>
          <w:p w14:paraId="265108B3">
            <w:pPr>
              <w:spacing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本项目不涉及新建或改建、扩建广播电台、差转台、电视塔台、卫星地球上行站、雷达等电磁辐射类项目，故不开展电磁辐射现状监测与评价。</w:t>
            </w:r>
          </w:p>
          <w:p w14:paraId="37D22405">
            <w:pPr>
              <w:spacing w:line="360" w:lineRule="auto"/>
              <w:ind w:firstLine="420" w:firstLineChars="200"/>
              <w:rPr>
                <w:color w:val="000000" w:themeColor="text1"/>
                <w:szCs w:val="21"/>
                <w14:textFill>
                  <w14:solidFill>
                    <w14:schemeClr w14:val="tx1"/>
                  </w14:solidFill>
                </w14:textFill>
              </w:rPr>
            </w:pPr>
          </w:p>
          <w:p w14:paraId="118C7028">
            <w:pPr>
              <w:spacing w:line="360" w:lineRule="auto"/>
              <w:ind w:firstLine="420" w:firstLineChars="200"/>
              <w:rPr>
                <w:color w:val="000000" w:themeColor="text1"/>
                <w:szCs w:val="21"/>
                <w14:textFill>
                  <w14:solidFill>
                    <w14:schemeClr w14:val="tx1"/>
                  </w14:solidFill>
                </w14:textFill>
              </w:rPr>
            </w:pPr>
          </w:p>
          <w:p w14:paraId="7CD2B369">
            <w:pPr>
              <w:spacing w:line="360" w:lineRule="auto"/>
              <w:ind w:firstLine="420" w:firstLineChars="200"/>
              <w:rPr>
                <w:color w:val="000000" w:themeColor="text1"/>
                <w:szCs w:val="21"/>
                <w14:textFill>
                  <w14:solidFill>
                    <w14:schemeClr w14:val="tx1"/>
                  </w14:solidFill>
                </w14:textFill>
              </w:rPr>
            </w:pPr>
          </w:p>
          <w:p w14:paraId="2A1221B3">
            <w:pPr>
              <w:spacing w:line="360" w:lineRule="auto"/>
              <w:ind w:firstLine="420" w:firstLineChars="200"/>
              <w:rPr>
                <w:color w:val="000000" w:themeColor="text1"/>
                <w:szCs w:val="21"/>
                <w14:textFill>
                  <w14:solidFill>
                    <w14:schemeClr w14:val="tx1"/>
                  </w14:solidFill>
                </w14:textFill>
              </w:rPr>
            </w:pPr>
          </w:p>
          <w:p w14:paraId="77718981">
            <w:pPr>
              <w:spacing w:line="360" w:lineRule="auto"/>
              <w:ind w:firstLine="420" w:firstLineChars="200"/>
              <w:rPr>
                <w:color w:val="000000" w:themeColor="text1"/>
                <w:szCs w:val="21"/>
                <w14:textFill>
                  <w14:solidFill>
                    <w14:schemeClr w14:val="tx1"/>
                  </w14:solidFill>
                </w14:textFill>
              </w:rPr>
            </w:pPr>
          </w:p>
          <w:p w14:paraId="53F14DE4">
            <w:pPr>
              <w:spacing w:line="360" w:lineRule="auto"/>
              <w:rPr>
                <w:color w:val="000000" w:themeColor="text1"/>
                <w:szCs w:val="21"/>
                <w14:textFill>
                  <w14:solidFill>
                    <w14:schemeClr w14:val="tx1"/>
                  </w14:solidFill>
                </w14:textFill>
              </w:rPr>
            </w:pPr>
          </w:p>
        </w:tc>
      </w:tr>
      <w:tr w14:paraId="06BDB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9" w:hRule="atLeast"/>
          <w:jc w:val="center"/>
        </w:trPr>
        <w:tc>
          <w:tcPr>
            <w:tcW w:w="562" w:type="dxa"/>
            <w:tcBorders>
              <w:top w:val="single" w:color="auto" w:sz="4" w:space="0"/>
              <w:left w:val="single" w:color="auto" w:sz="4" w:space="0"/>
              <w:bottom w:val="single" w:color="auto" w:sz="4" w:space="0"/>
            </w:tcBorders>
            <w:vAlign w:val="center"/>
          </w:tcPr>
          <w:p w14:paraId="78C2280A">
            <w:pPr>
              <w:adjustRightInd w:val="0"/>
              <w:snapToGrid w:val="0"/>
              <w:jc w:val="center"/>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环境保护目标</w:t>
            </w:r>
          </w:p>
        </w:tc>
        <w:tc>
          <w:tcPr>
            <w:tcW w:w="8428" w:type="dxa"/>
            <w:tcBorders>
              <w:top w:val="single" w:color="auto" w:sz="4" w:space="0"/>
              <w:bottom w:val="single" w:color="auto" w:sz="4" w:space="0"/>
              <w:right w:val="single" w:color="auto" w:sz="4" w:space="0"/>
            </w:tcBorders>
          </w:tcPr>
          <w:p w14:paraId="4B86F15B">
            <w:pPr>
              <w:spacing w:line="360" w:lineRule="auto"/>
              <w:rPr>
                <w:rFonts w:ascii="宋体" w:hAnsi="宋体"/>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rFonts w:hint="eastAsia"/>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大气环境</w:t>
            </w:r>
          </w:p>
          <w:p w14:paraId="12E6154A">
            <w:pPr>
              <w:spacing w:line="360" w:lineRule="auto"/>
              <w:ind w:firstLine="420" w:firstLineChars="200"/>
              <w:rPr>
                <w:rFonts w:ascii="宋体" w:hAnsi="宋体"/>
                <w:snapToGrid w:val="0"/>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本</w:t>
            </w:r>
            <w:r>
              <w:rPr>
                <w:rFonts w:ascii="宋体" w:hAnsi="宋体"/>
                <w:color w:val="000000" w:themeColor="text1"/>
                <w14:textFill>
                  <w14:solidFill>
                    <w14:schemeClr w14:val="tx1"/>
                  </w14:solidFill>
                </w14:textFill>
              </w:rPr>
              <w:t>项目</w:t>
            </w:r>
            <w:r>
              <w:rPr>
                <w:rFonts w:hint="eastAsia" w:ascii="宋体" w:hAnsi="宋体"/>
                <w:color w:val="000000" w:themeColor="text1"/>
                <w14:textFill>
                  <w14:solidFill>
                    <w14:schemeClr w14:val="tx1"/>
                  </w14:solidFill>
                </w14:textFill>
              </w:rPr>
              <w:t>位于</w:t>
            </w:r>
            <w:r>
              <w:rPr>
                <w:rFonts w:hint="default" w:ascii="Times New Roman" w:hAnsi="Times New Roman" w:eastAsia="宋体" w:cs="Times New Roman"/>
                <w:color w:val="000000" w:themeColor="text1"/>
                <w:szCs w:val="21"/>
                <w14:textFill>
                  <w14:solidFill>
                    <w14:schemeClr w14:val="tx1"/>
                  </w14:solidFill>
                </w14:textFill>
              </w:rPr>
              <w:t>江阴市月城镇月翔路15号</w:t>
            </w:r>
            <w:r>
              <w:rPr>
                <w:rFonts w:ascii="宋体" w:hAnsi="宋体"/>
                <w:color w:val="000000" w:themeColor="text1"/>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根据现场勘查，项目周边</w:t>
            </w:r>
            <w:r>
              <w:rPr>
                <w:snapToGrid w:val="0"/>
                <w:color w:val="000000" w:themeColor="text1"/>
                <w:kern w:val="0"/>
                <w:szCs w:val="21"/>
                <w14:textFill>
                  <w14:solidFill>
                    <w14:schemeClr w14:val="tx1"/>
                  </w14:solidFill>
                </w14:textFill>
              </w:rPr>
              <w:t>500m</w:t>
            </w:r>
            <w:r>
              <w:rPr>
                <w:rFonts w:ascii="宋体" w:hAnsi="宋体"/>
                <w:snapToGrid w:val="0"/>
                <w:color w:val="000000" w:themeColor="text1"/>
                <w:kern w:val="0"/>
                <w:szCs w:val="21"/>
                <w14:textFill>
                  <w14:solidFill>
                    <w14:schemeClr w14:val="tx1"/>
                  </w14:solidFill>
                </w14:textFill>
              </w:rPr>
              <w:t>范围内大气环境保护目标</w:t>
            </w:r>
            <w:r>
              <w:rPr>
                <w:rFonts w:hint="eastAsia" w:ascii="宋体" w:hAnsi="宋体"/>
                <w:snapToGrid w:val="0"/>
                <w:color w:val="000000" w:themeColor="text1"/>
                <w:kern w:val="0"/>
                <w:szCs w:val="21"/>
                <w14:textFill>
                  <w14:solidFill>
                    <w14:schemeClr w14:val="tx1"/>
                  </w14:solidFill>
                </w14:textFill>
              </w:rPr>
              <w:t>如下</w:t>
            </w:r>
            <w:r>
              <w:rPr>
                <w:rFonts w:ascii="宋体" w:hAnsi="宋体"/>
                <w:snapToGrid w:val="0"/>
                <w:color w:val="000000" w:themeColor="text1"/>
                <w:kern w:val="0"/>
                <w:szCs w:val="21"/>
                <w14:textFill>
                  <w14:solidFill>
                    <w14:schemeClr w14:val="tx1"/>
                  </w14:solidFill>
                </w14:textFill>
              </w:rPr>
              <w:t>。</w:t>
            </w:r>
          </w:p>
          <w:p w14:paraId="0168A1A5">
            <w:pPr>
              <w:numPr>
                <w:ilvl w:val="0"/>
                <w:numId w:val="2"/>
              </w:numPr>
              <w:spacing w:before="120" w:beforeLines="50" w:line="360" w:lineRule="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水环境</w:t>
            </w:r>
          </w:p>
          <w:p w14:paraId="3147E076">
            <w:pPr>
              <w:spacing w:line="360" w:lineRule="auto"/>
              <w:ind w:firstLine="420" w:firstLineChars="200"/>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本项目生活污水最终排放河体为锡澄运河，雨水最终排放河体为创新河，为项目水环境保护目标。</w:t>
            </w:r>
          </w:p>
          <w:p w14:paraId="76E84ACC">
            <w:pPr>
              <w:spacing w:before="120" w:beforeLines="50" w:line="360" w:lineRule="auto"/>
              <w:rPr>
                <w:rFonts w:ascii="宋体" w:hAnsi="宋体"/>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3</w:t>
            </w:r>
            <w:r>
              <w:rPr>
                <w:rFonts w:hint="eastAsia"/>
                <w:b/>
                <w:bCs/>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声环境</w:t>
            </w:r>
          </w:p>
          <w:p w14:paraId="488A6A7F">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w:t>
            </w:r>
            <w:r>
              <w:rPr>
                <w:rFonts w:ascii="宋体" w:hAnsi="宋体"/>
                <w:color w:val="000000" w:themeColor="text1"/>
                <w14:textFill>
                  <w14:solidFill>
                    <w14:schemeClr w14:val="tx1"/>
                  </w14:solidFill>
                </w14:textFill>
              </w:rPr>
              <w:t>项目</w:t>
            </w:r>
            <w:r>
              <w:rPr>
                <w:rFonts w:hint="eastAsia" w:ascii="宋体" w:hAnsi="宋体"/>
                <w:color w:val="000000" w:themeColor="text1"/>
                <w14:textFill>
                  <w14:solidFill>
                    <w14:schemeClr w14:val="tx1"/>
                  </w14:solidFill>
                </w14:textFill>
              </w:rPr>
              <w:t>厂界外</w:t>
            </w:r>
            <w:r>
              <w:rPr>
                <w:color w:val="000000" w:themeColor="text1"/>
                <w14:textFill>
                  <w14:solidFill>
                    <w14:schemeClr w14:val="tx1"/>
                  </w14:solidFill>
                </w14:textFill>
              </w:rPr>
              <w:t>50</w:t>
            </w:r>
            <w:r>
              <w:rPr>
                <w:rFonts w:hint="eastAsia" w:ascii="宋体" w:hAnsi="宋体"/>
                <w:color w:val="000000" w:themeColor="text1"/>
                <w14:textFill>
                  <w14:solidFill>
                    <w14:schemeClr w14:val="tx1"/>
                  </w14:solidFill>
                </w14:textFill>
              </w:rPr>
              <w:t>米范围内无声环境保护目标。</w:t>
            </w:r>
          </w:p>
          <w:p w14:paraId="012463AE">
            <w:pPr>
              <w:spacing w:line="360" w:lineRule="auto"/>
              <w:rPr>
                <w:rFonts w:hint="default" w:ascii="宋体" w:hAnsi="宋体" w:eastAsia="宋体" w:cs="宋体"/>
                <w:b/>
                <w:bCs/>
                <w:color w:val="000000" w:themeColor="text1"/>
                <w:kern w:val="0"/>
                <w:szCs w:val="21"/>
                <w:lang w:val="en-US" w:eastAsia="zh-CN"/>
                <w14:textFill>
                  <w14:solidFill>
                    <w14:schemeClr w14:val="tx1"/>
                  </w14:solidFill>
                </w14:textFill>
              </w:rPr>
            </w:pPr>
            <w:r>
              <w:rPr>
                <w:rFonts w:hint="eastAsia"/>
                <w:b/>
                <w:bCs/>
                <w:color w:val="000000" w:themeColor="text1"/>
                <w:kern w:val="0"/>
                <w:szCs w:val="21"/>
                <w:lang w:val="en-US" w:eastAsia="zh-CN"/>
                <w14:textFill>
                  <w14:solidFill>
                    <w14:schemeClr w14:val="tx1"/>
                  </w14:solidFill>
                </w14:textFill>
              </w:rPr>
              <w:t>4</w:t>
            </w:r>
            <w:r>
              <w:rPr>
                <w:rFonts w:hint="eastAsia"/>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地下水环境</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土壤环境</w:t>
            </w:r>
          </w:p>
          <w:p w14:paraId="6C10C002">
            <w:pPr>
              <w:spacing w:line="360" w:lineRule="auto"/>
              <w:ind w:firstLine="42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厂界外500米范围内无地下水集中式饮用水水源、热水、矿泉水、温泉等特殊地下水资源。本项目厂界外200米范围内无耕地、园地、牧草地、饮用水水源地或居民区、学校、医院、疗养院、养老院等土壤环境敏感目标。</w:t>
            </w:r>
          </w:p>
          <w:p w14:paraId="59A2F69A">
            <w:pPr>
              <w:pStyle w:val="4"/>
              <w:spacing w:before="0" w:after="0" w:line="360" w:lineRule="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生态环境</w:t>
            </w:r>
          </w:p>
          <w:p w14:paraId="5BDB4A49">
            <w:pPr>
              <w:spacing w:line="360" w:lineRule="auto"/>
              <w:ind w:firstLine="420" w:firstLineChars="200"/>
              <w:rPr>
                <w:color w:val="000000" w:themeColor="text1"/>
                <w:szCs w:val="21"/>
                <w:highlight w:val="yellow"/>
                <w14:textFill>
                  <w14:solidFill>
                    <w14:schemeClr w14:val="tx1"/>
                  </w14:solidFill>
                </w14:textFill>
              </w:rPr>
            </w:pPr>
            <w:r>
              <w:rPr>
                <w:rFonts w:hint="eastAsia"/>
                <w:color w:val="000000" w:themeColor="text1"/>
                <w:szCs w:val="21"/>
                <w14:textFill>
                  <w14:solidFill>
                    <w14:schemeClr w14:val="tx1"/>
                  </w14:solidFill>
                </w14:textFill>
              </w:rPr>
              <w:t>本项目用地范围不涉及生态环境保护目标。</w:t>
            </w:r>
          </w:p>
        </w:tc>
      </w:tr>
      <w:tr w14:paraId="2A792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8" w:hRule="atLeast"/>
          <w:jc w:val="center"/>
        </w:trPr>
        <w:tc>
          <w:tcPr>
            <w:tcW w:w="562" w:type="dxa"/>
            <w:tcBorders>
              <w:top w:val="single" w:color="auto" w:sz="4" w:space="0"/>
              <w:left w:val="single" w:color="auto" w:sz="4" w:space="0"/>
              <w:bottom w:val="single" w:color="auto" w:sz="4" w:space="0"/>
            </w:tcBorders>
            <w:vAlign w:val="center"/>
          </w:tcPr>
          <w:p w14:paraId="366D2CE1">
            <w:pPr>
              <w:adjustRightInd w:val="0"/>
              <w:snapToGrid w:val="0"/>
              <w:jc w:val="center"/>
              <w:rPr>
                <w:rFonts w:ascii="宋体" w:hAnsi="宋体" w:cs="宋体"/>
                <w:color w:val="000000" w:themeColor="text1"/>
                <w:kern w:val="0"/>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污染物排放控制标准</w:t>
            </w:r>
          </w:p>
        </w:tc>
        <w:tc>
          <w:tcPr>
            <w:tcW w:w="8428" w:type="dxa"/>
            <w:tcBorders>
              <w:top w:val="single" w:color="auto" w:sz="4" w:space="0"/>
              <w:bottom w:val="single" w:color="auto" w:sz="4" w:space="0"/>
              <w:right w:val="single" w:color="auto" w:sz="4" w:space="0"/>
            </w:tcBorders>
          </w:tcPr>
          <w:p w14:paraId="155F7A79">
            <w:pPr>
              <w:tabs>
                <w:tab w:val="left" w:pos="5142"/>
              </w:tabs>
              <w:spacing w:line="360" w:lineRule="auto"/>
              <w:rPr>
                <w:rFonts w:ascii="宋体" w:hAnsi="宋体"/>
                <w:b/>
                <w:snapToGrid w:val="0"/>
                <w:color w:val="000000" w:themeColor="text1"/>
                <w:kern w:val="0"/>
                <w:szCs w:val="21"/>
                <w14:textFill>
                  <w14:solidFill>
                    <w14:schemeClr w14:val="tx1"/>
                  </w14:solidFill>
                </w14:textFill>
              </w:rPr>
            </w:pPr>
            <w:r>
              <w:rPr>
                <w:b/>
                <w:snapToGrid w:val="0"/>
                <w:color w:val="000000" w:themeColor="text1"/>
                <w:kern w:val="0"/>
                <w:szCs w:val="21"/>
                <w14:textFill>
                  <w14:solidFill>
                    <w14:schemeClr w14:val="tx1"/>
                  </w14:solidFill>
                </w14:textFill>
              </w:rPr>
              <w:t>1</w:t>
            </w:r>
            <w:r>
              <w:rPr>
                <w:rFonts w:hint="eastAsia" w:ascii="宋体" w:hAnsi="宋体"/>
                <w:b/>
                <w:snapToGrid w:val="0"/>
                <w:color w:val="000000" w:themeColor="text1"/>
                <w:kern w:val="0"/>
                <w:szCs w:val="21"/>
                <w14:textFill>
                  <w14:solidFill>
                    <w14:schemeClr w14:val="tx1"/>
                  </w14:solidFill>
                </w14:textFill>
              </w:rPr>
              <w:t>、</w:t>
            </w:r>
            <w:r>
              <w:rPr>
                <w:rFonts w:ascii="宋体" w:hAnsi="宋体"/>
                <w:b/>
                <w:snapToGrid w:val="0"/>
                <w:color w:val="000000" w:themeColor="text1"/>
                <w:kern w:val="0"/>
                <w:szCs w:val="21"/>
                <w14:textFill>
                  <w14:solidFill>
                    <w14:schemeClr w14:val="tx1"/>
                  </w14:solidFill>
                </w14:textFill>
              </w:rPr>
              <w:t>大气污染物排放标准</w:t>
            </w:r>
          </w:p>
          <w:p w14:paraId="4307C857">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本项目生产过程中产生的非甲烷总烃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颗粒物</w:t>
            </w:r>
            <w:r>
              <w:rPr>
                <w:rFonts w:hint="default" w:ascii="Times New Roman" w:hAnsi="Times New Roman" w:eastAsia="宋体" w:cs="Times New Roman"/>
                <w:color w:val="auto"/>
                <w:sz w:val="21"/>
                <w:szCs w:val="21"/>
              </w:rPr>
              <w:t>执行《合成树脂工业污染物排放标准》GB31572-2015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含2024年修改单</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表5、表9中标准。</w:t>
            </w:r>
          </w:p>
          <w:p w14:paraId="3FB00A7F">
            <w:pPr>
              <w:ind w:firstLine="482"/>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表3-6  大气污染物排放标准</w:t>
            </w:r>
          </w:p>
          <w:tbl>
            <w:tblPr>
              <w:tblStyle w:val="27"/>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38"/>
              <w:gridCol w:w="1575"/>
              <w:gridCol w:w="1100"/>
              <w:gridCol w:w="1258"/>
              <w:gridCol w:w="1094"/>
              <w:gridCol w:w="2340"/>
            </w:tblGrid>
            <w:tr w14:paraId="3DE586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blHeader/>
                <w:jc w:val="center"/>
              </w:trPr>
              <w:tc>
                <w:tcPr>
                  <w:tcW w:w="511" w:type="pct"/>
                  <w:tcBorders>
                    <w:tl2br w:val="nil"/>
                    <w:tr2bl w:val="nil"/>
                  </w:tcBorders>
                  <w:noWrap w:val="0"/>
                  <w:vAlign w:val="center"/>
                </w:tcPr>
                <w:p w14:paraId="7345D0E2">
                  <w:pPr>
                    <w:pStyle w:val="141"/>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评价因子</w:t>
                  </w:r>
                </w:p>
              </w:tc>
              <w:tc>
                <w:tcPr>
                  <w:tcW w:w="959" w:type="pct"/>
                  <w:tcBorders>
                    <w:tl2br w:val="nil"/>
                    <w:tr2bl w:val="nil"/>
                  </w:tcBorders>
                  <w:noWrap w:val="0"/>
                  <w:vAlign w:val="center"/>
                </w:tcPr>
                <w:p w14:paraId="4CF9D129">
                  <w:pPr>
                    <w:pStyle w:val="141"/>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最高允许排放浓度(mg/m</w:t>
                  </w:r>
                  <w:r>
                    <w:rPr>
                      <w:rFonts w:hint="default" w:ascii="Times New Roman" w:hAnsi="Times New Roman" w:eastAsia="宋体" w:cs="Times New Roman"/>
                      <w:b/>
                      <w:color w:val="auto"/>
                      <w:sz w:val="21"/>
                      <w:szCs w:val="21"/>
                      <w:vertAlign w:val="superscript"/>
                    </w:rPr>
                    <w:t>3</w:t>
                  </w:r>
                  <w:r>
                    <w:rPr>
                      <w:rFonts w:hint="default" w:ascii="Times New Roman" w:hAnsi="Times New Roman" w:eastAsia="宋体" w:cs="Times New Roman"/>
                      <w:b/>
                      <w:color w:val="auto"/>
                      <w:sz w:val="21"/>
                      <w:szCs w:val="21"/>
                    </w:rPr>
                    <w:t>)</w:t>
                  </w:r>
                </w:p>
              </w:tc>
              <w:tc>
                <w:tcPr>
                  <w:tcW w:w="670" w:type="pct"/>
                  <w:tcBorders>
                    <w:tl2br w:val="nil"/>
                    <w:tr2bl w:val="nil"/>
                  </w:tcBorders>
                  <w:noWrap w:val="0"/>
                  <w:vAlign w:val="center"/>
                </w:tcPr>
                <w:p w14:paraId="3C2B9FC6">
                  <w:pPr>
                    <w:pStyle w:val="141"/>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排气筒</w:t>
                  </w:r>
                </w:p>
                <w:p w14:paraId="344F470F">
                  <w:pPr>
                    <w:pStyle w:val="141"/>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高度(m)</w:t>
                  </w:r>
                </w:p>
              </w:tc>
              <w:tc>
                <w:tcPr>
                  <w:tcW w:w="766" w:type="pct"/>
                  <w:tcBorders>
                    <w:tl2br w:val="nil"/>
                    <w:tr2bl w:val="nil"/>
                  </w:tcBorders>
                  <w:noWrap w:val="0"/>
                  <w:vAlign w:val="center"/>
                </w:tcPr>
                <w:p w14:paraId="0EFEA0D7">
                  <w:pPr>
                    <w:pStyle w:val="141"/>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排放速率</w:t>
                  </w:r>
                </w:p>
                <w:p w14:paraId="20C12CB5">
                  <w:pPr>
                    <w:pStyle w:val="141"/>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(kg/h)</w:t>
                  </w:r>
                </w:p>
              </w:tc>
              <w:tc>
                <w:tcPr>
                  <w:tcW w:w="666" w:type="pct"/>
                  <w:tcBorders>
                    <w:tl2br w:val="nil"/>
                    <w:tr2bl w:val="nil"/>
                  </w:tcBorders>
                  <w:noWrap w:val="0"/>
                  <w:vAlign w:val="center"/>
                </w:tcPr>
                <w:p w14:paraId="3CFCB0B9">
                  <w:pPr>
                    <w:pStyle w:val="141"/>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无组织排放浓度限值(mg/m</w:t>
                  </w:r>
                  <w:r>
                    <w:rPr>
                      <w:rFonts w:hint="default" w:ascii="Times New Roman" w:hAnsi="Times New Roman" w:eastAsia="宋体" w:cs="Times New Roman"/>
                      <w:b/>
                      <w:color w:val="auto"/>
                      <w:sz w:val="21"/>
                      <w:szCs w:val="21"/>
                      <w:vertAlign w:val="superscript"/>
                    </w:rPr>
                    <w:t>3</w:t>
                  </w:r>
                  <w:r>
                    <w:rPr>
                      <w:rFonts w:hint="default" w:ascii="Times New Roman" w:hAnsi="Times New Roman" w:eastAsia="宋体" w:cs="Times New Roman"/>
                      <w:b/>
                      <w:color w:val="auto"/>
                      <w:sz w:val="21"/>
                      <w:szCs w:val="21"/>
                    </w:rPr>
                    <w:t>)</w:t>
                  </w:r>
                </w:p>
              </w:tc>
              <w:tc>
                <w:tcPr>
                  <w:tcW w:w="1425" w:type="pct"/>
                  <w:tcBorders>
                    <w:tl2br w:val="nil"/>
                    <w:tr2bl w:val="nil"/>
                  </w:tcBorders>
                  <w:noWrap w:val="0"/>
                  <w:vAlign w:val="center"/>
                </w:tcPr>
                <w:p w14:paraId="79F9960B">
                  <w:pPr>
                    <w:pStyle w:val="141"/>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选用标准</w:t>
                  </w:r>
                </w:p>
              </w:tc>
            </w:tr>
            <w:tr w14:paraId="649B71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511" w:type="pct"/>
                  <w:tcBorders>
                    <w:tl2br w:val="nil"/>
                    <w:tr2bl w:val="nil"/>
                  </w:tcBorders>
                  <w:noWrap w:val="0"/>
                  <w:vAlign w:val="center"/>
                </w:tcPr>
                <w:p w14:paraId="6683DA6C">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w:t>
                  </w:r>
                </w:p>
              </w:tc>
              <w:tc>
                <w:tcPr>
                  <w:tcW w:w="959" w:type="pct"/>
                  <w:tcBorders>
                    <w:tl2br w:val="nil"/>
                    <w:tr2bl w:val="nil"/>
                  </w:tcBorders>
                  <w:noWrap w:val="0"/>
                  <w:vAlign w:val="center"/>
                </w:tcPr>
                <w:p w14:paraId="54A1000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670" w:type="pct"/>
                  <w:tcBorders>
                    <w:tl2br w:val="nil"/>
                    <w:tr2bl w:val="nil"/>
                  </w:tcBorders>
                  <w:noWrap w:val="0"/>
                  <w:vAlign w:val="center"/>
                </w:tcPr>
                <w:p w14:paraId="4F9FC5A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766" w:type="pct"/>
                  <w:tcBorders>
                    <w:tl2br w:val="nil"/>
                    <w:tr2bl w:val="nil"/>
                  </w:tcBorders>
                  <w:noWrap w:val="0"/>
                  <w:vAlign w:val="center"/>
                </w:tcPr>
                <w:p w14:paraId="5B7F7B6E">
                  <w:pPr>
                    <w:pStyle w:val="141"/>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66" w:type="pct"/>
                  <w:tcBorders>
                    <w:tl2br w:val="nil"/>
                    <w:tr2bl w:val="nil"/>
                  </w:tcBorders>
                  <w:noWrap w:val="0"/>
                  <w:vAlign w:val="center"/>
                </w:tcPr>
                <w:p w14:paraId="0F45B8E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1425" w:type="pct"/>
                  <w:vMerge w:val="restart"/>
                  <w:tcBorders>
                    <w:tl2br w:val="nil"/>
                    <w:tr2bl w:val="nil"/>
                  </w:tcBorders>
                  <w:noWrap w:val="0"/>
                  <w:vAlign w:val="center"/>
                </w:tcPr>
                <w:p w14:paraId="207E4B49">
                  <w:pPr>
                    <w:pStyle w:val="141"/>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《合成树脂工业污染物排放标准》（GB31572-2015）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含2024年修改单</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表5、表9标准</w:t>
                  </w:r>
                </w:p>
              </w:tc>
            </w:tr>
            <w:tr w14:paraId="1F188B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511" w:type="pct"/>
                  <w:tcBorders>
                    <w:tl2br w:val="nil"/>
                    <w:tr2bl w:val="nil"/>
                  </w:tcBorders>
                  <w:noWrap w:val="0"/>
                  <w:vAlign w:val="center"/>
                </w:tcPr>
                <w:p w14:paraId="71CAA42A">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颗粒物</w:t>
                  </w:r>
                </w:p>
              </w:tc>
              <w:tc>
                <w:tcPr>
                  <w:tcW w:w="959" w:type="pct"/>
                  <w:tcBorders>
                    <w:tl2br w:val="nil"/>
                    <w:tr2bl w:val="nil"/>
                  </w:tcBorders>
                  <w:noWrap w:val="0"/>
                  <w:vAlign w:val="center"/>
                </w:tcPr>
                <w:p w14:paraId="5D1C140D">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670" w:type="pct"/>
                  <w:tcBorders>
                    <w:tl2br w:val="nil"/>
                    <w:tr2bl w:val="nil"/>
                  </w:tcBorders>
                  <w:shd w:val="clear" w:color="auto" w:fill="auto"/>
                  <w:noWrap w:val="0"/>
                  <w:vAlign w:val="center"/>
                </w:tcPr>
                <w:p w14:paraId="4A68B3A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766" w:type="pct"/>
                  <w:tcBorders>
                    <w:tl2br w:val="nil"/>
                    <w:tr2bl w:val="nil"/>
                  </w:tcBorders>
                  <w:shd w:val="clear" w:color="auto" w:fill="auto"/>
                  <w:noWrap w:val="0"/>
                  <w:vAlign w:val="center"/>
                </w:tcPr>
                <w:p w14:paraId="31FD57A9">
                  <w:pPr>
                    <w:pStyle w:val="141"/>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p>
              </w:tc>
              <w:tc>
                <w:tcPr>
                  <w:tcW w:w="666" w:type="pct"/>
                  <w:tcBorders>
                    <w:tl2br w:val="nil"/>
                    <w:tr2bl w:val="nil"/>
                  </w:tcBorders>
                  <w:noWrap w:val="0"/>
                  <w:vAlign w:val="center"/>
                </w:tcPr>
                <w:p w14:paraId="595B0707">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425" w:type="pct"/>
                  <w:vMerge w:val="continue"/>
                  <w:tcBorders>
                    <w:tl2br w:val="nil"/>
                    <w:tr2bl w:val="nil"/>
                  </w:tcBorders>
                  <w:noWrap w:val="0"/>
                  <w:vAlign w:val="center"/>
                </w:tcPr>
                <w:p w14:paraId="377E8507">
                  <w:pPr>
                    <w:pStyle w:val="141"/>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r>
          </w:tbl>
          <w:p w14:paraId="42B42CF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厂区内非甲烷总烃无组织排放执行江苏省地标《大气污染物综合排放标准》（DB32/4041-2021）表2标准，具体见表3-7。</w:t>
            </w:r>
          </w:p>
          <w:p w14:paraId="2C4D7746">
            <w:pPr>
              <w:spacing w:line="240" w:lineRule="auto"/>
              <w:ind w:firstLine="422" w:firstLineChars="20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表3-7  建设项目厂区内VOC</w:t>
            </w:r>
            <w:r>
              <w:rPr>
                <w:rFonts w:hint="default" w:ascii="Times New Roman" w:hAnsi="Times New Roman" w:eastAsia="宋体" w:cs="Times New Roman"/>
                <w:b/>
                <w:bCs/>
                <w:color w:val="auto"/>
                <w:sz w:val="21"/>
                <w:szCs w:val="21"/>
                <w:vertAlign w:val="subscript"/>
              </w:rPr>
              <w:t>S</w:t>
            </w:r>
            <w:r>
              <w:rPr>
                <w:rFonts w:hint="default" w:ascii="Times New Roman" w:hAnsi="Times New Roman" w:eastAsia="宋体" w:cs="Times New Roman"/>
                <w:b/>
                <w:bCs/>
                <w:color w:val="auto"/>
                <w:sz w:val="21"/>
                <w:szCs w:val="21"/>
              </w:rPr>
              <w:t>无组织排放限值  单位：mg/m</w:t>
            </w:r>
            <w:r>
              <w:rPr>
                <w:rFonts w:hint="default" w:ascii="Times New Roman" w:hAnsi="Times New Roman" w:eastAsia="宋体" w:cs="Times New Roman"/>
                <w:b/>
                <w:bCs/>
                <w:color w:val="auto"/>
                <w:sz w:val="21"/>
                <w:szCs w:val="21"/>
                <w:vertAlign w:val="superscript"/>
              </w:rPr>
              <w:t>3</w:t>
            </w:r>
          </w:p>
          <w:tbl>
            <w:tblPr>
              <w:tblStyle w:val="27"/>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fixed"/>
              <w:tblCellMar>
                <w:top w:w="0" w:type="dxa"/>
                <w:left w:w="0" w:type="dxa"/>
                <w:bottom w:w="0" w:type="dxa"/>
                <w:right w:w="0" w:type="dxa"/>
              </w:tblCellMar>
            </w:tblPr>
            <w:tblGrid>
              <w:gridCol w:w="1356"/>
              <w:gridCol w:w="1748"/>
              <w:gridCol w:w="2861"/>
              <w:gridCol w:w="2247"/>
            </w:tblGrid>
            <w:tr w14:paraId="43F162F7">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PrEx>
              <w:trPr>
                <w:trHeight w:val="340" w:hRule="exact"/>
                <w:jc w:val="center"/>
              </w:trPr>
              <w:tc>
                <w:tcPr>
                  <w:tcW w:w="826" w:type="pct"/>
                  <w:tcBorders>
                    <w:tl2br w:val="nil"/>
                    <w:tr2bl w:val="nil"/>
                  </w:tcBorders>
                  <w:noWrap w:val="0"/>
                  <w:vAlign w:val="center"/>
                </w:tcPr>
                <w:p w14:paraId="3A7C1F55">
                  <w:pPr>
                    <w:pStyle w:val="143"/>
                    <w:snapToGrid w:val="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污染物项目</w:t>
                  </w:r>
                </w:p>
              </w:tc>
              <w:tc>
                <w:tcPr>
                  <w:tcW w:w="1064" w:type="pct"/>
                  <w:tcBorders>
                    <w:tl2br w:val="nil"/>
                    <w:tr2bl w:val="nil"/>
                  </w:tcBorders>
                  <w:noWrap w:val="0"/>
                  <w:vAlign w:val="center"/>
                </w:tcPr>
                <w:p w14:paraId="07030FE9">
                  <w:pPr>
                    <w:pStyle w:val="143"/>
                    <w:snapToGrid w:val="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特别排放限值</w:t>
                  </w:r>
                </w:p>
              </w:tc>
              <w:tc>
                <w:tcPr>
                  <w:tcW w:w="1742" w:type="pct"/>
                  <w:tcBorders>
                    <w:tl2br w:val="nil"/>
                    <w:tr2bl w:val="nil"/>
                  </w:tcBorders>
                  <w:noWrap w:val="0"/>
                  <w:vAlign w:val="center"/>
                </w:tcPr>
                <w:p w14:paraId="1B2C7ACD">
                  <w:pPr>
                    <w:pStyle w:val="143"/>
                    <w:snapToGrid w:val="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限值含义</w:t>
                  </w:r>
                </w:p>
              </w:tc>
              <w:tc>
                <w:tcPr>
                  <w:tcW w:w="1368" w:type="pct"/>
                  <w:tcBorders>
                    <w:tl2br w:val="nil"/>
                    <w:tr2bl w:val="nil"/>
                  </w:tcBorders>
                  <w:noWrap w:val="0"/>
                  <w:vAlign w:val="center"/>
                </w:tcPr>
                <w:p w14:paraId="1E84C36C">
                  <w:pPr>
                    <w:pStyle w:val="143"/>
                    <w:snapToGrid w:val="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无组织排放监控位置</w:t>
                  </w:r>
                </w:p>
              </w:tc>
            </w:tr>
            <w:tr w14:paraId="261E4E06">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472" w:hRule="exact"/>
                <w:jc w:val="center"/>
              </w:trPr>
              <w:tc>
                <w:tcPr>
                  <w:tcW w:w="826" w:type="pct"/>
                  <w:vMerge w:val="restart"/>
                  <w:tcBorders>
                    <w:tl2br w:val="nil"/>
                    <w:tr2bl w:val="nil"/>
                  </w:tcBorders>
                  <w:noWrap w:val="0"/>
                  <w:vAlign w:val="center"/>
                </w:tcPr>
                <w:p w14:paraId="4E2ADB1E">
                  <w:pPr>
                    <w:pStyle w:val="143"/>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NMHC</w:t>
                  </w:r>
                </w:p>
              </w:tc>
              <w:tc>
                <w:tcPr>
                  <w:tcW w:w="1064" w:type="pct"/>
                  <w:tcBorders>
                    <w:tl2br w:val="nil"/>
                    <w:tr2bl w:val="nil"/>
                  </w:tcBorders>
                  <w:noWrap w:val="0"/>
                  <w:vAlign w:val="center"/>
                </w:tcPr>
                <w:p w14:paraId="136674D8">
                  <w:pPr>
                    <w:pStyle w:val="143"/>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742" w:type="pct"/>
                  <w:tcBorders>
                    <w:tl2br w:val="nil"/>
                    <w:tr2bl w:val="nil"/>
                  </w:tcBorders>
                  <w:noWrap w:val="0"/>
                  <w:vAlign w:val="center"/>
                </w:tcPr>
                <w:p w14:paraId="20718E0C">
                  <w:pPr>
                    <w:pStyle w:val="143"/>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监控点处1h平均浓度值</w:t>
                  </w:r>
                </w:p>
              </w:tc>
              <w:tc>
                <w:tcPr>
                  <w:tcW w:w="1368" w:type="pct"/>
                  <w:vMerge w:val="restart"/>
                  <w:tcBorders>
                    <w:tl2br w:val="nil"/>
                    <w:tr2bl w:val="nil"/>
                  </w:tcBorders>
                  <w:noWrap w:val="0"/>
                  <w:vAlign w:val="center"/>
                </w:tcPr>
                <w:p w14:paraId="49B129ED">
                  <w:pPr>
                    <w:pStyle w:val="143"/>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在厂房外设置监控点</w:t>
                  </w:r>
                </w:p>
              </w:tc>
            </w:tr>
            <w:tr w14:paraId="5538D317">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0" w:type="dxa"/>
                  <w:bottom w:w="0" w:type="dxa"/>
                  <w:right w:w="0" w:type="dxa"/>
                </w:tblCellMar>
              </w:tblPrEx>
              <w:trPr>
                <w:trHeight w:val="393" w:hRule="exact"/>
                <w:jc w:val="center"/>
              </w:trPr>
              <w:tc>
                <w:tcPr>
                  <w:tcW w:w="826" w:type="pct"/>
                  <w:vMerge w:val="continue"/>
                  <w:tcBorders>
                    <w:tl2br w:val="nil"/>
                    <w:tr2bl w:val="nil"/>
                  </w:tcBorders>
                  <w:noWrap w:val="0"/>
                  <w:vAlign w:val="center"/>
                </w:tcPr>
                <w:p w14:paraId="147AE608">
                  <w:pPr>
                    <w:pStyle w:val="143"/>
                    <w:snapToGrid w:val="0"/>
                    <w:rPr>
                      <w:rFonts w:hint="default" w:ascii="Times New Roman" w:hAnsi="Times New Roman" w:eastAsia="宋体" w:cs="Times New Roman"/>
                      <w:color w:val="auto"/>
                      <w:sz w:val="21"/>
                      <w:szCs w:val="21"/>
                    </w:rPr>
                  </w:pPr>
                </w:p>
              </w:tc>
              <w:tc>
                <w:tcPr>
                  <w:tcW w:w="1064" w:type="pct"/>
                  <w:tcBorders>
                    <w:tl2br w:val="nil"/>
                    <w:tr2bl w:val="nil"/>
                  </w:tcBorders>
                  <w:noWrap w:val="0"/>
                  <w:vAlign w:val="center"/>
                </w:tcPr>
                <w:p w14:paraId="07853248">
                  <w:pPr>
                    <w:pStyle w:val="143"/>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1742" w:type="pct"/>
                  <w:tcBorders>
                    <w:tl2br w:val="nil"/>
                    <w:tr2bl w:val="nil"/>
                  </w:tcBorders>
                  <w:noWrap w:val="0"/>
                  <w:vAlign w:val="center"/>
                </w:tcPr>
                <w:p w14:paraId="76C99705">
                  <w:pPr>
                    <w:pStyle w:val="143"/>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监控点处任意一次浓度值</w:t>
                  </w:r>
                </w:p>
              </w:tc>
              <w:tc>
                <w:tcPr>
                  <w:tcW w:w="1368" w:type="pct"/>
                  <w:vMerge w:val="continue"/>
                  <w:tcBorders>
                    <w:tl2br w:val="nil"/>
                    <w:tr2bl w:val="nil"/>
                  </w:tcBorders>
                  <w:noWrap w:val="0"/>
                  <w:vAlign w:val="center"/>
                </w:tcPr>
                <w:p w14:paraId="0D0FFACF">
                  <w:pPr>
                    <w:pStyle w:val="143"/>
                    <w:snapToGrid w:val="0"/>
                    <w:rPr>
                      <w:rFonts w:hint="default" w:ascii="Times New Roman" w:hAnsi="Times New Roman" w:eastAsia="宋体" w:cs="Times New Roman"/>
                      <w:color w:val="auto"/>
                      <w:sz w:val="21"/>
                      <w:szCs w:val="21"/>
                    </w:rPr>
                  </w:pPr>
                </w:p>
              </w:tc>
            </w:tr>
          </w:tbl>
          <w:p w14:paraId="62B9D219">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企业单位产品非甲烷</w:t>
            </w:r>
            <w:r>
              <w:rPr>
                <w:rFonts w:hint="eastAsia" w:ascii="Times New Roman" w:hAnsi="Times New Roman" w:eastAsia="宋体" w:cs="Times New Roman"/>
                <w:color w:val="auto"/>
                <w:sz w:val="21"/>
                <w:szCs w:val="21"/>
              </w:rPr>
              <w:t>总烃</w:t>
            </w:r>
            <w:r>
              <w:rPr>
                <w:rFonts w:hint="default" w:ascii="Times New Roman" w:hAnsi="Times New Roman" w:eastAsia="宋体" w:cs="Times New Roman"/>
                <w:color w:val="auto"/>
                <w:sz w:val="21"/>
                <w:szCs w:val="21"/>
              </w:rPr>
              <w:t>排放量执行《合成树脂工业污染物排放标准》(GB31572-2015）表</w:t>
            </w:r>
            <w:r>
              <w:rPr>
                <w:rFonts w:hint="eastAsia" w:ascii="Times New Roman" w:hAnsi="Times New Roman" w:eastAsia="宋体" w:cs="Times New Roman"/>
                <w:color w:val="auto"/>
                <w:sz w:val="21"/>
                <w:szCs w:val="21"/>
              </w:rPr>
              <w:t>5</w:t>
            </w:r>
            <w:r>
              <w:rPr>
                <w:rFonts w:hint="default" w:ascii="Times New Roman" w:hAnsi="Times New Roman" w:eastAsia="宋体" w:cs="Times New Roman"/>
                <w:color w:val="auto"/>
                <w:sz w:val="21"/>
                <w:szCs w:val="21"/>
              </w:rPr>
              <w:t>中标准，具体见表3-</w:t>
            </w:r>
            <w:r>
              <w:rPr>
                <w:rFonts w:hint="eastAsia" w:cs="Times New Roman"/>
                <w:color w:val="auto"/>
                <w:sz w:val="21"/>
                <w:szCs w:val="21"/>
                <w:lang w:val="en-US" w:eastAsia="zh-CN"/>
              </w:rPr>
              <w:t>8</w:t>
            </w:r>
            <w:r>
              <w:rPr>
                <w:rFonts w:hint="default" w:ascii="Times New Roman" w:hAnsi="Times New Roman" w:eastAsia="宋体" w:cs="Times New Roman"/>
                <w:color w:val="auto"/>
                <w:sz w:val="21"/>
                <w:szCs w:val="21"/>
              </w:rPr>
              <w:t>。</w:t>
            </w:r>
          </w:p>
          <w:p w14:paraId="76A1F895">
            <w:pPr>
              <w:spacing w:line="240" w:lineRule="auto"/>
              <w:ind w:firstLine="422" w:firstLineChars="20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表3-</w:t>
            </w:r>
            <w:r>
              <w:rPr>
                <w:rFonts w:hint="eastAsia" w:cs="Times New Roman"/>
                <w:b/>
                <w:bCs/>
                <w:color w:val="auto"/>
                <w:sz w:val="21"/>
                <w:szCs w:val="21"/>
                <w:lang w:val="en-US" w:eastAsia="zh-CN"/>
              </w:rPr>
              <w:t>8</w:t>
            </w:r>
            <w:r>
              <w:rPr>
                <w:rFonts w:hint="eastAsia" w:ascii="Times New Roman" w:hAnsi="Times New Roman" w:eastAsia="宋体" w:cs="Times New Roman"/>
                <w:b/>
                <w:bCs/>
                <w:color w:val="auto"/>
                <w:sz w:val="21"/>
                <w:szCs w:val="21"/>
              </w:rPr>
              <w:t>单位产品排放量</w:t>
            </w:r>
          </w:p>
          <w:tbl>
            <w:tblPr>
              <w:tblStyle w:val="27"/>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696"/>
              <w:gridCol w:w="2696"/>
              <w:gridCol w:w="2696"/>
            </w:tblGrid>
            <w:tr w14:paraId="119ACB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696" w:type="dxa"/>
                  <w:noWrap w:val="0"/>
                  <w:vAlign w:val="top"/>
                </w:tcPr>
                <w:p w14:paraId="78FB7839">
                  <w:pPr>
                    <w:pStyle w:val="143"/>
                    <w:snapToGrid w:val="0"/>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序号</w:t>
                  </w:r>
                </w:p>
              </w:tc>
              <w:tc>
                <w:tcPr>
                  <w:tcW w:w="2696" w:type="dxa"/>
                  <w:noWrap w:val="0"/>
                  <w:vAlign w:val="top"/>
                </w:tcPr>
                <w:p w14:paraId="5AA280CE">
                  <w:pPr>
                    <w:pStyle w:val="143"/>
                    <w:snapToGrid w:val="0"/>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污染物项目</w:t>
                  </w:r>
                </w:p>
              </w:tc>
              <w:tc>
                <w:tcPr>
                  <w:tcW w:w="2696" w:type="dxa"/>
                  <w:noWrap w:val="0"/>
                  <w:vAlign w:val="top"/>
                </w:tcPr>
                <w:p w14:paraId="0770848A">
                  <w:pPr>
                    <w:pStyle w:val="143"/>
                    <w:snapToGrid w:val="0"/>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排放限制</w:t>
                  </w:r>
                </w:p>
              </w:tc>
            </w:tr>
            <w:tr w14:paraId="653FBF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2696" w:type="dxa"/>
                  <w:noWrap w:val="0"/>
                  <w:vAlign w:val="top"/>
                </w:tcPr>
                <w:p w14:paraId="374556EE">
                  <w:pPr>
                    <w:pStyle w:val="143"/>
                    <w:snapToGrid w:val="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2696" w:type="dxa"/>
                  <w:noWrap w:val="0"/>
                  <w:vAlign w:val="top"/>
                </w:tcPr>
                <w:p w14:paraId="7676E1DE">
                  <w:pPr>
                    <w:pStyle w:val="143"/>
                    <w:snapToGrid w:val="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非甲烷总烃（kg/t产品）</w:t>
                  </w:r>
                </w:p>
              </w:tc>
              <w:tc>
                <w:tcPr>
                  <w:tcW w:w="2696" w:type="dxa"/>
                  <w:noWrap w:val="0"/>
                  <w:vAlign w:val="top"/>
                </w:tcPr>
                <w:p w14:paraId="517011D3">
                  <w:pPr>
                    <w:pStyle w:val="143"/>
                    <w:snapToGrid w:val="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0.3</w:t>
                  </w:r>
                </w:p>
              </w:tc>
            </w:tr>
          </w:tbl>
          <w:p w14:paraId="43562DA4">
            <w:pPr>
              <w:tabs>
                <w:tab w:val="left" w:pos="5142"/>
              </w:tabs>
              <w:spacing w:before="120" w:beforeLines="50" w:line="360" w:lineRule="auto"/>
              <w:rPr>
                <w:rFonts w:ascii="宋体" w:hAnsi="宋体"/>
                <w:b/>
                <w:bCs/>
                <w:snapToGrid w:val="0"/>
                <w:color w:val="000000" w:themeColor="text1"/>
                <w:kern w:val="0"/>
                <w:szCs w:val="21"/>
                <w14:textFill>
                  <w14:solidFill>
                    <w14:schemeClr w14:val="tx1"/>
                  </w14:solidFill>
                </w14:textFill>
              </w:rPr>
            </w:pPr>
            <w:r>
              <w:rPr>
                <w:b/>
                <w:bCs/>
                <w:snapToGrid w:val="0"/>
                <w:color w:val="000000" w:themeColor="text1"/>
                <w:kern w:val="0"/>
                <w:szCs w:val="21"/>
                <w14:textFill>
                  <w14:solidFill>
                    <w14:schemeClr w14:val="tx1"/>
                  </w14:solidFill>
                </w14:textFill>
              </w:rPr>
              <w:t>2</w:t>
            </w:r>
            <w:r>
              <w:rPr>
                <w:rFonts w:hint="eastAsia" w:ascii="宋体" w:hAnsi="宋体"/>
                <w:b/>
                <w:bCs/>
                <w:snapToGrid w:val="0"/>
                <w:color w:val="000000" w:themeColor="text1"/>
                <w:kern w:val="0"/>
                <w:szCs w:val="21"/>
                <w14:textFill>
                  <w14:solidFill>
                    <w14:schemeClr w14:val="tx1"/>
                  </w14:solidFill>
                </w14:textFill>
              </w:rPr>
              <w:t>、水污染物</w:t>
            </w:r>
            <w:r>
              <w:rPr>
                <w:rFonts w:ascii="宋体" w:hAnsi="宋体"/>
                <w:b/>
                <w:bCs/>
                <w:snapToGrid w:val="0"/>
                <w:color w:val="000000" w:themeColor="text1"/>
                <w:kern w:val="0"/>
                <w:szCs w:val="21"/>
                <w14:textFill>
                  <w14:solidFill>
                    <w14:schemeClr w14:val="tx1"/>
                  </w14:solidFill>
                </w14:textFill>
              </w:rPr>
              <w:t>排放标准</w:t>
            </w:r>
          </w:p>
          <w:p w14:paraId="5C21BC4D">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项目</w:t>
            </w:r>
            <w:r>
              <w:rPr>
                <w:rFonts w:hint="eastAsia" w:ascii="宋体" w:hAnsi="宋体"/>
                <w:color w:val="000000" w:themeColor="text1"/>
                <w:szCs w:val="21"/>
                <w14:textFill>
                  <w14:solidFill>
                    <w14:schemeClr w14:val="tx1"/>
                  </w14:solidFill>
                </w14:textFill>
              </w:rPr>
              <w:t>废水</w:t>
            </w:r>
            <w:r>
              <w:rPr>
                <w:color w:val="000000" w:themeColor="text1"/>
                <w:szCs w:val="21"/>
                <w14:textFill>
                  <w14:solidFill>
                    <w14:schemeClr w14:val="tx1"/>
                  </w14:solidFill>
                </w14:textFill>
              </w:rPr>
              <w:t>接管</w:t>
            </w:r>
            <w:r>
              <w:rPr>
                <w:rFonts w:hint="eastAsia"/>
                <w:color w:val="000000" w:themeColor="text1"/>
                <w:szCs w:val="21"/>
                <w14:textFill>
                  <w14:solidFill>
                    <w14:schemeClr w14:val="tx1"/>
                  </w14:solidFill>
                </w14:textFill>
              </w:rPr>
              <w:t>江阴市月城综合污水处理有限公司</w:t>
            </w:r>
            <w:r>
              <w:rPr>
                <w:color w:val="000000" w:themeColor="text1"/>
                <w:szCs w:val="21"/>
                <w14:textFill>
                  <w14:solidFill>
                    <w14:schemeClr w14:val="tx1"/>
                  </w14:solidFill>
                </w14:textFill>
              </w:rPr>
              <w:t>集中处理，</w:t>
            </w:r>
            <w:r>
              <w:rPr>
                <w:rFonts w:hint="eastAsia"/>
                <w:color w:val="000000" w:themeColor="text1"/>
                <w:szCs w:val="21"/>
                <w14:textFill>
                  <w14:solidFill>
                    <w14:schemeClr w14:val="tx1"/>
                  </w14:solidFill>
                </w14:textFill>
              </w:rPr>
              <w:t>由于本项目无生产废水产生，只排放生活污水，故</w:t>
            </w:r>
            <w:r>
              <w:rPr>
                <w:color w:val="000000" w:themeColor="text1"/>
                <w:szCs w:val="21"/>
                <w14:textFill>
                  <w14:solidFill>
                    <w14:schemeClr w14:val="tx1"/>
                  </w14:solidFill>
                </w14:textFill>
              </w:rPr>
              <w:t>接管</w:t>
            </w:r>
            <w:r>
              <w:rPr>
                <w:rFonts w:hint="eastAsia"/>
                <w:color w:val="000000" w:themeColor="text1"/>
                <w:szCs w:val="21"/>
                <w14:textFill>
                  <w14:solidFill>
                    <w14:schemeClr w14:val="tx1"/>
                  </w14:solidFill>
                </w14:textFill>
              </w:rPr>
              <w:t>标准可</w:t>
            </w:r>
            <w:r>
              <w:rPr>
                <w:color w:val="000000" w:themeColor="text1"/>
                <w:szCs w:val="21"/>
                <w14:textFill>
                  <w14:solidFill>
                    <w14:schemeClr w14:val="tx1"/>
                  </w14:solidFill>
                </w14:textFill>
              </w:rPr>
              <w:t>执行</w:t>
            </w:r>
            <w:r>
              <w:rPr>
                <w:rFonts w:hint="eastAsia"/>
                <w:color w:val="000000" w:themeColor="text1"/>
                <w:szCs w:val="21"/>
                <w14:textFill>
                  <w14:solidFill>
                    <w14:schemeClr w14:val="tx1"/>
                  </w14:solidFill>
                </w14:textFill>
              </w:rPr>
              <w:t>江阴市月城综合污水处理有限公司接管标准，即《污水排入城镇下水道水质标准》（GB/T31962-2015）表1中B等级标准和《污水综合排放标准》（GB8978-1996）表4中的三级标准</w:t>
            </w:r>
            <w:r>
              <w:rPr>
                <w:rFonts w:hint="eastAsia" w:ascii="宋体" w:hAnsi="宋体"/>
                <w:color w:val="000000" w:themeColor="text1"/>
                <w:szCs w:val="21"/>
                <w14:textFill>
                  <w14:solidFill>
                    <w14:schemeClr w14:val="tx1"/>
                  </w14:solidFill>
                </w14:textFill>
              </w:rPr>
              <w:t>。</w:t>
            </w:r>
          </w:p>
          <w:p w14:paraId="56CC6851">
            <w:pPr>
              <w:spacing w:before="120" w:beforeLines="50"/>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表3-</w:t>
            </w:r>
            <w:r>
              <w:rPr>
                <w:rFonts w:hint="eastAsia"/>
                <w:b/>
                <w:color w:val="000000" w:themeColor="text1"/>
                <w:szCs w:val="21"/>
                <w:lang w:val="en-US" w:eastAsia="zh-CN"/>
                <w14:textFill>
                  <w14:solidFill>
                    <w14:schemeClr w14:val="tx1"/>
                  </w14:solidFill>
                </w14:textFill>
              </w:rPr>
              <w:t>9</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废水</w:t>
            </w:r>
            <w:r>
              <w:rPr>
                <w:b/>
                <w:color w:val="000000" w:themeColor="text1"/>
                <w:szCs w:val="21"/>
                <w14:textFill>
                  <w14:solidFill>
                    <w14:schemeClr w14:val="tx1"/>
                  </w14:solidFill>
                </w14:textFill>
              </w:rPr>
              <w:t>排放接管标准（单位：mg/L，pH无量纲）</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551"/>
              <w:gridCol w:w="2725"/>
              <w:gridCol w:w="2054"/>
            </w:tblGrid>
            <w:tr w14:paraId="642F10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Align w:val="center"/>
                </w:tcPr>
                <w:p w14:paraId="7ACAC63C">
                  <w:pPr>
                    <w:spacing w:line="24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序号</w:t>
                  </w:r>
                </w:p>
              </w:tc>
              <w:tc>
                <w:tcPr>
                  <w:tcW w:w="1553" w:type="pct"/>
                  <w:vAlign w:val="center"/>
                </w:tcPr>
                <w:p w14:paraId="5023F1B1">
                  <w:pPr>
                    <w:spacing w:line="24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排放口编号</w:t>
                  </w:r>
                </w:p>
              </w:tc>
              <w:tc>
                <w:tcPr>
                  <w:tcW w:w="1659" w:type="pct"/>
                  <w:vAlign w:val="center"/>
                </w:tcPr>
                <w:p w14:paraId="0DFC03EC">
                  <w:pPr>
                    <w:spacing w:line="24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污染物种类</w:t>
                  </w:r>
                </w:p>
              </w:tc>
              <w:tc>
                <w:tcPr>
                  <w:tcW w:w="1250" w:type="pct"/>
                  <w:vAlign w:val="center"/>
                </w:tcPr>
                <w:p w14:paraId="182F2870">
                  <w:pPr>
                    <w:spacing w:line="24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浓度限值</w:t>
                  </w:r>
                </w:p>
              </w:tc>
            </w:tr>
            <w:tr w14:paraId="24AC7F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restart"/>
                  <w:vAlign w:val="center"/>
                </w:tcPr>
                <w:p w14:paraId="7CA83AF1">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w:t>
                  </w:r>
                </w:p>
              </w:tc>
              <w:tc>
                <w:tcPr>
                  <w:tcW w:w="1553" w:type="pct"/>
                  <w:vMerge w:val="restart"/>
                  <w:vAlign w:val="center"/>
                </w:tcPr>
                <w:p w14:paraId="5CEA2543">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WS-01</w:t>
                  </w:r>
                </w:p>
              </w:tc>
              <w:tc>
                <w:tcPr>
                  <w:tcW w:w="1659" w:type="pct"/>
                  <w:vAlign w:val="center"/>
                </w:tcPr>
                <w:p w14:paraId="1DA462F8">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pH</w:t>
                  </w:r>
                </w:p>
              </w:tc>
              <w:tc>
                <w:tcPr>
                  <w:tcW w:w="1250" w:type="pct"/>
                  <w:vAlign w:val="center"/>
                </w:tcPr>
                <w:p w14:paraId="46757F96">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6～9</w:t>
                  </w:r>
                </w:p>
              </w:tc>
            </w:tr>
            <w:tr w14:paraId="66F8A6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14:paraId="08B27AD0">
                  <w:pPr>
                    <w:spacing w:line="240" w:lineRule="atLeast"/>
                    <w:jc w:val="center"/>
                    <w:rPr>
                      <w:bCs/>
                      <w:color w:val="000000" w:themeColor="text1"/>
                      <w:sz w:val="18"/>
                      <w:szCs w:val="18"/>
                      <w14:textFill>
                        <w14:solidFill>
                          <w14:schemeClr w14:val="tx1"/>
                        </w14:solidFill>
                      </w14:textFill>
                    </w:rPr>
                  </w:pPr>
                </w:p>
              </w:tc>
              <w:tc>
                <w:tcPr>
                  <w:tcW w:w="1553" w:type="pct"/>
                  <w:vMerge w:val="continue"/>
                  <w:vAlign w:val="center"/>
                </w:tcPr>
                <w:p w14:paraId="421E2726">
                  <w:pPr>
                    <w:spacing w:line="240" w:lineRule="atLeast"/>
                    <w:jc w:val="center"/>
                    <w:rPr>
                      <w:bCs/>
                      <w:color w:val="000000" w:themeColor="text1"/>
                      <w:sz w:val="18"/>
                      <w:szCs w:val="18"/>
                      <w14:textFill>
                        <w14:solidFill>
                          <w14:schemeClr w14:val="tx1"/>
                        </w14:solidFill>
                      </w14:textFill>
                    </w:rPr>
                  </w:pPr>
                </w:p>
              </w:tc>
              <w:tc>
                <w:tcPr>
                  <w:tcW w:w="1659" w:type="pct"/>
                  <w:vAlign w:val="center"/>
                </w:tcPr>
                <w:p w14:paraId="19D0AF61">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COD</w:t>
                  </w:r>
                </w:p>
              </w:tc>
              <w:tc>
                <w:tcPr>
                  <w:tcW w:w="1250" w:type="pct"/>
                  <w:vAlign w:val="center"/>
                </w:tcPr>
                <w:p w14:paraId="75E4D628">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500</w:t>
                  </w:r>
                </w:p>
              </w:tc>
            </w:tr>
            <w:tr w14:paraId="0B8862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14:paraId="6C065127">
                  <w:pPr>
                    <w:spacing w:line="240" w:lineRule="atLeast"/>
                    <w:jc w:val="center"/>
                    <w:rPr>
                      <w:bCs/>
                      <w:color w:val="000000" w:themeColor="text1"/>
                      <w:sz w:val="18"/>
                      <w:szCs w:val="18"/>
                      <w14:textFill>
                        <w14:solidFill>
                          <w14:schemeClr w14:val="tx1"/>
                        </w14:solidFill>
                      </w14:textFill>
                    </w:rPr>
                  </w:pPr>
                </w:p>
              </w:tc>
              <w:tc>
                <w:tcPr>
                  <w:tcW w:w="1553" w:type="pct"/>
                  <w:vMerge w:val="continue"/>
                  <w:vAlign w:val="center"/>
                </w:tcPr>
                <w:p w14:paraId="4964339D">
                  <w:pPr>
                    <w:spacing w:line="240" w:lineRule="atLeast"/>
                    <w:jc w:val="center"/>
                    <w:rPr>
                      <w:bCs/>
                      <w:color w:val="000000" w:themeColor="text1"/>
                      <w:sz w:val="18"/>
                      <w:szCs w:val="18"/>
                      <w14:textFill>
                        <w14:solidFill>
                          <w14:schemeClr w14:val="tx1"/>
                        </w14:solidFill>
                      </w14:textFill>
                    </w:rPr>
                  </w:pPr>
                </w:p>
              </w:tc>
              <w:tc>
                <w:tcPr>
                  <w:tcW w:w="1659" w:type="pct"/>
                  <w:vAlign w:val="center"/>
                </w:tcPr>
                <w:p w14:paraId="241CDDFC">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SS</w:t>
                  </w:r>
                </w:p>
              </w:tc>
              <w:tc>
                <w:tcPr>
                  <w:tcW w:w="1250" w:type="pct"/>
                  <w:vAlign w:val="center"/>
                </w:tcPr>
                <w:p w14:paraId="027CDF1F">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400</w:t>
                  </w:r>
                </w:p>
              </w:tc>
            </w:tr>
            <w:tr w14:paraId="7BE329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14:paraId="0A2B6837">
                  <w:pPr>
                    <w:spacing w:line="240" w:lineRule="atLeast"/>
                    <w:jc w:val="center"/>
                    <w:rPr>
                      <w:bCs/>
                      <w:color w:val="000000" w:themeColor="text1"/>
                      <w:sz w:val="18"/>
                      <w:szCs w:val="18"/>
                      <w14:textFill>
                        <w14:solidFill>
                          <w14:schemeClr w14:val="tx1"/>
                        </w14:solidFill>
                      </w14:textFill>
                    </w:rPr>
                  </w:pPr>
                </w:p>
              </w:tc>
              <w:tc>
                <w:tcPr>
                  <w:tcW w:w="1553" w:type="pct"/>
                  <w:vMerge w:val="continue"/>
                  <w:vAlign w:val="center"/>
                </w:tcPr>
                <w:p w14:paraId="3E49C6DC">
                  <w:pPr>
                    <w:spacing w:line="240" w:lineRule="atLeast"/>
                    <w:jc w:val="center"/>
                    <w:rPr>
                      <w:bCs/>
                      <w:color w:val="000000" w:themeColor="text1"/>
                      <w:sz w:val="18"/>
                      <w:szCs w:val="18"/>
                      <w14:textFill>
                        <w14:solidFill>
                          <w14:schemeClr w14:val="tx1"/>
                        </w14:solidFill>
                      </w14:textFill>
                    </w:rPr>
                  </w:pPr>
                </w:p>
              </w:tc>
              <w:tc>
                <w:tcPr>
                  <w:tcW w:w="1659" w:type="pct"/>
                  <w:vAlign w:val="center"/>
                </w:tcPr>
                <w:p w14:paraId="2F5EBC0B">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NH</w:t>
                  </w:r>
                  <w:r>
                    <w:rPr>
                      <w:bCs/>
                      <w:color w:val="000000" w:themeColor="text1"/>
                      <w:sz w:val="18"/>
                      <w:szCs w:val="18"/>
                      <w:vertAlign w:val="subscript"/>
                      <w14:textFill>
                        <w14:solidFill>
                          <w14:schemeClr w14:val="tx1"/>
                        </w14:solidFill>
                      </w14:textFill>
                    </w:rPr>
                    <w:t>3</w:t>
                  </w:r>
                  <w:r>
                    <w:rPr>
                      <w:bCs/>
                      <w:color w:val="000000" w:themeColor="text1"/>
                      <w:sz w:val="18"/>
                      <w:szCs w:val="18"/>
                      <w14:textFill>
                        <w14:solidFill>
                          <w14:schemeClr w14:val="tx1"/>
                        </w14:solidFill>
                      </w14:textFill>
                    </w:rPr>
                    <w:t>-N</w:t>
                  </w:r>
                </w:p>
              </w:tc>
              <w:tc>
                <w:tcPr>
                  <w:tcW w:w="1250" w:type="pct"/>
                  <w:vAlign w:val="center"/>
                </w:tcPr>
                <w:p w14:paraId="6060C7F0">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45</w:t>
                  </w:r>
                </w:p>
              </w:tc>
            </w:tr>
            <w:tr w14:paraId="2C2818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14:paraId="54AE1395">
                  <w:pPr>
                    <w:spacing w:line="240" w:lineRule="atLeast"/>
                    <w:jc w:val="center"/>
                    <w:rPr>
                      <w:bCs/>
                      <w:color w:val="000000" w:themeColor="text1"/>
                      <w:sz w:val="18"/>
                      <w:szCs w:val="18"/>
                      <w14:textFill>
                        <w14:solidFill>
                          <w14:schemeClr w14:val="tx1"/>
                        </w14:solidFill>
                      </w14:textFill>
                    </w:rPr>
                  </w:pPr>
                </w:p>
              </w:tc>
              <w:tc>
                <w:tcPr>
                  <w:tcW w:w="1553" w:type="pct"/>
                  <w:vMerge w:val="continue"/>
                  <w:vAlign w:val="center"/>
                </w:tcPr>
                <w:p w14:paraId="35321C50">
                  <w:pPr>
                    <w:spacing w:line="240" w:lineRule="atLeast"/>
                    <w:jc w:val="center"/>
                    <w:rPr>
                      <w:bCs/>
                      <w:color w:val="000000" w:themeColor="text1"/>
                      <w:sz w:val="18"/>
                      <w:szCs w:val="18"/>
                      <w14:textFill>
                        <w14:solidFill>
                          <w14:schemeClr w14:val="tx1"/>
                        </w14:solidFill>
                      </w14:textFill>
                    </w:rPr>
                  </w:pPr>
                </w:p>
              </w:tc>
              <w:tc>
                <w:tcPr>
                  <w:tcW w:w="1659" w:type="pct"/>
                  <w:vAlign w:val="center"/>
                </w:tcPr>
                <w:p w14:paraId="5E74F317">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TN</w:t>
                  </w:r>
                </w:p>
              </w:tc>
              <w:tc>
                <w:tcPr>
                  <w:tcW w:w="1250" w:type="pct"/>
                  <w:vAlign w:val="center"/>
                </w:tcPr>
                <w:p w14:paraId="479EA4E1">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70</w:t>
                  </w:r>
                </w:p>
              </w:tc>
            </w:tr>
            <w:tr w14:paraId="4A032C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7" w:type="pct"/>
                  <w:vMerge w:val="continue"/>
                  <w:vAlign w:val="center"/>
                </w:tcPr>
                <w:p w14:paraId="1939A755">
                  <w:pPr>
                    <w:spacing w:line="240" w:lineRule="atLeast"/>
                    <w:jc w:val="center"/>
                    <w:rPr>
                      <w:bCs/>
                      <w:color w:val="000000" w:themeColor="text1"/>
                      <w:sz w:val="18"/>
                      <w:szCs w:val="18"/>
                      <w14:textFill>
                        <w14:solidFill>
                          <w14:schemeClr w14:val="tx1"/>
                        </w14:solidFill>
                      </w14:textFill>
                    </w:rPr>
                  </w:pPr>
                </w:p>
              </w:tc>
              <w:tc>
                <w:tcPr>
                  <w:tcW w:w="1553" w:type="pct"/>
                  <w:vMerge w:val="continue"/>
                  <w:vAlign w:val="center"/>
                </w:tcPr>
                <w:p w14:paraId="53D51B6E">
                  <w:pPr>
                    <w:spacing w:line="240" w:lineRule="atLeast"/>
                    <w:jc w:val="center"/>
                    <w:rPr>
                      <w:bCs/>
                      <w:color w:val="000000" w:themeColor="text1"/>
                      <w:sz w:val="18"/>
                      <w:szCs w:val="18"/>
                      <w14:textFill>
                        <w14:solidFill>
                          <w14:schemeClr w14:val="tx1"/>
                        </w14:solidFill>
                      </w14:textFill>
                    </w:rPr>
                  </w:pPr>
                </w:p>
              </w:tc>
              <w:tc>
                <w:tcPr>
                  <w:tcW w:w="1659" w:type="pct"/>
                  <w:vAlign w:val="center"/>
                </w:tcPr>
                <w:p w14:paraId="318A239A">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TP</w:t>
                  </w:r>
                </w:p>
              </w:tc>
              <w:tc>
                <w:tcPr>
                  <w:tcW w:w="1250" w:type="pct"/>
                  <w:vAlign w:val="center"/>
                </w:tcPr>
                <w:p w14:paraId="1B84A037">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8</w:t>
                  </w:r>
                </w:p>
              </w:tc>
            </w:tr>
          </w:tbl>
          <w:p w14:paraId="76D2185B">
            <w:pPr>
              <w:widowControl/>
              <w:spacing w:before="120" w:before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目前江阴市月城综合污水处理有限公司尾水排入锡澄运河，</w:t>
            </w:r>
            <w:r>
              <w:rPr>
                <w:color w:val="000000" w:themeColor="text1"/>
                <w:szCs w:val="21"/>
                <w14:textFill>
                  <w14:solidFill>
                    <w14:schemeClr w14:val="tx1"/>
                  </w14:solidFill>
                </w14:textFill>
              </w:rPr>
              <w:t>排放</w:t>
            </w:r>
            <w:r>
              <w:rPr>
                <w:rFonts w:hint="eastAsia"/>
                <w:color w:val="000000" w:themeColor="text1"/>
                <w:szCs w:val="21"/>
                <w14:textFill>
                  <w14:solidFill>
                    <w14:schemeClr w14:val="tx1"/>
                  </w14:solidFill>
                </w14:textFill>
              </w:rPr>
              <w:t>标准</w:t>
            </w:r>
            <w:r>
              <w:rPr>
                <w:color w:val="000000" w:themeColor="text1"/>
                <w:szCs w:val="21"/>
                <w14:textFill>
                  <w14:solidFill>
                    <w14:schemeClr w14:val="tx1"/>
                  </w14:solidFill>
                </w14:textFill>
              </w:rPr>
              <w:t>执行</w:t>
            </w:r>
            <w:r>
              <w:rPr>
                <w:rFonts w:hint="eastAsia"/>
                <w:color w:val="000000" w:themeColor="text1"/>
                <w:szCs w:val="21"/>
                <w14:textFill>
                  <w14:solidFill>
                    <w14:schemeClr w14:val="tx1"/>
                  </w14:solidFill>
                </w14:textFill>
              </w:rPr>
              <w:t>《城镇污水处理厂污染物排放标准》（GB18918-2002）中表1一级A标准及《太湖地区城镇污水处理厂及重点工业行业主要水污染物排放限值》（DB32/1072-2018）表2标准。由于江阴市月城综合污水处理有限公司处理规模趋近于饱和，根据《江阴市月城镇工业园区开发建设规划（2022-2035年）环境影响报告书》，江阴市月城综合污水处理有限公司预计于2</w:t>
            </w:r>
            <w:r>
              <w:rPr>
                <w:color w:val="000000" w:themeColor="text1"/>
                <w:szCs w:val="21"/>
                <w14:textFill>
                  <w14:solidFill>
                    <w14:schemeClr w14:val="tx1"/>
                  </w14:solidFill>
                </w14:textFill>
              </w:rPr>
              <w:t>026</w:t>
            </w:r>
            <w:r>
              <w:rPr>
                <w:rFonts w:hint="eastAsia"/>
                <w:color w:val="000000" w:themeColor="text1"/>
                <w:szCs w:val="21"/>
                <w14:textFill>
                  <w14:solidFill>
                    <w14:schemeClr w14:val="tx1"/>
                  </w14:solidFill>
                </w14:textFill>
              </w:rPr>
              <w:t>年进行扩建，扩建后排口迁移，尾水排入创新河，</w:t>
            </w:r>
            <w:r>
              <w:rPr>
                <w:color w:val="000000" w:themeColor="text1"/>
                <w:szCs w:val="21"/>
                <w14:textFill>
                  <w14:solidFill>
                    <w14:schemeClr w14:val="tx1"/>
                  </w14:solidFill>
                </w14:textFill>
              </w:rPr>
              <w:t>排放</w:t>
            </w:r>
            <w:r>
              <w:rPr>
                <w:rFonts w:hint="eastAsia"/>
                <w:color w:val="000000" w:themeColor="text1"/>
                <w:szCs w:val="21"/>
                <w14:textFill>
                  <w14:solidFill>
                    <w14:schemeClr w14:val="tx1"/>
                  </w14:solidFill>
                </w14:textFill>
              </w:rPr>
              <w:t>标准</w:t>
            </w:r>
            <w:r>
              <w:rPr>
                <w:color w:val="000000" w:themeColor="text1"/>
                <w:szCs w:val="21"/>
                <w14:textFill>
                  <w14:solidFill>
                    <w14:schemeClr w14:val="tx1"/>
                  </w14:solidFill>
                </w14:textFill>
              </w:rPr>
              <w:t>执行</w:t>
            </w:r>
            <w:r>
              <w:rPr>
                <w:rFonts w:hint="eastAsia"/>
                <w:color w:val="000000" w:themeColor="text1"/>
                <w:szCs w:val="21"/>
                <w14:textFill>
                  <w14:solidFill>
                    <w14:schemeClr w14:val="tx1"/>
                  </w14:solidFill>
                </w14:textFill>
              </w:rPr>
              <w:t>《城镇污水处理厂污染物排放标准》（DB32/4440-2022）表1中</w:t>
            </w:r>
            <w:r>
              <w:rPr>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标准。</w:t>
            </w:r>
            <w:r>
              <w:rPr>
                <w:color w:val="000000" w:themeColor="text1"/>
                <w:szCs w:val="21"/>
                <w14:textFill>
                  <w14:solidFill>
                    <w14:schemeClr w14:val="tx1"/>
                  </w14:solidFill>
                </w14:textFill>
              </w:rPr>
              <w:t>具体标准限值</w:t>
            </w:r>
            <w:r>
              <w:rPr>
                <w:rFonts w:hint="eastAsia"/>
                <w:color w:val="000000" w:themeColor="text1"/>
                <w:szCs w:val="21"/>
                <w14:textFill>
                  <w14:solidFill>
                    <w14:schemeClr w14:val="tx1"/>
                  </w14:solidFill>
                </w14:textFill>
              </w:rPr>
              <w:t>见</w:t>
            </w:r>
            <w:r>
              <w:rPr>
                <w:color w:val="000000" w:themeColor="text1"/>
                <w:szCs w:val="21"/>
                <w14:textFill>
                  <w14:solidFill>
                    <w14:schemeClr w14:val="tx1"/>
                  </w14:solidFill>
                </w14:textFill>
              </w:rPr>
              <w:t>表3-</w:t>
            </w:r>
            <w:r>
              <w:rPr>
                <w:rFonts w:hint="eastAsia"/>
                <w:color w:val="000000" w:themeColor="text1"/>
                <w:szCs w:val="21"/>
                <w14:textFill>
                  <w14:solidFill>
                    <w14:schemeClr w14:val="tx1"/>
                  </w14:solidFill>
                </w14:textFill>
              </w:rPr>
              <w:t>10</w:t>
            </w:r>
            <w:r>
              <w:rPr>
                <w:color w:val="000000" w:themeColor="text1"/>
                <w:szCs w:val="21"/>
                <w14:textFill>
                  <w14:solidFill>
                    <w14:schemeClr w14:val="tx1"/>
                  </w14:solidFill>
                </w14:textFill>
              </w:rPr>
              <w:t>。</w:t>
            </w:r>
          </w:p>
          <w:p w14:paraId="74FD5F27">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表</w:t>
            </w:r>
            <w:r>
              <w:rPr>
                <w:b/>
                <w:color w:val="000000" w:themeColor="text1"/>
                <w:szCs w:val="21"/>
                <w14:textFill>
                  <w14:solidFill>
                    <w14:schemeClr w14:val="tx1"/>
                  </w14:solidFill>
                </w14:textFill>
              </w:rPr>
              <w:t>3-</w:t>
            </w:r>
            <w:r>
              <w:rPr>
                <w:rFonts w:hint="eastAsia"/>
                <w:b/>
                <w:color w:val="000000" w:themeColor="text1"/>
                <w:szCs w:val="21"/>
                <w:lang w:val="en-US" w:eastAsia="zh-CN"/>
                <w14:textFill>
                  <w14:solidFill>
                    <w14:schemeClr w14:val="tx1"/>
                  </w14:solidFill>
                </w14:textFill>
              </w:rPr>
              <w:t>10</w:t>
            </w:r>
            <w:r>
              <w:rPr>
                <w:rFonts w:ascii="宋体" w:hAnsi="宋体"/>
                <w:b/>
                <w:color w:val="000000" w:themeColor="text1"/>
                <w:szCs w:val="21"/>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城镇污水厂尾水</w:t>
            </w:r>
            <w:r>
              <w:rPr>
                <w:rFonts w:ascii="宋体" w:hAnsi="宋体"/>
                <w:b/>
                <w:bCs/>
                <w:color w:val="000000" w:themeColor="text1"/>
                <w:szCs w:val="21"/>
                <w14:textFill>
                  <w14:solidFill>
                    <w14:schemeClr w14:val="tx1"/>
                  </w14:solidFill>
                </w14:textFill>
              </w:rPr>
              <w:t>排放标准</w:t>
            </w:r>
            <w:r>
              <w:rPr>
                <w:b/>
                <w:bCs/>
                <w:color w:val="000000" w:themeColor="text1"/>
                <w:szCs w:val="21"/>
                <w14:textFill>
                  <w14:solidFill>
                    <w14:schemeClr w14:val="tx1"/>
                  </w14:solidFill>
                </w14:textFill>
              </w:rPr>
              <w:t>（mg/L，pH无量纲）</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55"/>
              <w:gridCol w:w="3213"/>
              <w:gridCol w:w="3076"/>
            </w:tblGrid>
            <w:tr w14:paraId="010C79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pct"/>
                  <w:vAlign w:val="center"/>
                </w:tcPr>
                <w:p w14:paraId="3738645D">
                  <w:pPr>
                    <w:spacing w:line="24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序号</w:t>
                  </w:r>
                </w:p>
              </w:tc>
              <w:tc>
                <w:tcPr>
                  <w:tcW w:w="703" w:type="pct"/>
                  <w:vAlign w:val="center"/>
                </w:tcPr>
                <w:p w14:paraId="096F0DBE">
                  <w:pPr>
                    <w:spacing w:line="24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项目</w:t>
                  </w:r>
                </w:p>
              </w:tc>
              <w:tc>
                <w:tcPr>
                  <w:tcW w:w="1956" w:type="pct"/>
                  <w:vAlign w:val="center"/>
                </w:tcPr>
                <w:p w14:paraId="2F023EAE">
                  <w:pPr>
                    <w:spacing w:line="24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标准浓度限值</w:t>
                  </w:r>
                  <w:r>
                    <w:rPr>
                      <w:rFonts w:hint="eastAsia"/>
                      <w:b/>
                      <w:color w:val="000000" w:themeColor="text1"/>
                      <w:sz w:val="18"/>
                      <w:szCs w:val="18"/>
                      <w14:textFill>
                        <w14:solidFill>
                          <w14:schemeClr w14:val="tx1"/>
                        </w14:solidFill>
                      </w14:textFill>
                    </w:rPr>
                    <w:t>（现状）</w:t>
                  </w:r>
                </w:p>
              </w:tc>
              <w:tc>
                <w:tcPr>
                  <w:tcW w:w="1873" w:type="pct"/>
                  <w:vAlign w:val="center"/>
                </w:tcPr>
                <w:p w14:paraId="0FC48419">
                  <w:pPr>
                    <w:spacing w:line="240" w:lineRule="atLeas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标准浓度限值</w:t>
                  </w:r>
                  <w:r>
                    <w:rPr>
                      <w:rFonts w:hint="eastAsia"/>
                      <w:b/>
                      <w:color w:val="000000" w:themeColor="text1"/>
                      <w:sz w:val="18"/>
                      <w:szCs w:val="18"/>
                      <w14:textFill>
                        <w14:solidFill>
                          <w14:schemeClr w14:val="tx1"/>
                        </w14:solidFill>
                      </w14:textFill>
                    </w:rPr>
                    <w:t>（扩建后）</w:t>
                  </w:r>
                </w:p>
              </w:tc>
            </w:tr>
            <w:tr w14:paraId="1CE4E5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pct"/>
                  <w:vAlign w:val="center"/>
                </w:tcPr>
                <w:p w14:paraId="56AFCC20">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1</w:t>
                  </w:r>
                </w:p>
              </w:tc>
              <w:tc>
                <w:tcPr>
                  <w:tcW w:w="703" w:type="pct"/>
                  <w:vAlign w:val="center"/>
                </w:tcPr>
                <w:p w14:paraId="3136C7D6">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pH</w:t>
                  </w:r>
                </w:p>
              </w:tc>
              <w:tc>
                <w:tcPr>
                  <w:tcW w:w="1956" w:type="pct"/>
                  <w:vAlign w:val="center"/>
                </w:tcPr>
                <w:p w14:paraId="1D9D2460">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6</w:t>
                  </w:r>
                  <w:r>
                    <w:rPr>
                      <w:bCs/>
                      <w:color w:val="000000" w:themeColor="text1"/>
                      <w:sz w:val="18"/>
                      <w:szCs w:val="18"/>
                      <w14:textFill>
                        <w14:solidFill>
                          <w14:schemeClr w14:val="tx1"/>
                        </w14:solidFill>
                      </w14:textFill>
                    </w:rPr>
                    <w:t>~9</w:t>
                  </w:r>
                </w:p>
              </w:tc>
              <w:tc>
                <w:tcPr>
                  <w:tcW w:w="1873" w:type="pct"/>
                  <w:vAlign w:val="center"/>
                </w:tcPr>
                <w:p w14:paraId="3089433A">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6</w:t>
                  </w:r>
                  <w:r>
                    <w:rPr>
                      <w:bCs/>
                      <w:color w:val="000000" w:themeColor="text1"/>
                      <w:sz w:val="18"/>
                      <w:szCs w:val="18"/>
                      <w14:textFill>
                        <w14:solidFill>
                          <w14:schemeClr w14:val="tx1"/>
                        </w14:solidFill>
                      </w14:textFill>
                    </w:rPr>
                    <w:t>~9</w:t>
                  </w:r>
                </w:p>
              </w:tc>
            </w:tr>
            <w:tr w14:paraId="334C7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pct"/>
                  <w:vAlign w:val="center"/>
                </w:tcPr>
                <w:p w14:paraId="1442933E">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2</w:t>
                  </w:r>
                </w:p>
              </w:tc>
              <w:tc>
                <w:tcPr>
                  <w:tcW w:w="703" w:type="pct"/>
                  <w:vAlign w:val="center"/>
                </w:tcPr>
                <w:p w14:paraId="591762AD">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COD</w:t>
                  </w:r>
                </w:p>
              </w:tc>
              <w:tc>
                <w:tcPr>
                  <w:tcW w:w="1956" w:type="pct"/>
                  <w:vAlign w:val="center"/>
                </w:tcPr>
                <w:p w14:paraId="713166AE">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5</w:t>
                  </w:r>
                  <w:r>
                    <w:rPr>
                      <w:bCs/>
                      <w:color w:val="000000" w:themeColor="text1"/>
                      <w:sz w:val="18"/>
                      <w:szCs w:val="18"/>
                      <w14:textFill>
                        <w14:solidFill>
                          <w14:schemeClr w14:val="tx1"/>
                        </w14:solidFill>
                      </w14:textFill>
                    </w:rPr>
                    <w:t>0</w:t>
                  </w:r>
                </w:p>
              </w:tc>
              <w:tc>
                <w:tcPr>
                  <w:tcW w:w="1873" w:type="pct"/>
                  <w:vAlign w:val="center"/>
                </w:tcPr>
                <w:p w14:paraId="0F3D0744">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w:t>
                  </w:r>
                  <w:r>
                    <w:rPr>
                      <w:bCs/>
                      <w:color w:val="000000" w:themeColor="text1"/>
                      <w:sz w:val="18"/>
                      <w:szCs w:val="18"/>
                      <w14:textFill>
                        <w14:solidFill>
                          <w14:schemeClr w14:val="tx1"/>
                        </w14:solidFill>
                      </w14:textFill>
                    </w:rPr>
                    <w:t>0</w:t>
                  </w:r>
                </w:p>
              </w:tc>
            </w:tr>
            <w:tr w14:paraId="6D85FB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pct"/>
                  <w:vAlign w:val="center"/>
                </w:tcPr>
                <w:p w14:paraId="189C6F01">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w:t>
                  </w:r>
                </w:p>
              </w:tc>
              <w:tc>
                <w:tcPr>
                  <w:tcW w:w="703" w:type="pct"/>
                  <w:vAlign w:val="center"/>
                </w:tcPr>
                <w:p w14:paraId="445B2FB0">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S</w:t>
                  </w:r>
                  <w:r>
                    <w:rPr>
                      <w:bCs/>
                      <w:color w:val="000000" w:themeColor="text1"/>
                      <w:sz w:val="18"/>
                      <w:szCs w:val="18"/>
                      <w14:textFill>
                        <w14:solidFill>
                          <w14:schemeClr w14:val="tx1"/>
                        </w14:solidFill>
                      </w14:textFill>
                    </w:rPr>
                    <w:t>S</w:t>
                  </w:r>
                </w:p>
              </w:tc>
              <w:tc>
                <w:tcPr>
                  <w:tcW w:w="1956" w:type="pct"/>
                  <w:vAlign w:val="center"/>
                </w:tcPr>
                <w:p w14:paraId="794140DC">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0</w:t>
                  </w:r>
                </w:p>
              </w:tc>
              <w:tc>
                <w:tcPr>
                  <w:tcW w:w="1873" w:type="pct"/>
                  <w:vAlign w:val="center"/>
                </w:tcPr>
                <w:p w14:paraId="57623487">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0</w:t>
                  </w:r>
                </w:p>
              </w:tc>
            </w:tr>
            <w:tr w14:paraId="65BF5F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pct"/>
                  <w:vAlign w:val="center"/>
                </w:tcPr>
                <w:p w14:paraId="4811431E">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4</w:t>
                  </w:r>
                </w:p>
              </w:tc>
              <w:tc>
                <w:tcPr>
                  <w:tcW w:w="703" w:type="pct"/>
                  <w:vAlign w:val="center"/>
                </w:tcPr>
                <w:p w14:paraId="5948B488">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氨氮</w:t>
                  </w:r>
                </w:p>
              </w:tc>
              <w:tc>
                <w:tcPr>
                  <w:tcW w:w="1956" w:type="pct"/>
                  <w:vAlign w:val="center"/>
                </w:tcPr>
                <w:p w14:paraId="5542AF0E">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4（6）</w:t>
                  </w:r>
                </w:p>
              </w:tc>
              <w:tc>
                <w:tcPr>
                  <w:tcW w:w="1873" w:type="pct"/>
                  <w:vAlign w:val="center"/>
                </w:tcPr>
                <w:p w14:paraId="7A428A44">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.5</w:t>
                  </w:r>
                  <w:r>
                    <w:rPr>
                      <w:rFonts w:hint="eastAsia"/>
                      <w:bCs/>
                      <w:color w:val="000000" w:themeColor="text1"/>
                      <w:sz w:val="18"/>
                      <w:szCs w:val="18"/>
                      <w14:textFill>
                        <w14:solidFill>
                          <w14:schemeClr w14:val="tx1"/>
                        </w14:solidFill>
                      </w14:textFill>
                    </w:rPr>
                    <w:t>（3）</w:t>
                  </w:r>
                </w:p>
              </w:tc>
            </w:tr>
            <w:tr w14:paraId="5886E9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pct"/>
                  <w:vAlign w:val="center"/>
                </w:tcPr>
                <w:p w14:paraId="79B6AA9C">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5</w:t>
                  </w:r>
                </w:p>
              </w:tc>
              <w:tc>
                <w:tcPr>
                  <w:tcW w:w="703" w:type="pct"/>
                  <w:vAlign w:val="center"/>
                </w:tcPr>
                <w:p w14:paraId="6FBC2CFD">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总氮</w:t>
                  </w:r>
                </w:p>
              </w:tc>
              <w:tc>
                <w:tcPr>
                  <w:tcW w:w="1956" w:type="pct"/>
                  <w:vAlign w:val="center"/>
                </w:tcPr>
                <w:p w14:paraId="2116CBBD">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2</w:t>
                  </w: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5</w:t>
                  </w:r>
                  <w:r>
                    <w:rPr>
                      <w:rFonts w:hint="eastAsia"/>
                      <w:bCs/>
                      <w:color w:val="000000" w:themeColor="text1"/>
                      <w:sz w:val="18"/>
                      <w:szCs w:val="18"/>
                      <w14:textFill>
                        <w14:solidFill>
                          <w14:schemeClr w14:val="tx1"/>
                        </w14:solidFill>
                      </w14:textFill>
                    </w:rPr>
                    <w:t>）</w:t>
                  </w:r>
                </w:p>
              </w:tc>
              <w:tc>
                <w:tcPr>
                  <w:tcW w:w="1873" w:type="pct"/>
                  <w:vAlign w:val="center"/>
                </w:tcPr>
                <w:p w14:paraId="0292E5CF">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0</w:t>
                  </w:r>
                  <w:r>
                    <w:rPr>
                      <w:rFonts w:hint="eastAsia"/>
                      <w:bCs/>
                      <w:color w:val="000000" w:themeColor="text1"/>
                      <w:sz w:val="18"/>
                      <w:szCs w:val="18"/>
                      <w14:textFill>
                        <w14:solidFill>
                          <w14:schemeClr w14:val="tx1"/>
                        </w14:solidFill>
                      </w14:textFill>
                    </w:rPr>
                    <w:t>（1</w:t>
                  </w:r>
                  <w:r>
                    <w:rPr>
                      <w:bCs/>
                      <w:color w:val="000000" w:themeColor="text1"/>
                      <w:sz w:val="18"/>
                      <w:szCs w:val="18"/>
                      <w14:textFill>
                        <w14:solidFill>
                          <w14:schemeClr w14:val="tx1"/>
                        </w14:solidFill>
                      </w14:textFill>
                    </w:rPr>
                    <w:t>2</w:t>
                  </w:r>
                  <w:r>
                    <w:rPr>
                      <w:rFonts w:hint="eastAsia"/>
                      <w:bCs/>
                      <w:color w:val="000000" w:themeColor="text1"/>
                      <w:sz w:val="18"/>
                      <w:szCs w:val="18"/>
                      <w14:textFill>
                        <w14:solidFill>
                          <w14:schemeClr w14:val="tx1"/>
                        </w14:solidFill>
                      </w14:textFill>
                    </w:rPr>
                    <w:t>）</w:t>
                  </w:r>
                </w:p>
              </w:tc>
            </w:tr>
            <w:tr w14:paraId="0F5F2A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pct"/>
                  <w:vAlign w:val="center"/>
                </w:tcPr>
                <w:p w14:paraId="4AA584AF">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6</w:t>
                  </w:r>
                </w:p>
              </w:tc>
              <w:tc>
                <w:tcPr>
                  <w:tcW w:w="703" w:type="pct"/>
                  <w:vAlign w:val="center"/>
                </w:tcPr>
                <w:p w14:paraId="4AE01CB1">
                  <w:pPr>
                    <w:spacing w:line="240" w:lineRule="atLeast"/>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总磷</w:t>
                  </w:r>
                </w:p>
              </w:tc>
              <w:tc>
                <w:tcPr>
                  <w:tcW w:w="1956" w:type="pct"/>
                  <w:vAlign w:val="center"/>
                </w:tcPr>
                <w:p w14:paraId="12B99A74">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0</w:t>
                  </w:r>
                  <w:r>
                    <w:rPr>
                      <w:bCs/>
                      <w:color w:val="000000" w:themeColor="text1"/>
                      <w:sz w:val="18"/>
                      <w:szCs w:val="18"/>
                      <w14:textFill>
                        <w14:solidFill>
                          <w14:schemeClr w14:val="tx1"/>
                        </w14:solidFill>
                      </w14:textFill>
                    </w:rPr>
                    <w:t>.5</w:t>
                  </w:r>
                </w:p>
              </w:tc>
              <w:tc>
                <w:tcPr>
                  <w:tcW w:w="1873" w:type="pct"/>
                  <w:vAlign w:val="center"/>
                </w:tcPr>
                <w:p w14:paraId="75671A0C">
                  <w:pPr>
                    <w:spacing w:line="240" w:lineRule="atLeast"/>
                    <w:jc w:val="center"/>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0</w:t>
                  </w:r>
                  <w:r>
                    <w:rPr>
                      <w:bCs/>
                      <w:color w:val="000000" w:themeColor="text1"/>
                      <w:sz w:val="18"/>
                      <w:szCs w:val="18"/>
                      <w14:textFill>
                        <w14:solidFill>
                          <w14:schemeClr w14:val="tx1"/>
                        </w14:solidFill>
                      </w14:textFill>
                    </w:rPr>
                    <w:t>.3</w:t>
                  </w:r>
                </w:p>
              </w:tc>
            </w:tr>
          </w:tbl>
          <w:p w14:paraId="3C8A8DAE">
            <w:pPr>
              <w:widowControl/>
              <w:rPr>
                <w:color w:val="000000" w:themeColor="text1"/>
                <w:kern w:val="0"/>
                <w:sz w:val="18"/>
                <w:szCs w:val="18"/>
                <w:lang w:bidi="ar"/>
                <w14:textFill>
                  <w14:solidFill>
                    <w14:schemeClr w14:val="tx1"/>
                  </w14:solidFill>
                </w14:textFill>
              </w:rPr>
            </w:pPr>
            <w:r>
              <w:rPr>
                <w:color w:val="000000" w:themeColor="text1"/>
                <w:kern w:val="0"/>
                <w:sz w:val="18"/>
                <w:szCs w:val="18"/>
                <w:lang w:bidi="ar"/>
                <w14:textFill>
                  <w14:solidFill>
                    <w14:schemeClr w14:val="tx1"/>
                  </w14:solidFill>
                </w14:textFill>
              </w:rPr>
              <w:t>注：</w:t>
            </w:r>
            <w:r>
              <w:rPr>
                <w:rFonts w:hint="eastAsia"/>
                <w:color w:val="000000" w:themeColor="text1"/>
                <w:kern w:val="0"/>
                <w:sz w:val="18"/>
                <w:szCs w:val="18"/>
                <w:lang w:bidi="ar"/>
                <w14:textFill>
                  <w14:solidFill>
                    <w14:schemeClr w14:val="tx1"/>
                  </w14:solidFill>
                </w14:textFill>
              </w:rPr>
              <w:t>现状</w:t>
            </w:r>
            <w:r>
              <w:rPr>
                <w:color w:val="000000" w:themeColor="text1"/>
                <w:kern w:val="0"/>
                <w:sz w:val="18"/>
                <w:szCs w:val="18"/>
                <w:lang w:bidi="ar"/>
                <w14:textFill>
                  <w14:solidFill>
                    <w14:schemeClr w14:val="tx1"/>
                  </w14:solidFill>
                </w14:textFill>
              </w:rPr>
              <w:t>括号外数值水温&gt;12</w:t>
            </w:r>
            <w:r>
              <w:rPr>
                <w:rFonts w:hint="eastAsia" w:ascii="宋体" w:hAnsi="宋体" w:cs="宋体"/>
                <w:color w:val="000000" w:themeColor="text1"/>
                <w:kern w:val="0"/>
                <w:sz w:val="18"/>
                <w:szCs w:val="18"/>
                <w:lang w:bidi="ar"/>
                <w14:textFill>
                  <w14:solidFill>
                    <w14:schemeClr w14:val="tx1"/>
                  </w14:solidFill>
                </w14:textFill>
              </w:rPr>
              <w:t>℃</w:t>
            </w:r>
            <w:r>
              <w:rPr>
                <w:color w:val="000000" w:themeColor="text1"/>
                <w:kern w:val="0"/>
                <w:sz w:val="18"/>
                <w:szCs w:val="18"/>
                <w:lang w:bidi="ar"/>
                <w14:textFill>
                  <w14:solidFill>
                    <w14:schemeClr w14:val="tx1"/>
                  </w14:solidFill>
                </w14:textFill>
              </w:rPr>
              <w:t>时的控制指标，括号外数值为水温≤12</w:t>
            </w:r>
            <w:r>
              <w:rPr>
                <w:rFonts w:hint="eastAsia" w:ascii="宋体" w:hAnsi="宋体" w:cs="宋体"/>
                <w:color w:val="000000" w:themeColor="text1"/>
                <w:kern w:val="0"/>
                <w:sz w:val="18"/>
                <w:szCs w:val="18"/>
                <w:lang w:bidi="ar"/>
                <w14:textFill>
                  <w14:solidFill>
                    <w14:schemeClr w14:val="tx1"/>
                  </w14:solidFill>
                </w14:textFill>
              </w:rPr>
              <w:t>℃</w:t>
            </w:r>
            <w:r>
              <w:rPr>
                <w:color w:val="000000" w:themeColor="text1"/>
                <w:kern w:val="0"/>
                <w:sz w:val="18"/>
                <w:szCs w:val="18"/>
                <w:lang w:bidi="ar"/>
                <w14:textFill>
                  <w14:solidFill>
                    <w14:schemeClr w14:val="tx1"/>
                  </w14:solidFill>
                </w14:textFill>
              </w:rPr>
              <w:t>时的控制指标</w:t>
            </w:r>
            <w:r>
              <w:rPr>
                <w:rFonts w:hint="eastAsia"/>
                <w:color w:val="000000" w:themeColor="text1"/>
                <w:kern w:val="0"/>
                <w:sz w:val="18"/>
                <w:szCs w:val="18"/>
                <w:lang w:bidi="ar"/>
                <w14:textFill>
                  <w14:solidFill>
                    <w14:schemeClr w14:val="tx1"/>
                  </w14:solidFill>
                </w14:textFill>
              </w:rPr>
              <w:t>；扩建后每年11月1日至次年3月31日执行括号内排放限值。</w:t>
            </w:r>
          </w:p>
          <w:p w14:paraId="7C6440C6">
            <w:pPr>
              <w:tabs>
                <w:tab w:val="left" w:pos="5142"/>
              </w:tabs>
              <w:spacing w:before="120" w:beforeLines="50" w:line="360" w:lineRule="auto"/>
              <w:rPr>
                <w:snapToGrid w:val="0"/>
                <w:color w:val="000000" w:themeColor="text1"/>
                <w:kern w:val="0"/>
                <w:szCs w:val="21"/>
                <w14:textFill>
                  <w14:solidFill>
                    <w14:schemeClr w14:val="tx1"/>
                  </w14:solidFill>
                </w14:textFill>
              </w:rPr>
            </w:pPr>
            <w:r>
              <w:rPr>
                <w:b/>
                <w:bCs/>
                <w:snapToGrid w:val="0"/>
                <w:color w:val="000000" w:themeColor="text1"/>
                <w:kern w:val="0"/>
                <w:szCs w:val="21"/>
                <w14:textFill>
                  <w14:solidFill>
                    <w14:schemeClr w14:val="tx1"/>
                  </w14:solidFill>
                </w14:textFill>
              </w:rPr>
              <w:t>3</w:t>
            </w:r>
            <w:r>
              <w:rPr>
                <w:rFonts w:hint="eastAsia"/>
                <w:b/>
                <w:bCs/>
                <w:snapToGrid w:val="0"/>
                <w:color w:val="000000" w:themeColor="text1"/>
                <w:kern w:val="0"/>
                <w:szCs w:val="21"/>
                <w14:textFill>
                  <w14:solidFill>
                    <w14:schemeClr w14:val="tx1"/>
                  </w14:solidFill>
                </w14:textFill>
              </w:rPr>
              <w:t>、</w:t>
            </w:r>
            <w:r>
              <w:rPr>
                <w:b/>
                <w:bCs/>
                <w:snapToGrid w:val="0"/>
                <w:color w:val="000000" w:themeColor="text1"/>
                <w:kern w:val="0"/>
                <w:szCs w:val="21"/>
                <w14:textFill>
                  <w14:solidFill>
                    <w14:schemeClr w14:val="tx1"/>
                  </w14:solidFill>
                </w14:textFill>
              </w:rPr>
              <w:t>厂界噪声排放标准</w:t>
            </w:r>
          </w:p>
          <w:p w14:paraId="433D29AC">
            <w:pPr>
              <w:tabs>
                <w:tab w:val="left" w:pos="5142"/>
              </w:tabs>
              <w:spacing w:line="360" w:lineRule="auto"/>
              <w:ind w:left="-23" w:firstLine="482"/>
              <w:rPr>
                <w:bCs/>
                <w:snapToGrid w:val="0"/>
                <w:color w:val="000000" w:themeColor="text1"/>
                <w:kern w:val="0"/>
                <w:szCs w:val="21"/>
                <w14:textFill>
                  <w14:solidFill>
                    <w14:schemeClr w14:val="tx1"/>
                  </w14:solidFill>
                </w14:textFill>
              </w:rPr>
            </w:pPr>
            <w:r>
              <w:rPr>
                <w:rFonts w:hint="eastAsia"/>
                <w:color w:val="auto"/>
              </w:rPr>
              <w:t>根据市政府办公室关于印发《江阴市声环境功能区划分调整方案》的通知（澄政办发</w:t>
            </w:r>
            <w:r>
              <w:rPr>
                <w:color w:val="auto"/>
              </w:rPr>
              <w:t>[2020]71</w:t>
            </w:r>
            <w:r>
              <w:rPr>
                <w:rFonts w:hint="eastAsia"/>
                <w:color w:val="auto"/>
              </w:rPr>
              <w:t>号），本项目位于</w:t>
            </w:r>
            <w:r>
              <w:rPr>
                <w:color w:val="auto"/>
              </w:rPr>
              <w:t>3</w:t>
            </w:r>
            <w:r>
              <w:rPr>
                <w:rFonts w:hint="eastAsia"/>
                <w:color w:val="auto"/>
              </w:rPr>
              <w:t>类声环境功能区。</w:t>
            </w:r>
            <w:r>
              <w:rPr>
                <w:snapToGrid w:val="0"/>
                <w:color w:val="000000" w:themeColor="text1"/>
                <w:kern w:val="0"/>
                <w:szCs w:val="21"/>
                <w14:textFill>
                  <w14:solidFill>
                    <w14:schemeClr w14:val="tx1"/>
                  </w14:solidFill>
                </w14:textFill>
              </w:rPr>
              <w:t>项目</w:t>
            </w:r>
            <w:r>
              <w:rPr>
                <w:rFonts w:hint="eastAsia"/>
                <w:snapToGrid w:val="0"/>
                <w:color w:val="000000" w:themeColor="text1"/>
                <w:kern w:val="0"/>
                <w:szCs w:val="21"/>
                <w14:textFill>
                  <w14:solidFill>
                    <w14:schemeClr w14:val="tx1"/>
                  </w14:solidFill>
                </w14:textFill>
              </w:rPr>
              <w:t>运营</w:t>
            </w:r>
            <w:r>
              <w:rPr>
                <w:snapToGrid w:val="0"/>
                <w:color w:val="000000" w:themeColor="text1"/>
                <w:kern w:val="0"/>
                <w:szCs w:val="21"/>
                <w14:textFill>
                  <w14:solidFill>
                    <w14:schemeClr w14:val="tx1"/>
                  </w14:solidFill>
                </w14:textFill>
              </w:rPr>
              <w:t>期厂界噪声</w:t>
            </w:r>
            <w:r>
              <w:rPr>
                <w:bCs/>
                <w:snapToGrid w:val="0"/>
                <w:color w:val="000000" w:themeColor="text1"/>
                <w:kern w:val="0"/>
                <w:szCs w:val="21"/>
                <w14:textFill>
                  <w14:solidFill>
                    <w14:schemeClr w14:val="tx1"/>
                  </w14:solidFill>
                </w14:textFill>
              </w:rPr>
              <w:t>执行</w:t>
            </w:r>
            <w:r>
              <w:rPr>
                <w:snapToGrid w:val="0"/>
                <w:color w:val="000000" w:themeColor="text1"/>
                <w:kern w:val="0"/>
                <w:szCs w:val="21"/>
                <w14:textFill>
                  <w14:solidFill>
                    <w14:schemeClr w14:val="tx1"/>
                  </w14:solidFill>
                </w14:textFill>
              </w:rPr>
              <w:t>《工业企业厂界环境噪声排放标准》（GB12348-2008）中3类标准，</w:t>
            </w:r>
            <w:r>
              <w:rPr>
                <w:bCs/>
                <w:snapToGrid w:val="0"/>
                <w:color w:val="000000" w:themeColor="text1"/>
                <w:kern w:val="0"/>
                <w:szCs w:val="21"/>
                <w14:textFill>
                  <w14:solidFill>
                    <w14:schemeClr w14:val="tx1"/>
                  </w14:solidFill>
                </w14:textFill>
              </w:rPr>
              <w:t>具体见表3-</w:t>
            </w:r>
            <w:r>
              <w:rPr>
                <w:rFonts w:hint="eastAsia"/>
                <w:bCs/>
                <w:snapToGrid w:val="0"/>
                <w:color w:val="000000" w:themeColor="text1"/>
                <w:kern w:val="0"/>
                <w:szCs w:val="21"/>
                <w:lang w:val="en-US" w:eastAsia="zh-CN"/>
                <w14:textFill>
                  <w14:solidFill>
                    <w14:schemeClr w14:val="tx1"/>
                  </w14:solidFill>
                </w14:textFill>
              </w:rPr>
              <w:t>10</w:t>
            </w:r>
            <w:r>
              <w:rPr>
                <w:bCs/>
                <w:snapToGrid w:val="0"/>
                <w:color w:val="000000" w:themeColor="text1"/>
                <w:kern w:val="0"/>
                <w:szCs w:val="21"/>
                <w14:textFill>
                  <w14:solidFill>
                    <w14:schemeClr w14:val="tx1"/>
                  </w14:solidFill>
                </w14:textFill>
              </w:rPr>
              <w:t>。</w:t>
            </w:r>
          </w:p>
          <w:p w14:paraId="1C7491C4">
            <w:pPr>
              <w:jc w:val="center"/>
              <w:rPr>
                <w:b/>
                <w:snapToGrid w:val="0"/>
                <w:color w:val="000000" w:themeColor="text1"/>
                <w:kern w:val="0"/>
                <w:szCs w:val="21"/>
                <w14:textFill>
                  <w14:solidFill>
                    <w14:schemeClr w14:val="tx1"/>
                  </w14:solidFill>
                </w14:textFill>
              </w:rPr>
            </w:pPr>
            <w:r>
              <w:rPr>
                <w:b/>
                <w:bCs/>
                <w:snapToGrid w:val="0"/>
                <w:color w:val="000000" w:themeColor="text1"/>
                <w:kern w:val="0"/>
                <w:szCs w:val="21"/>
                <w14:textFill>
                  <w14:solidFill>
                    <w14:schemeClr w14:val="tx1"/>
                  </w14:solidFill>
                </w14:textFill>
              </w:rPr>
              <w:t>表3-</w:t>
            </w:r>
            <w:r>
              <w:rPr>
                <w:rFonts w:hint="eastAsia"/>
                <w:b/>
                <w:bCs/>
                <w:snapToGrid w:val="0"/>
                <w:color w:val="000000" w:themeColor="text1"/>
                <w:kern w:val="0"/>
                <w:szCs w:val="21"/>
                <w:lang w:val="en-US" w:eastAsia="zh-CN"/>
                <w14:textFill>
                  <w14:solidFill>
                    <w14:schemeClr w14:val="tx1"/>
                  </w14:solidFill>
                </w14:textFill>
              </w:rPr>
              <w:t>11</w:t>
            </w:r>
            <w:r>
              <w:rPr>
                <w:b/>
                <w:bCs/>
                <w:snapToGrid w:val="0"/>
                <w:color w:val="000000" w:themeColor="text1"/>
                <w:kern w:val="0"/>
                <w:szCs w:val="21"/>
                <w14:textFill>
                  <w14:solidFill>
                    <w14:schemeClr w14:val="tx1"/>
                  </w14:solidFill>
                </w14:textFill>
              </w:rPr>
              <w:t xml:space="preserve"> </w:t>
            </w:r>
            <w:r>
              <w:rPr>
                <w:b/>
                <w:snapToGrid w:val="0"/>
                <w:color w:val="000000" w:themeColor="text1"/>
                <w:kern w:val="0"/>
                <w:szCs w:val="21"/>
                <w14:textFill>
                  <w14:solidFill>
                    <w14:schemeClr w14:val="tx1"/>
                  </w14:solidFill>
                </w14:textFill>
              </w:rPr>
              <w:t>工业企业厂界环境噪声排放标准值</w:t>
            </w:r>
            <w:r>
              <w:rPr>
                <w:b/>
                <w:bCs/>
                <w:snapToGrid w:val="0"/>
                <w:color w:val="000000" w:themeColor="text1"/>
                <w:kern w:val="0"/>
                <w:szCs w:val="21"/>
                <w14:textFill>
                  <w14:solidFill>
                    <w14:schemeClr w14:val="tx1"/>
                  </w14:solidFill>
                </w14:textFill>
              </w:rPr>
              <w:t>一览表</w:t>
            </w:r>
            <w:r>
              <w:rPr>
                <w:b/>
                <w:snapToGrid w:val="0"/>
                <w:color w:val="000000" w:themeColor="text1"/>
                <w:kern w:val="0"/>
                <w:szCs w:val="21"/>
                <w14:textFill>
                  <w14:solidFill>
                    <w14:schemeClr w14:val="tx1"/>
                  </w14:solidFill>
                </w14:textFill>
              </w:rPr>
              <w:t xml:space="preserve">   单位：dB（A）</w:t>
            </w:r>
          </w:p>
          <w:tbl>
            <w:tblPr>
              <w:tblStyle w:val="27"/>
              <w:tblpPr w:leftFromText="180" w:rightFromText="180" w:vertAnchor="text" w:tblpXSpec="center" w:tblpY="1"/>
              <w:tblOverlap w:val="never"/>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1118"/>
              <w:gridCol w:w="2143"/>
              <w:gridCol w:w="1986"/>
              <w:gridCol w:w="2965"/>
            </w:tblGrid>
            <w:tr w14:paraId="6ADDB95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681" w:type="pct"/>
                  <w:vAlign w:val="center"/>
                </w:tcPr>
                <w:p w14:paraId="3F08BD5B">
                  <w:pPr>
                    <w:adjustRightInd w:val="0"/>
                    <w:snapToGrid w:val="0"/>
                    <w:jc w:val="center"/>
                    <w:rPr>
                      <w:b/>
                      <w:bCs/>
                      <w:snapToGrid w:val="0"/>
                      <w:color w:val="000000" w:themeColor="text1"/>
                      <w:kern w:val="0"/>
                      <w:sz w:val="21"/>
                      <w:szCs w:val="21"/>
                      <w14:textFill>
                        <w14:solidFill>
                          <w14:schemeClr w14:val="tx1"/>
                        </w14:solidFill>
                      </w14:textFill>
                    </w:rPr>
                  </w:pPr>
                  <w:r>
                    <w:rPr>
                      <w:b/>
                      <w:bCs/>
                      <w:snapToGrid w:val="0"/>
                      <w:color w:val="000000" w:themeColor="text1"/>
                      <w:kern w:val="0"/>
                      <w:sz w:val="21"/>
                      <w:szCs w:val="21"/>
                      <w14:textFill>
                        <w14:solidFill>
                          <w14:schemeClr w14:val="tx1"/>
                        </w14:solidFill>
                      </w14:textFill>
                    </w:rPr>
                    <w:t>功能区类别</w:t>
                  </w:r>
                </w:p>
              </w:tc>
              <w:tc>
                <w:tcPr>
                  <w:tcW w:w="1305" w:type="pct"/>
                  <w:vAlign w:val="center"/>
                </w:tcPr>
                <w:p w14:paraId="4D552BE4">
                  <w:pPr>
                    <w:adjustRightInd w:val="0"/>
                    <w:snapToGrid w:val="0"/>
                    <w:jc w:val="center"/>
                    <w:rPr>
                      <w:b/>
                      <w:bCs/>
                      <w:snapToGrid w:val="0"/>
                      <w:color w:val="000000" w:themeColor="text1"/>
                      <w:kern w:val="0"/>
                      <w:sz w:val="21"/>
                      <w:szCs w:val="21"/>
                      <w14:textFill>
                        <w14:solidFill>
                          <w14:schemeClr w14:val="tx1"/>
                        </w14:solidFill>
                      </w14:textFill>
                    </w:rPr>
                  </w:pPr>
                  <w:r>
                    <w:rPr>
                      <w:b/>
                      <w:bCs/>
                      <w:snapToGrid w:val="0"/>
                      <w:color w:val="000000" w:themeColor="text1"/>
                      <w:kern w:val="0"/>
                      <w:sz w:val="21"/>
                      <w:szCs w:val="21"/>
                      <w14:textFill>
                        <w14:solidFill>
                          <w14:schemeClr w14:val="tx1"/>
                        </w14:solidFill>
                      </w14:textFill>
                    </w:rPr>
                    <w:t>昼间（6:00～22:00）</w:t>
                  </w:r>
                </w:p>
              </w:tc>
              <w:tc>
                <w:tcPr>
                  <w:tcW w:w="1209" w:type="pct"/>
                  <w:vAlign w:val="center"/>
                </w:tcPr>
                <w:p w14:paraId="5781AFE1">
                  <w:pPr>
                    <w:adjustRightInd w:val="0"/>
                    <w:snapToGrid w:val="0"/>
                    <w:jc w:val="center"/>
                    <w:rPr>
                      <w:b/>
                      <w:bCs/>
                      <w:snapToGrid w:val="0"/>
                      <w:color w:val="000000" w:themeColor="text1"/>
                      <w:kern w:val="0"/>
                      <w:sz w:val="21"/>
                      <w:szCs w:val="21"/>
                      <w14:textFill>
                        <w14:solidFill>
                          <w14:schemeClr w14:val="tx1"/>
                        </w14:solidFill>
                      </w14:textFill>
                    </w:rPr>
                  </w:pPr>
                  <w:r>
                    <w:rPr>
                      <w:b/>
                      <w:bCs/>
                      <w:snapToGrid w:val="0"/>
                      <w:color w:val="000000" w:themeColor="text1"/>
                      <w:kern w:val="0"/>
                      <w:sz w:val="21"/>
                      <w:szCs w:val="21"/>
                      <w14:textFill>
                        <w14:solidFill>
                          <w14:schemeClr w14:val="tx1"/>
                        </w14:solidFill>
                      </w14:textFill>
                    </w:rPr>
                    <w:t>夜间（22:00～6:00）</w:t>
                  </w:r>
                </w:p>
              </w:tc>
              <w:tc>
                <w:tcPr>
                  <w:tcW w:w="1806" w:type="pct"/>
                  <w:vAlign w:val="center"/>
                </w:tcPr>
                <w:p w14:paraId="254533B7">
                  <w:pPr>
                    <w:adjustRightInd w:val="0"/>
                    <w:snapToGrid w:val="0"/>
                    <w:jc w:val="center"/>
                    <w:rPr>
                      <w:b/>
                      <w:bCs/>
                      <w:snapToGrid w:val="0"/>
                      <w:color w:val="000000" w:themeColor="text1"/>
                      <w:kern w:val="0"/>
                      <w:sz w:val="21"/>
                      <w:szCs w:val="21"/>
                      <w14:textFill>
                        <w14:solidFill>
                          <w14:schemeClr w14:val="tx1"/>
                        </w14:solidFill>
                      </w14:textFill>
                    </w:rPr>
                  </w:pPr>
                  <w:r>
                    <w:rPr>
                      <w:b/>
                      <w:bCs/>
                      <w:snapToGrid w:val="0"/>
                      <w:color w:val="000000" w:themeColor="text1"/>
                      <w:kern w:val="0"/>
                      <w:sz w:val="21"/>
                      <w:szCs w:val="21"/>
                      <w14:textFill>
                        <w14:solidFill>
                          <w14:schemeClr w14:val="tx1"/>
                        </w14:solidFill>
                      </w14:textFill>
                    </w:rPr>
                    <w:t>标准来源</w:t>
                  </w:r>
                </w:p>
              </w:tc>
            </w:tr>
            <w:tr w14:paraId="0FDBCA1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681" w:type="pct"/>
                  <w:vAlign w:val="center"/>
                </w:tcPr>
                <w:p w14:paraId="571B16FD">
                  <w:pPr>
                    <w:adjustRightInd w:val="0"/>
                    <w:snapToGrid w:val="0"/>
                    <w:jc w:val="center"/>
                    <w:rPr>
                      <w:b w:val="0"/>
                      <w:bCs w:val="0"/>
                      <w:snapToGrid w:val="0"/>
                      <w:color w:val="000000" w:themeColor="text1"/>
                      <w:kern w:val="0"/>
                      <w:sz w:val="21"/>
                      <w:szCs w:val="21"/>
                      <w14:textFill>
                        <w14:solidFill>
                          <w14:schemeClr w14:val="tx1"/>
                        </w14:solidFill>
                      </w14:textFill>
                    </w:rPr>
                  </w:pPr>
                  <w:r>
                    <w:rPr>
                      <w:b w:val="0"/>
                      <w:bCs w:val="0"/>
                      <w:smallCaps/>
                      <w:snapToGrid w:val="0"/>
                      <w:color w:val="000000" w:themeColor="text1"/>
                      <w:kern w:val="0"/>
                      <w:sz w:val="21"/>
                      <w:szCs w:val="21"/>
                      <w14:textFill>
                        <w14:solidFill>
                          <w14:schemeClr w14:val="tx1"/>
                        </w14:solidFill>
                      </w14:textFill>
                    </w:rPr>
                    <w:t>3</w:t>
                  </w:r>
                </w:p>
              </w:tc>
              <w:tc>
                <w:tcPr>
                  <w:tcW w:w="1305" w:type="pct"/>
                  <w:vAlign w:val="center"/>
                </w:tcPr>
                <w:p w14:paraId="454DDB86">
                  <w:pPr>
                    <w:adjustRightInd w:val="0"/>
                    <w:snapToGrid w:val="0"/>
                    <w:jc w:val="center"/>
                    <w:rPr>
                      <w:b w:val="0"/>
                      <w:bCs w:val="0"/>
                      <w:snapToGrid w:val="0"/>
                      <w:color w:val="000000" w:themeColor="text1"/>
                      <w:kern w:val="0"/>
                      <w:sz w:val="21"/>
                      <w:szCs w:val="21"/>
                      <w14:textFill>
                        <w14:solidFill>
                          <w14:schemeClr w14:val="tx1"/>
                        </w14:solidFill>
                      </w14:textFill>
                    </w:rPr>
                  </w:pPr>
                  <w:r>
                    <w:rPr>
                      <w:b w:val="0"/>
                      <w:bCs w:val="0"/>
                      <w:smallCaps/>
                      <w:snapToGrid w:val="0"/>
                      <w:color w:val="000000" w:themeColor="text1"/>
                      <w:kern w:val="0"/>
                      <w:sz w:val="21"/>
                      <w:szCs w:val="21"/>
                      <w14:textFill>
                        <w14:solidFill>
                          <w14:schemeClr w14:val="tx1"/>
                        </w14:solidFill>
                      </w14:textFill>
                    </w:rPr>
                    <w:t>65</w:t>
                  </w:r>
                </w:p>
              </w:tc>
              <w:tc>
                <w:tcPr>
                  <w:tcW w:w="1209" w:type="pct"/>
                  <w:vAlign w:val="center"/>
                </w:tcPr>
                <w:p w14:paraId="56EB87EF">
                  <w:pPr>
                    <w:adjustRightInd w:val="0"/>
                    <w:snapToGrid w:val="0"/>
                    <w:jc w:val="center"/>
                    <w:rPr>
                      <w:b w:val="0"/>
                      <w:bCs w:val="0"/>
                      <w:snapToGrid w:val="0"/>
                      <w:color w:val="000000" w:themeColor="text1"/>
                      <w:kern w:val="0"/>
                      <w:sz w:val="21"/>
                      <w:szCs w:val="21"/>
                      <w14:textFill>
                        <w14:solidFill>
                          <w14:schemeClr w14:val="tx1"/>
                        </w14:solidFill>
                      </w14:textFill>
                    </w:rPr>
                  </w:pPr>
                  <w:r>
                    <w:rPr>
                      <w:b w:val="0"/>
                      <w:bCs w:val="0"/>
                      <w:smallCaps/>
                      <w:snapToGrid w:val="0"/>
                      <w:color w:val="000000" w:themeColor="text1"/>
                      <w:kern w:val="0"/>
                      <w:sz w:val="21"/>
                      <w:szCs w:val="21"/>
                      <w14:textFill>
                        <w14:solidFill>
                          <w14:schemeClr w14:val="tx1"/>
                        </w14:solidFill>
                      </w14:textFill>
                    </w:rPr>
                    <w:t>55</w:t>
                  </w:r>
                </w:p>
              </w:tc>
              <w:tc>
                <w:tcPr>
                  <w:tcW w:w="1806" w:type="pct"/>
                  <w:vAlign w:val="center"/>
                </w:tcPr>
                <w:p w14:paraId="24CAB704">
                  <w:pPr>
                    <w:adjustRightInd w:val="0"/>
                    <w:snapToGrid w:val="0"/>
                    <w:jc w:val="center"/>
                    <w:rPr>
                      <w:b w:val="0"/>
                      <w:bCs w:val="0"/>
                      <w:snapToGrid w:val="0"/>
                      <w:color w:val="000000" w:themeColor="text1"/>
                      <w:kern w:val="0"/>
                      <w:sz w:val="21"/>
                      <w:szCs w:val="21"/>
                      <w14:textFill>
                        <w14:solidFill>
                          <w14:schemeClr w14:val="tx1"/>
                        </w14:solidFill>
                      </w14:textFill>
                    </w:rPr>
                  </w:pPr>
                  <w:r>
                    <w:rPr>
                      <w:b w:val="0"/>
                      <w:bCs w:val="0"/>
                      <w:snapToGrid w:val="0"/>
                      <w:color w:val="000000" w:themeColor="text1"/>
                      <w:kern w:val="0"/>
                      <w:sz w:val="21"/>
                      <w:szCs w:val="21"/>
                      <w14:textFill>
                        <w14:solidFill>
                          <w14:schemeClr w14:val="tx1"/>
                        </w14:solidFill>
                      </w14:textFill>
                    </w:rPr>
                    <w:t>《工业企业厂界环境噪声排放标准》（GB12348-2008）</w:t>
                  </w:r>
                </w:p>
              </w:tc>
            </w:tr>
          </w:tbl>
          <w:p w14:paraId="7DE52361">
            <w:pPr>
              <w:tabs>
                <w:tab w:val="left" w:pos="5142"/>
              </w:tabs>
              <w:spacing w:before="120" w:beforeLines="50" w:line="360" w:lineRule="auto"/>
              <w:rPr>
                <w:rFonts w:ascii="宋体" w:hAnsi="宋体"/>
                <w:b/>
                <w:bCs/>
                <w:snapToGrid w:val="0"/>
                <w:color w:val="000000" w:themeColor="text1"/>
                <w:kern w:val="0"/>
                <w:szCs w:val="21"/>
                <w14:textFill>
                  <w14:solidFill>
                    <w14:schemeClr w14:val="tx1"/>
                  </w14:solidFill>
                </w14:textFill>
              </w:rPr>
            </w:pPr>
            <w:r>
              <w:rPr>
                <w:b/>
                <w:bCs/>
                <w:snapToGrid w:val="0"/>
                <w:color w:val="000000" w:themeColor="text1"/>
                <w:kern w:val="0"/>
                <w:szCs w:val="21"/>
                <w14:textFill>
                  <w14:solidFill>
                    <w14:schemeClr w14:val="tx1"/>
                  </w14:solidFill>
                </w14:textFill>
              </w:rPr>
              <w:t>4</w:t>
            </w:r>
            <w:r>
              <w:rPr>
                <w:rFonts w:hint="eastAsia" w:ascii="宋体" w:hAnsi="宋体"/>
                <w:b/>
                <w:bCs/>
                <w:snapToGrid w:val="0"/>
                <w:color w:val="000000" w:themeColor="text1"/>
                <w:kern w:val="0"/>
                <w:szCs w:val="21"/>
                <w14:textFill>
                  <w14:solidFill>
                    <w14:schemeClr w14:val="tx1"/>
                  </w14:solidFill>
                </w14:textFill>
              </w:rPr>
              <w:t>、</w:t>
            </w:r>
            <w:r>
              <w:rPr>
                <w:rFonts w:ascii="宋体" w:hAnsi="宋体"/>
                <w:b/>
                <w:bCs/>
                <w:snapToGrid w:val="0"/>
                <w:color w:val="000000" w:themeColor="text1"/>
                <w:kern w:val="0"/>
                <w:szCs w:val="21"/>
                <w14:textFill>
                  <w14:solidFill>
                    <w14:schemeClr w14:val="tx1"/>
                  </w14:solidFill>
                </w14:textFill>
              </w:rPr>
              <w:t>固废控制标准</w:t>
            </w:r>
          </w:p>
          <w:p w14:paraId="740AAFEB">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w:t>
            </w:r>
            <w:r>
              <w:rPr>
                <w:color w:val="000000" w:themeColor="text1"/>
                <w:szCs w:val="21"/>
                <w14:textFill>
                  <w14:solidFill>
                    <w14:schemeClr w14:val="tx1"/>
                  </w14:solidFill>
                </w14:textFill>
              </w:rPr>
              <w:t>项目产生的一般工业固体废物</w:t>
            </w:r>
            <w:r>
              <w:rPr>
                <w:rFonts w:hint="eastAsia"/>
                <w:color w:val="000000" w:themeColor="text1"/>
                <w:szCs w:val="21"/>
                <w14:textFill>
                  <w14:solidFill>
                    <w14:schemeClr w14:val="tx1"/>
                  </w14:solidFill>
                </w14:textFill>
              </w:rPr>
              <w:t>暂存于一般工业固废仓库</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其贮存过程应满足</w:t>
            </w:r>
            <w:r>
              <w:rPr>
                <w:rFonts w:hint="eastAsia"/>
              </w:rPr>
              <w:t>《一般工业固体废物贮存和填埋污染控制标准》（GB18599-2020）</w:t>
            </w:r>
            <w:r>
              <w:rPr>
                <w:rFonts w:hint="eastAsia"/>
                <w:color w:val="000000" w:themeColor="text1"/>
                <w:szCs w:val="21"/>
                <w14:textFill>
                  <w14:solidFill>
                    <w14:schemeClr w14:val="tx1"/>
                  </w14:solidFill>
                </w14:textFill>
              </w:rPr>
              <w:t>要求；</w:t>
            </w:r>
            <w:r>
              <w:rPr>
                <w:color w:val="000000" w:themeColor="text1"/>
                <w:szCs w:val="21"/>
                <w14:textFill>
                  <w14:solidFill>
                    <w14:schemeClr w14:val="tx1"/>
                  </w14:solidFill>
                </w14:textFill>
              </w:rPr>
              <w:t>危险废物的暂存执行《危险废物贮存污染控制标准》（GB18597-2023）、</w:t>
            </w:r>
            <w:r>
              <w:rPr>
                <w:rFonts w:hint="eastAsia"/>
                <w:color w:val="000000" w:themeColor="text1"/>
                <w:szCs w:val="21"/>
                <w14:textFill>
                  <w14:solidFill>
                    <w14:schemeClr w14:val="tx1"/>
                  </w14:solidFill>
                </w14:textFill>
              </w:rPr>
              <w:t>《省生态环境厅关于印发&lt;江苏省固体废物全过程环境监管工作意见&gt;的通知》（苏环办[2024]16号）</w:t>
            </w:r>
            <w:r>
              <w:rPr>
                <w:color w:val="000000" w:themeColor="text1"/>
                <w:szCs w:val="21"/>
                <w14:textFill>
                  <w14:solidFill>
                    <w14:schemeClr w14:val="tx1"/>
                  </w14:solidFill>
                </w14:textFill>
              </w:rPr>
              <w:t>中要求。生活垃圾处理执行《城市生活垃圾处理及污染防治技术政策》（建城[2000]120号）和《生活垃圾处理技术指南》（建城[2010]61号）以及国家、省市关于固体废物污染环境防治的法律法规。</w:t>
            </w:r>
          </w:p>
          <w:p w14:paraId="72E436F5">
            <w:pPr>
              <w:spacing w:line="360" w:lineRule="auto"/>
              <w:rPr>
                <w:color w:val="000000" w:themeColor="text1"/>
                <w:szCs w:val="21"/>
                <w14:textFill>
                  <w14:solidFill>
                    <w14:schemeClr w14:val="tx1"/>
                  </w14:solidFill>
                </w14:textFill>
              </w:rPr>
            </w:pPr>
          </w:p>
          <w:p w14:paraId="5A8B3B92">
            <w:pPr>
              <w:spacing w:line="360" w:lineRule="auto"/>
              <w:rPr>
                <w:color w:val="000000" w:themeColor="text1"/>
                <w:szCs w:val="21"/>
                <w:highlight w:val="yellow"/>
                <w14:textFill>
                  <w14:solidFill>
                    <w14:schemeClr w14:val="tx1"/>
                  </w14:solidFill>
                </w14:textFill>
              </w:rPr>
            </w:pPr>
          </w:p>
        </w:tc>
      </w:tr>
      <w:tr w14:paraId="2F296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4" w:hRule="atLeast"/>
          <w:jc w:val="center"/>
        </w:trPr>
        <w:tc>
          <w:tcPr>
            <w:tcW w:w="562" w:type="dxa"/>
            <w:tcBorders>
              <w:top w:val="single" w:color="auto" w:sz="4" w:space="0"/>
              <w:left w:val="single" w:color="auto" w:sz="4" w:space="0"/>
              <w:bottom w:val="single" w:color="auto" w:sz="4" w:space="0"/>
            </w:tcBorders>
            <w:vAlign w:val="center"/>
          </w:tcPr>
          <w:p w14:paraId="05316F73">
            <w:pPr>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总量控制指标</w:t>
            </w:r>
          </w:p>
        </w:tc>
        <w:tc>
          <w:tcPr>
            <w:tcW w:w="8428" w:type="dxa"/>
            <w:tcBorders>
              <w:top w:val="single" w:color="auto" w:sz="4" w:space="0"/>
              <w:bottom w:val="single" w:color="auto" w:sz="4" w:space="0"/>
              <w:right w:val="single" w:color="auto" w:sz="4" w:space="0"/>
            </w:tcBorders>
          </w:tcPr>
          <w:p w14:paraId="508A55B5">
            <w:pPr>
              <w:pStyle w:val="135"/>
              <w:keepNext w:val="0"/>
              <w:keepLines w:val="0"/>
              <w:pageBreakBefore w:val="0"/>
              <w:widowControl w:val="0"/>
              <w:kinsoku/>
              <w:wordWrap/>
              <w:overflowPunct/>
              <w:topLinePunct w:val="0"/>
              <w:autoSpaceDE/>
              <w:autoSpaceDN/>
              <w:bidi w:val="0"/>
              <w:adjustRightInd/>
              <w:snapToGrid w:val="0"/>
              <w:spacing w:line="312" w:lineRule="auto"/>
              <w:ind w:firstLine="496"/>
              <w:textAlignment w:val="auto"/>
              <w:rPr>
                <w:rStyle w:val="33"/>
                <w:rFonts w:cs="Times New Roman"/>
                <w:color w:val="auto"/>
                <w:spacing w:val="0"/>
                <w:kern w:val="2"/>
                <w:szCs w:val="24"/>
              </w:rPr>
            </w:pPr>
            <w:r>
              <w:rPr>
                <w:rFonts w:hint="eastAsia"/>
                <w:color w:val="auto"/>
              </w:rPr>
              <w:t>结合项目排污特征，确定总量控制因子为：</w:t>
            </w:r>
          </w:p>
          <w:p w14:paraId="1C113306">
            <w:pPr>
              <w:pStyle w:val="135"/>
              <w:keepNext w:val="0"/>
              <w:keepLines w:val="0"/>
              <w:pageBreakBefore w:val="0"/>
              <w:widowControl w:val="0"/>
              <w:kinsoku/>
              <w:wordWrap/>
              <w:overflowPunct/>
              <w:topLinePunct w:val="0"/>
              <w:autoSpaceDE/>
              <w:autoSpaceDN/>
              <w:bidi w:val="0"/>
              <w:adjustRightInd/>
              <w:snapToGrid w:val="0"/>
              <w:spacing w:line="312" w:lineRule="auto"/>
              <w:ind w:firstLine="480"/>
              <w:textAlignment w:val="auto"/>
              <w:rPr>
                <w:color w:val="auto"/>
              </w:rPr>
            </w:pPr>
            <w:r>
              <w:rPr>
                <w:rFonts w:hint="eastAsia"/>
                <w:color w:val="auto"/>
              </w:rPr>
              <w:t>废气：</w:t>
            </w:r>
            <w:r>
              <w:rPr>
                <w:rFonts w:hint="eastAsia"/>
                <w:color w:val="auto"/>
                <w:lang w:val="en-US" w:eastAsia="zh-CN"/>
              </w:rPr>
              <w:t>非甲烷总烃、颗粒物</w:t>
            </w:r>
            <w:r>
              <w:rPr>
                <w:rFonts w:hint="eastAsia"/>
                <w:color w:val="auto"/>
              </w:rPr>
              <w:t>；</w:t>
            </w:r>
          </w:p>
          <w:p w14:paraId="74DAAB2E">
            <w:pPr>
              <w:pStyle w:val="135"/>
              <w:keepNext w:val="0"/>
              <w:keepLines w:val="0"/>
              <w:pageBreakBefore w:val="0"/>
              <w:widowControl w:val="0"/>
              <w:kinsoku/>
              <w:wordWrap/>
              <w:overflowPunct/>
              <w:topLinePunct w:val="0"/>
              <w:autoSpaceDE/>
              <w:autoSpaceDN/>
              <w:bidi w:val="0"/>
              <w:adjustRightInd/>
              <w:snapToGrid w:val="0"/>
              <w:spacing w:line="312" w:lineRule="auto"/>
              <w:ind w:firstLine="496"/>
              <w:textAlignment w:val="auto"/>
              <w:rPr>
                <w:color w:val="auto"/>
              </w:rPr>
            </w:pPr>
            <w:r>
              <w:rPr>
                <w:rFonts w:hint="eastAsia"/>
                <w:color w:val="auto"/>
              </w:rPr>
              <w:t>废水：COD、氨氮、TP、TN，考核因子为SS；</w:t>
            </w:r>
          </w:p>
          <w:p w14:paraId="5ADF2FB7">
            <w:pPr>
              <w:pStyle w:val="135"/>
              <w:keepNext w:val="0"/>
              <w:keepLines w:val="0"/>
              <w:pageBreakBefore w:val="0"/>
              <w:widowControl w:val="0"/>
              <w:kinsoku/>
              <w:wordWrap/>
              <w:overflowPunct/>
              <w:topLinePunct w:val="0"/>
              <w:autoSpaceDE/>
              <w:autoSpaceDN/>
              <w:bidi w:val="0"/>
              <w:adjustRightInd/>
              <w:snapToGrid w:val="0"/>
              <w:spacing w:line="312" w:lineRule="auto"/>
              <w:ind w:firstLine="496"/>
              <w:textAlignment w:val="auto"/>
              <w:rPr>
                <w:color w:val="auto"/>
              </w:rPr>
            </w:pPr>
            <w:r>
              <w:rPr>
                <w:rFonts w:hint="eastAsia"/>
                <w:color w:val="auto"/>
              </w:rPr>
              <w:t>固废：固体废物得到妥善处置，排放总量为零。</w:t>
            </w:r>
          </w:p>
          <w:p w14:paraId="3F3664B5">
            <w:pPr>
              <w:pStyle w:val="135"/>
              <w:keepNext w:val="0"/>
              <w:keepLines w:val="0"/>
              <w:pageBreakBefore w:val="0"/>
              <w:widowControl w:val="0"/>
              <w:kinsoku/>
              <w:wordWrap/>
              <w:overflowPunct/>
              <w:topLinePunct w:val="0"/>
              <w:autoSpaceDE/>
              <w:autoSpaceDN/>
              <w:bidi w:val="0"/>
              <w:adjustRightInd/>
              <w:snapToGrid w:val="0"/>
              <w:spacing w:line="312" w:lineRule="auto"/>
              <w:ind w:firstLine="496"/>
              <w:textAlignment w:val="auto"/>
              <w:rPr>
                <w:color w:val="auto"/>
              </w:rPr>
            </w:pPr>
            <w:r>
              <w:rPr>
                <w:rFonts w:hint="eastAsia"/>
                <w:color w:val="auto"/>
              </w:rPr>
              <w:t>建设项目污染物排放总量指标见表</w:t>
            </w:r>
            <w:r>
              <w:rPr>
                <w:color w:val="auto"/>
              </w:rPr>
              <w:t>3-</w:t>
            </w:r>
            <w:r>
              <w:rPr>
                <w:rFonts w:hint="eastAsia"/>
                <w:color w:val="auto"/>
                <w:lang w:val="en-US" w:eastAsia="zh-CN"/>
              </w:rPr>
              <w:t>12</w:t>
            </w:r>
            <w:r>
              <w:rPr>
                <w:rFonts w:hint="eastAsia"/>
                <w:color w:val="auto"/>
              </w:rPr>
              <w:t>。</w:t>
            </w:r>
          </w:p>
          <w:p w14:paraId="5DD5256B">
            <w:pPr>
              <w:jc w:val="center"/>
              <w:rPr>
                <w:b/>
                <w:color w:val="auto"/>
                <w:szCs w:val="21"/>
              </w:rPr>
            </w:pPr>
            <w:r>
              <w:rPr>
                <w:b/>
                <w:color w:val="auto"/>
                <w:szCs w:val="21"/>
              </w:rPr>
              <w:t>表3-</w:t>
            </w:r>
            <w:r>
              <w:rPr>
                <w:rFonts w:hint="eastAsia"/>
                <w:b/>
                <w:color w:val="auto"/>
                <w:szCs w:val="21"/>
                <w:lang w:val="en-US" w:eastAsia="zh-CN"/>
              </w:rPr>
              <w:t>12</w:t>
            </w:r>
            <w:r>
              <w:rPr>
                <w:b/>
                <w:color w:val="auto"/>
                <w:szCs w:val="21"/>
              </w:rPr>
              <w:t xml:space="preserve">  </w:t>
            </w:r>
            <w:r>
              <w:rPr>
                <w:rFonts w:hint="eastAsia"/>
                <w:b/>
                <w:color w:val="auto"/>
                <w:szCs w:val="21"/>
              </w:rPr>
              <w:t>项目</w:t>
            </w:r>
            <w:r>
              <w:rPr>
                <w:b/>
                <w:color w:val="auto"/>
                <w:szCs w:val="21"/>
              </w:rPr>
              <w:t>建成后污染物排放总量表（单位：t/a）</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85"/>
              <w:gridCol w:w="317"/>
              <w:gridCol w:w="725"/>
              <w:gridCol w:w="1082"/>
              <w:gridCol w:w="1340"/>
              <w:gridCol w:w="699"/>
              <w:gridCol w:w="728"/>
              <w:gridCol w:w="729"/>
              <w:gridCol w:w="961"/>
              <w:gridCol w:w="728"/>
              <w:gridCol w:w="718"/>
            </w:tblGrid>
            <w:tr w14:paraId="39DAB4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12" w:type="pct"/>
                  <w:vMerge w:val="restart"/>
                  <w:vAlign w:val="center"/>
                </w:tcPr>
                <w:p w14:paraId="1CB24B71">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bookmarkStart w:id="4" w:name="_Hlk58421479"/>
                  <w:r>
                    <w:rPr>
                      <w:rFonts w:hint="default" w:ascii="Times New Roman" w:hAnsi="Times New Roman" w:eastAsia="宋体" w:cs="Times New Roman"/>
                      <w:b/>
                      <w:color w:val="auto"/>
                      <w:sz w:val="21"/>
                      <w:szCs w:val="21"/>
                    </w:rPr>
                    <w:t>类别</w:t>
                  </w:r>
                </w:p>
              </w:tc>
              <w:tc>
                <w:tcPr>
                  <w:tcW w:w="634" w:type="pct"/>
                  <w:gridSpan w:val="2"/>
                  <w:vMerge w:val="restart"/>
                  <w:vAlign w:val="center"/>
                </w:tcPr>
                <w:p w14:paraId="7F04DF0D">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污染物名称</w:t>
                  </w:r>
                </w:p>
              </w:tc>
              <w:tc>
                <w:tcPr>
                  <w:tcW w:w="1474" w:type="pct"/>
                  <w:gridSpan w:val="2"/>
                  <w:tcMar>
                    <w:left w:w="0" w:type="dxa"/>
                    <w:right w:w="0" w:type="dxa"/>
                  </w:tcMar>
                  <w:vAlign w:val="center"/>
                </w:tcPr>
                <w:p w14:paraId="72EA2CD7">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原有项目</w:t>
                  </w:r>
                </w:p>
              </w:tc>
              <w:tc>
                <w:tcPr>
                  <w:tcW w:w="1312" w:type="pct"/>
                  <w:gridSpan w:val="3"/>
                  <w:tcMar>
                    <w:left w:w="0" w:type="dxa"/>
                    <w:right w:w="0" w:type="dxa"/>
                  </w:tcMar>
                  <w:vAlign w:val="center"/>
                </w:tcPr>
                <w:p w14:paraId="79FB457E">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本项目</w:t>
                  </w:r>
                </w:p>
              </w:tc>
              <w:tc>
                <w:tcPr>
                  <w:tcW w:w="585" w:type="pct"/>
                  <w:vMerge w:val="restart"/>
                  <w:vAlign w:val="center"/>
                </w:tcPr>
                <w:p w14:paraId="32D3CE67">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kern w:val="0"/>
                      <w:sz w:val="21"/>
                      <w:szCs w:val="21"/>
                    </w:rPr>
                    <w:t>“以新带老”削减量</w:t>
                  </w:r>
                </w:p>
              </w:tc>
              <w:tc>
                <w:tcPr>
                  <w:tcW w:w="443" w:type="pct"/>
                  <w:vMerge w:val="restart"/>
                  <w:vAlign w:val="center"/>
                </w:tcPr>
                <w:p w14:paraId="4B74062A">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迁建后全厂排放量</w:t>
                  </w:r>
                </w:p>
              </w:tc>
              <w:tc>
                <w:tcPr>
                  <w:tcW w:w="437" w:type="pct"/>
                  <w:vMerge w:val="restart"/>
                  <w:vAlign w:val="center"/>
                </w:tcPr>
                <w:p w14:paraId="2896BCEE">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迁建前后排放增减量</w:t>
                  </w:r>
                </w:p>
              </w:tc>
            </w:tr>
            <w:tr w14:paraId="7AAA5C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112" w:type="pct"/>
                  <w:vMerge w:val="continue"/>
                  <w:vAlign w:val="center"/>
                </w:tcPr>
                <w:p w14:paraId="6E423BF5">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634" w:type="pct"/>
                  <w:gridSpan w:val="2"/>
                  <w:vMerge w:val="continue"/>
                  <w:vAlign w:val="center"/>
                </w:tcPr>
                <w:p w14:paraId="0A51EB09">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p>
              </w:tc>
              <w:tc>
                <w:tcPr>
                  <w:tcW w:w="658" w:type="pct"/>
                  <w:tcMar>
                    <w:left w:w="0" w:type="dxa"/>
                    <w:right w:w="0" w:type="dxa"/>
                  </w:tcMar>
                  <w:vAlign w:val="center"/>
                </w:tcPr>
                <w:p w14:paraId="6B4FB3AA">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cs="Times New Roman"/>
                      <w:b/>
                      <w:color w:val="auto"/>
                      <w:sz w:val="21"/>
                      <w:szCs w:val="21"/>
                    </w:rPr>
                    <w:t>实际排放量</w:t>
                  </w:r>
                </w:p>
              </w:tc>
              <w:tc>
                <w:tcPr>
                  <w:tcW w:w="815" w:type="pct"/>
                  <w:tcMar>
                    <w:left w:w="0" w:type="dxa"/>
                    <w:right w:w="0" w:type="dxa"/>
                  </w:tcMar>
                  <w:vAlign w:val="center"/>
                </w:tcPr>
                <w:p w14:paraId="3B811E08">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核定排放量</w:t>
                  </w:r>
                </w:p>
              </w:tc>
              <w:tc>
                <w:tcPr>
                  <w:tcW w:w="425" w:type="pct"/>
                  <w:tcMar>
                    <w:left w:w="0" w:type="dxa"/>
                    <w:right w:w="0" w:type="dxa"/>
                  </w:tcMar>
                  <w:vAlign w:val="center"/>
                </w:tcPr>
                <w:p w14:paraId="4184F2FF">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产生量</w:t>
                  </w:r>
                </w:p>
              </w:tc>
              <w:tc>
                <w:tcPr>
                  <w:tcW w:w="443" w:type="pct"/>
                  <w:tcMar>
                    <w:left w:w="0" w:type="dxa"/>
                    <w:right w:w="0" w:type="dxa"/>
                  </w:tcMar>
                  <w:vAlign w:val="center"/>
                </w:tcPr>
                <w:p w14:paraId="08BF6865">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削减量</w:t>
                  </w:r>
                </w:p>
              </w:tc>
              <w:tc>
                <w:tcPr>
                  <w:tcW w:w="443" w:type="pct"/>
                  <w:vAlign w:val="center"/>
                </w:tcPr>
                <w:p w14:paraId="62A6A32B">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CN"/>
                    </w:rPr>
                    <w:t>排放</w:t>
                  </w:r>
                  <w:r>
                    <w:rPr>
                      <w:rFonts w:hint="default" w:ascii="Times New Roman" w:hAnsi="Times New Roman" w:eastAsia="宋体" w:cs="Times New Roman"/>
                      <w:b/>
                      <w:color w:val="auto"/>
                      <w:sz w:val="21"/>
                      <w:szCs w:val="21"/>
                    </w:rPr>
                    <w:t>量</w:t>
                  </w:r>
                </w:p>
              </w:tc>
              <w:tc>
                <w:tcPr>
                  <w:tcW w:w="585" w:type="pct"/>
                  <w:vMerge w:val="continue"/>
                  <w:vAlign w:val="center"/>
                </w:tcPr>
                <w:p w14:paraId="62632E48">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lang w:val="en-US" w:eastAsia="zh-CN"/>
                    </w:rPr>
                  </w:pPr>
                </w:p>
              </w:tc>
              <w:tc>
                <w:tcPr>
                  <w:tcW w:w="443" w:type="pct"/>
                  <w:vMerge w:val="continue"/>
                  <w:vAlign w:val="center"/>
                </w:tcPr>
                <w:p w14:paraId="73AF78E3">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p>
              </w:tc>
              <w:tc>
                <w:tcPr>
                  <w:tcW w:w="437" w:type="pct"/>
                  <w:vMerge w:val="continue"/>
                  <w:vAlign w:val="center"/>
                </w:tcPr>
                <w:p w14:paraId="1223F2F3">
                  <w:pPr>
                    <w:pStyle w:val="80"/>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p>
              </w:tc>
            </w:tr>
            <w:tr w14:paraId="051337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restart"/>
                  <w:vAlign w:val="center"/>
                </w:tcPr>
                <w:p w14:paraId="1659DAFB">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193" w:type="pct"/>
                  <w:vMerge w:val="restart"/>
                  <w:vAlign w:val="center"/>
                </w:tcPr>
                <w:p w14:paraId="10328E5A">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有组织</w:t>
                  </w:r>
                </w:p>
              </w:tc>
              <w:tc>
                <w:tcPr>
                  <w:tcW w:w="441" w:type="pct"/>
                  <w:vAlign w:val="center"/>
                </w:tcPr>
                <w:p w14:paraId="7E8BCAE3">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658" w:type="pct"/>
                  <w:tcMar>
                    <w:left w:w="0" w:type="dxa"/>
                    <w:right w:w="0" w:type="dxa"/>
                  </w:tcMar>
                  <w:vAlign w:val="center"/>
                </w:tcPr>
                <w:p w14:paraId="65997C42">
                  <w:pPr>
                    <w:pStyle w:val="80"/>
                    <w:adjustRightInd w:val="0"/>
                    <w:snapToGrid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0</w:t>
                  </w:r>
                </w:p>
              </w:tc>
              <w:tc>
                <w:tcPr>
                  <w:tcW w:w="815" w:type="pct"/>
                  <w:tcMar>
                    <w:left w:w="0" w:type="dxa"/>
                    <w:right w:w="0" w:type="dxa"/>
                  </w:tcMar>
                  <w:vAlign w:val="center"/>
                </w:tcPr>
                <w:p w14:paraId="6FB556F8">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25" w:type="pct"/>
                  <w:tcMar>
                    <w:left w:w="0" w:type="dxa"/>
                    <w:right w:w="0" w:type="dxa"/>
                  </w:tcMar>
                  <w:vAlign w:val="center"/>
                </w:tcPr>
                <w:p w14:paraId="1C29CACC">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43" w:type="pct"/>
                  <w:tcMar>
                    <w:left w:w="0" w:type="dxa"/>
                    <w:right w:w="0" w:type="dxa"/>
                  </w:tcMar>
                  <w:vAlign w:val="center"/>
                </w:tcPr>
                <w:p w14:paraId="37C9171B">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43" w:type="pct"/>
                  <w:vAlign w:val="center"/>
                </w:tcPr>
                <w:p w14:paraId="388836C2">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585" w:type="pct"/>
                  <w:shd w:val="clear" w:color="auto" w:fill="auto"/>
                  <w:vAlign w:val="center"/>
                </w:tcPr>
                <w:p w14:paraId="33E38A05">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43" w:type="pct"/>
                  <w:shd w:val="clear" w:color="auto" w:fill="auto"/>
                  <w:vAlign w:val="center"/>
                </w:tcPr>
                <w:p w14:paraId="6E1543A4">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37" w:type="pct"/>
                  <w:vAlign w:val="center"/>
                </w:tcPr>
                <w:p w14:paraId="2664D384">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rPr>
                    <w:t>0</w:t>
                  </w:r>
                </w:p>
              </w:tc>
            </w:tr>
            <w:tr w14:paraId="7EAAD9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4D332411">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93" w:type="pct"/>
                  <w:vMerge w:val="continue"/>
                  <w:vAlign w:val="center"/>
                </w:tcPr>
                <w:p w14:paraId="3DFB8B2D">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41" w:type="pct"/>
                  <w:vAlign w:val="center"/>
                </w:tcPr>
                <w:p w14:paraId="7616FF82">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w:t>
                  </w:r>
                </w:p>
              </w:tc>
              <w:tc>
                <w:tcPr>
                  <w:tcW w:w="658" w:type="pct"/>
                  <w:tcMar>
                    <w:left w:w="0" w:type="dxa"/>
                    <w:right w:w="0" w:type="dxa"/>
                  </w:tcMar>
                  <w:vAlign w:val="center"/>
                </w:tcPr>
                <w:p w14:paraId="48199A31">
                  <w:pPr>
                    <w:pStyle w:val="8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0.0022</w:t>
                  </w:r>
                </w:p>
              </w:tc>
              <w:tc>
                <w:tcPr>
                  <w:tcW w:w="815" w:type="pct"/>
                  <w:tcMar>
                    <w:left w:w="0" w:type="dxa"/>
                    <w:right w:w="0" w:type="dxa"/>
                  </w:tcMar>
                  <w:vAlign w:val="center"/>
                </w:tcPr>
                <w:p w14:paraId="24309AC9">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0.026</w:t>
                  </w:r>
                </w:p>
              </w:tc>
              <w:tc>
                <w:tcPr>
                  <w:tcW w:w="425" w:type="pct"/>
                  <w:tcMar>
                    <w:left w:w="0" w:type="dxa"/>
                    <w:right w:w="0" w:type="dxa"/>
                  </w:tcMar>
                  <w:vAlign w:val="center"/>
                </w:tcPr>
                <w:p w14:paraId="7D9F869C">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0.355</w:t>
                  </w:r>
                </w:p>
              </w:tc>
              <w:tc>
                <w:tcPr>
                  <w:tcW w:w="443" w:type="pct"/>
                  <w:tcMar>
                    <w:left w:w="0" w:type="dxa"/>
                    <w:right w:w="0" w:type="dxa"/>
                  </w:tcMar>
                  <w:vAlign w:val="center"/>
                </w:tcPr>
                <w:p w14:paraId="7920EF47">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0.3017</w:t>
                  </w:r>
                </w:p>
              </w:tc>
              <w:tc>
                <w:tcPr>
                  <w:tcW w:w="443" w:type="pct"/>
                  <w:vAlign w:val="center"/>
                </w:tcPr>
                <w:p w14:paraId="7F8867EE">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0.0533</w:t>
                  </w:r>
                </w:p>
              </w:tc>
              <w:tc>
                <w:tcPr>
                  <w:tcW w:w="585" w:type="pct"/>
                  <w:shd w:val="clear" w:color="auto" w:fill="auto"/>
                  <w:vAlign w:val="center"/>
                </w:tcPr>
                <w:p w14:paraId="319B1393">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0.026</w:t>
                  </w:r>
                </w:p>
              </w:tc>
              <w:tc>
                <w:tcPr>
                  <w:tcW w:w="443" w:type="pct"/>
                  <w:shd w:val="clear" w:color="auto" w:fill="auto"/>
                  <w:vAlign w:val="center"/>
                </w:tcPr>
                <w:p w14:paraId="65D1D9E1">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0.0533</w:t>
                  </w:r>
                </w:p>
              </w:tc>
              <w:tc>
                <w:tcPr>
                  <w:tcW w:w="437" w:type="pct"/>
                  <w:vAlign w:val="center"/>
                </w:tcPr>
                <w:p w14:paraId="2E93FF03">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+0.0273</w:t>
                  </w:r>
                </w:p>
              </w:tc>
            </w:tr>
            <w:tr w14:paraId="415647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2361952A">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93" w:type="pct"/>
                  <w:vMerge w:val="restart"/>
                  <w:vAlign w:val="center"/>
                </w:tcPr>
                <w:p w14:paraId="71A43D07">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无组织</w:t>
                  </w:r>
                </w:p>
              </w:tc>
              <w:tc>
                <w:tcPr>
                  <w:tcW w:w="441" w:type="pct"/>
                  <w:vAlign w:val="center"/>
                </w:tcPr>
                <w:p w14:paraId="44C62E67">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658" w:type="pct"/>
                  <w:tcMar>
                    <w:left w:w="0" w:type="dxa"/>
                    <w:right w:w="0" w:type="dxa"/>
                  </w:tcMar>
                  <w:vAlign w:val="center"/>
                </w:tcPr>
                <w:p w14:paraId="6E240502">
                  <w:pPr>
                    <w:pStyle w:val="80"/>
                    <w:adjustRightInd w:val="0"/>
                    <w:snapToGrid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0</w:t>
                  </w:r>
                </w:p>
              </w:tc>
              <w:tc>
                <w:tcPr>
                  <w:tcW w:w="815" w:type="pct"/>
                  <w:tcMar>
                    <w:left w:w="0" w:type="dxa"/>
                    <w:right w:w="0" w:type="dxa"/>
                  </w:tcMar>
                  <w:vAlign w:val="center"/>
                </w:tcPr>
                <w:p w14:paraId="10173E67">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w:t>
                  </w:r>
                </w:p>
              </w:tc>
              <w:tc>
                <w:tcPr>
                  <w:tcW w:w="425" w:type="pct"/>
                  <w:tcMar>
                    <w:left w:w="0" w:type="dxa"/>
                    <w:right w:w="0" w:type="dxa"/>
                  </w:tcMar>
                  <w:vAlign w:val="center"/>
                </w:tcPr>
                <w:p w14:paraId="6AE0E284">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0.0211</w:t>
                  </w:r>
                </w:p>
              </w:tc>
              <w:tc>
                <w:tcPr>
                  <w:tcW w:w="443" w:type="pct"/>
                  <w:tcMar>
                    <w:left w:w="0" w:type="dxa"/>
                    <w:right w:w="0" w:type="dxa"/>
                  </w:tcMar>
                  <w:vAlign w:val="center"/>
                </w:tcPr>
                <w:p w14:paraId="7386365A">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0.0186</w:t>
                  </w:r>
                </w:p>
              </w:tc>
              <w:tc>
                <w:tcPr>
                  <w:tcW w:w="443" w:type="pct"/>
                  <w:vAlign w:val="center"/>
                </w:tcPr>
                <w:p w14:paraId="7EDFFDAC">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0.0025</w:t>
                  </w:r>
                </w:p>
              </w:tc>
              <w:tc>
                <w:tcPr>
                  <w:tcW w:w="585" w:type="pct"/>
                  <w:shd w:val="clear" w:color="auto" w:fill="auto"/>
                  <w:vAlign w:val="center"/>
                </w:tcPr>
                <w:p w14:paraId="25730487">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43" w:type="pct"/>
                  <w:shd w:val="clear" w:color="auto" w:fill="auto"/>
                  <w:vAlign w:val="center"/>
                </w:tcPr>
                <w:p w14:paraId="77FD080B">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0.0025</w:t>
                  </w:r>
                </w:p>
              </w:tc>
              <w:tc>
                <w:tcPr>
                  <w:tcW w:w="437" w:type="pct"/>
                  <w:vAlign w:val="center"/>
                </w:tcPr>
                <w:p w14:paraId="186A4E9B">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+0.0025</w:t>
                  </w:r>
                </w:p>
              </w:tc>
            </w:tr>
            <w:tr w14:paraId="02CE78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260BA0D7">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93" w:type="pct"/>
                  <w:vMerge w:val="continue"/>
                  <w:vAlign w:val="center"/>
                </w:tcPr>
                <w:p w14:paraId="272616E6">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41" w:type="pct"/>
                  <w:vAlign w:val="center"/>
                </w:tcPr>
                <w:p w14:paraId="7B493145">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w:t>
                  </w:r>
                </w:p>
              </w:tc>
              <w:tc>
                <w:tcPr>
                  <w:tcW w:w="658" w:type="pct"/>
                  <w:tcMar>
                    <w:left w:w="0" w:type="dxa"/>
                    <w:right w:w="0" w:type="dxa"/>
                  </w:tcMar>
                  <w:vAlign w:val="center"/>
                </w:tcPr>
                <w:p w14:paraId="1301CFD0">
                  <w:pPr>
                    <w:pStyle w:val="80"/>
                    <w:adjustRightInd w:val="0"/>
                    <w:snapToGrid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0</w:t>
                  </w:r>
                </w:p>
              </w:tc>
              <w:tc>
                <w:tcPr>
                  <w:tcW w:w="815" w:type="pct"/>
                  <w:tcMar>
                    <w:left w:w="0" w:type="dxa"/>
                    <w:right w:w="0" w:type="dxa"/>
                  </w:tcMar>
                  <w:vAlign w:val="center"/>
                </w:tcPr>
                <w:p w14:paraId="4D25CCDD">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29</w:t>
                  </w:r>
                </w:p>
              </w:tc>
              <w:tc>
                <w:tcPr>
                  <w:tcW w:w="425" w:type="pct"/>
                  <w:tcMar>
                    <w:left w:w="0" w:type="dxa"/>
                    <w:right w:w="0" w:type="dxa"/>
                  </w:tcMar>
                  <w:vAlign w:val="center"/>
                </w:tcPr>
                <w:p w14:paraId="1C786853">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0.0395</w:t>
                  </w:r>
                </w:p>
              </w:tc>
              <w:tc>
                <w:tcPr>
                  <w:tcW w:w="443" w:type="pct"/>
                  <w:tcMar>
                    <w:left w:w="0" w:type="dxa"/>
                    <w:right w:w="0" w:type="dxa"/>
                  </w:tcMar>
                  <w:vAlign w:val="center"/>
                </w:tcPr>
                <w:p w14:paraId="030BBF11">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43" w:type="pct"/>
                  <w:vAlign w:val="center"/>
                </w:tcPr>
                <w:p w14:paraId="74AD90D1">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0.0395</w:t>
                  </w:r>
                </w:p>
              </w:tc>
              <w:tc>
                <w:tcPr>
                  <w:tcW w:w="585" w:type="pct"/>
                  <w:shd w:val="clear" w:color="auto" w:fill="auto"/>
                  <w:vAlign w:val="center"/>
                </w:tcPr>
                <w:p w14:paraId="3BACDA0D">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29</w:t>
                  </w:r>
                </w:p>
              </w:tc>
              <w:tc>
                <w:tcPr>
                  <w:tcW w:w="443" w:type="pct"/>
                  <w:shd w:val="clear" w:color="auto" w:fill="auto"/>
                  <w:vAlign w:val="center"/>
                </w:tcPr>
                <w:p w14:paraId="3B613218">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0.0395</w:t>
                  </w:r>
                </w:p>
              </w:tc>
              <w:tc>
                <w:tcPr>
                  <w:tcW w:w="437" w:type="pct"/>
                  <w:vAlign w:val="center"/>
                </w:tcPr>
                <w:p w14:paraId="1216768B">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+0.0105</w:t>
                  </w:r>
                </w:p>
              </w:tc>
            </w:tr>
            <w:tr w14:paraId="4F340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298B5A6E">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93" w:type="pct"/>
                  <w:vMerge w:val="restart"/>
                  <w:vAlign w:val="center"/>
                </w:tcPr>
                <w:p w14:paraId="2D6590BE">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合计</w:t>
                  </w:r>
                </w:p>
              </w:tc>
              <w:tc>
                <w:tcPr>
                  <w:tcW w:w="441" w:type="pct"/>
                  <w:shd w:val="clear" w:color="auto" w:fill="auto"/>
                  <w:vAlign w:val="center"/>
                </w:tcPr>
                <w:p w14:paraId="699DB5FB">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颗粒物</w:t>
                  </w:r>
                </w:p>
              </w:tc>
              <w:tc>
                <w:tcPr>
                  <w:tcW w:w="658" w:type="pct"/>
                  <w:tcMar>
                    <w:left w:w="0" w:type="dxa"/>
                    <w:right w:w="0" w:type="dxa"/>
                  </w:tcMar>
                  <w:vAlign w:val="center"/>
                </w:tcPr>
                <w:p w14:paraId="44ACD251">
                  <w:pPr>
                    <w:pStyle w:val="80"/>
                    <w:adjustRightInd w:val="0"/>
                    <w:snapToGrid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0</w:t>
                  </w:r>
                </w:p>
              </w:tc>
              <w:tc>
                <w:tcPr>
                  <w:tcW w:w="815" w:type="pct"/>
                  <w:shd w:val="clear" w:color="auto" w:fill="auto"/>
                  <w:tcMar>
                    <w:left w:w="0" w:type="dxa"/>
                    <w:right w:w="0" w:type="dxa"/>
                  </w:tcMar>
                  <w:vAlign w:val="center"/>
                </w:tcPr>
                <w:p w14:paraId="27109F68">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w:t>
                  </w:r>
                </w:p>
              </w:tc>
              <w:tc>
                <w:tcPr>
                  <w:tcW w:w="425" w:type="pct"/>
                  <w:shd w:val="clear" w:color="auto" w:fill="auto"/>
                  <w:tcMar>
                    <w:left w:w="0" w:type="dxa"/>
                    <w:right w:w="0" w:type="dxa"/>
                  </w:tcMar>
                  <w:vAlign w:val="center"/>
                </w:tcPr>
                <w:p w14:paraId="1B0500DB">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0.0211</w:t>
                  </w:r>
                </w:p>
              </w:tc>
              <w:tc>
                <w:tcPr>
                  <w:tcW w:w="443" w:type="pct"/>
                  <w:shd w:val="clear" w:color="auto" w:fill="auto"/>
                  <w:tcMar>
                    <w:left w:w="0" w:type="dxa"/>
                    <w:right w:w="0" w:type="dxa"/>
                  </w:tcMar>
                  <w:vAlign w:val="center"/>
                </w:tcPr>
                <w:p w14:paraId="604C7A34">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0.0186</w:t>
                  </w:r>
                </w:p>
              </w:tc>
              <w:tc>
                <w:tcPr>
                  <w:tcW w:w="443" w:type="pct"/>
                  <w:shd w:val="clear" w:color="auto" w:fill="auto"/>
                  <w:vAlign w:val="center"/>
                </w:tcPr>
                <w:p w14:paraId="434E63EA">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0.0025</w:t>
                  </w:r>
                </w:p>
              </w:tc>
              <w:tc>
                <w:tcPr>
                  <w:tcW w:w="585" w:type="pct"/>
                  <w:shd w:val="clear" w:color="auto" w:fill="auto"/>
                  <w:vAlign w:val="center"/>
                </w:tcPr>
                <w:p w14:paraId="63194744">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43" w:type="pct"/>
                  <w:shd w:val="clear" w:color="auto" w:fill="auto"/>
                  <w:vAlign w:val="center"/>
                </w:tcPr>
                <w:p w14:paraId="5B49DF10">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0.0025</w:t>
                  </w:r>
                </w:p>
              </w:tc>
              <w:tc>
                <w:tcPr>
                  <w:tcW w:w="437" w:type="pct"/>
                  <w:vAlign w:val="center"/>
                </w:tcPr>
                <w:p w14:paraId="187688B3">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+0.0025</w:t>
                  </w:r>
                </w:p>
              </w:tc>
            </w:tr>
            <w:tr w14:paraId="573BE4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7CD0F384">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93" w:type="pct"/>
                  <w:vMerge w:val="continue"/>
                  <w:vAlign w:val="center"/>
                </w:tcPr>
                <w:p w14:paraId="7505533C">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41" w:type="pct"/>
                  <w:shd w:val="clear" w:color="auto" w:fill="auto"/>
                  <w:vAlign w:val="center"/>
                </w:tcPr>
                <w:p w14:paraId="09C76125">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非甲烷总烃</w:t>
                  </w:r>
                </w:p>
              </w:tc>
              <w:tc>
                <w:tcPr>
                  <w:tcW w:w="658" w:type="pct"/>
                  <w:tcMar>
                    <w:left w:w="0" w:type="dxa"/>
                    <w:right w:w="0" w:type="dxa"/>
                  </w:tcMar>
                  <w:vAlign w:val="center"/>
                </w:tcPr>
                <w:p w14:paraId="032D55C4">
                  <w:pPr>
                    <w:pStyle w:val="8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0.0022</w:t>
                  </w:r>
                </w:p>
              </w:tc>
              <w:tc>
                <w:tcPr>
                  <w:tcW w:w="815" w:type="pct"/>
                  <w:shd w:val="clear" w:color="auto" w:fill="auto"/>
                  <w:tcMar>
                    <w:left w:w="0" w:type="dxa"/>
                    <w:right w:w="0" w:type="dxa"/>
                  </w:tcMar>
                  <w:vAlign w:val="center"/>
                </w:tcPr>
                <w:p w14:paraId="55787BF5">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0.055</w:t>
                  </w:r>
                </w:p>
              </w:tc>
              <w:tc>
                <w:tcPr>
                  <w:tcW w:w="425" w:type="pct"/>
                  <w:tcMar>
                    <w:left w:w="0" w:type="dxa"/>
                    <w:right w:w="0" w:type="dxa"/>
                  </w:tcMar>
                  <w:vAlign w:val="center"/>
                </w:tcPr>
                <w:p w14:paraId="61F247F7">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0.3945</w:t>
                  </w:r>
                </w:p>
              </w:tc>
              <w:tc>
                <w:tcPr>
                  <w:tcW w:w="443" w:type="pct"/>
                  <w:tcMar>
                    <w:left w:w="0" w:type="dxa"/>
                    <w:right w:w="0" w:type="dxa"/>
                  </w:tcMar>
                  <w:vAlign w:val="center"/>
                </w:tcPr>
                <w:p w14:paraId="41B84E96">
                  <w:pPr>
                    <w:pStyle w:val="72"/>
                    <w:adjustRightInd w:val="0"/>
                    <w:snapToGrid w:val="0"/>
                    <w:spacing w:before="0"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0.3017</w:t>
                  </w:r>
                </w:p>
              </w:tc>
              <w:tc>
                <w:tcPr>
                  <w:tcW w:w="443" w:type="pct"/>
                  <w:vAlign w:val="center"/>
                </w:tcPr>
                <w:p w14:paraId="1E7DDE7D">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0.0928</w:t>
                  </w:r>
                </w:p>
              </w:tc>
              <w:tc>
                <w:tcPr>
                  <w:tcW w:w="585" w:type="pct"/>
                  <w:shd w:val="clear" w:color="auto" w:fill="auto"/>
                  <w:vAlign w:val="center"/>
                </w:tcPr>
                <w:p w14:paraId="1DAAB872">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0.055</w:t>
                  </w:r>
                </w:p>
              </w:tc>
              <w:tc>
                <w:tcPr>
                  <w:tcW w:w="443" w:type="pct"/>
                  <w:shd w:val="clear" w:color="auto" w:fill="auto"/>
                  <w:vAlign w:val="center"/>
                </w:tcPr>
                <w:p w14:paraId="6A470D97">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0.0928</w:t>
                  </w:r>
                </w:p>
              </w:tc>
              <w:tc>
                <w:tcPr>
                  <w:tcW w:w="437" w:type="pct"/>
                  <w:vAlign w:val="center"/>
                </w:tcPr>
                <w:p w14:paraId="4427569C">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+0.0378</w:t>
                  </w:r>
                </w:p>
              </w:tc>
            </w:tr>
            <w:tr w14:paraId="2820E7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restart"/>
                  <w:vAlign w:val="center"/>
                </w:tcPr>
                <w:p w14:paraId="551B444C">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193" w:type="pct"/>
                  <w:vMerge w:val="restart"/>
                  <w:vAlign w:val="center"/>
                </w:tcPr>
                <w:p w14:paraId="0E15BACC">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w:t>
                  </w:r>
                </w:p>
              </w:tc>
              <w:tc>
                <w:tcPr>
                  <w:tcW w:w="441" w:type="pct"/>
                  <w:vAlign w:val="center"/>
                </w:tcPr>
                <w:p w14:paraId="72ABCD64">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废水量</w:t>
                  </w:r>
                </w:p>
              </w:tc>
              <w:tc>
                <w:tcPr>
                  <w:tcW w:w="658" w:type="pct"/>
                  <w:tcMar>
                    <w:left w:w="0" w:type="dxa"/>
                    <w:right w:w="0" w:type="dxa"/>
                  </w:tcMar>
                  <w:vAlign w:val="center"/>
                </w:tcPr>
                <w:p w14:paraId="6279A752">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360</w:t>
                  </w:r>
                </w:p>
              </w:tc>
              <w:tc>
                <w:tcPr>
                  <w:tcW w:w="815" w:type="pct"/>
                  <w:tcMar>
                    <w:left w:w="0" w:type="dxa"/>
                    <w:right w:w="0" w:type="dxa"/>
                  </w:tcMar>
                  <w:vAlign w:val="center"/>
                </w:tcPr>
                <w:p w14:paraId="0D7C06B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360</w:t>
                  </w:r>
                </w:p>
              </w:tc>
              <w:tc>
                <w:tcPr>
                  <w:tcW w:w="425" w:type="pct"/>
                  <w:tcMar>
                    <w:left w:w="0" w:type="dxa"/>
                    <w:right w:w="0" w:type="dxa"/>
                  </w:tcMar>
                  <w:vAlign w:val="center"/>
                </w:tcPr>
                <w:p w14:paraId="2E90DA0B">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360</w:t>
                  </w:r>
                </w:p>
              </w:tc>
              <w:tc>
                <w:tcPr>
                  <w:tcW w:w="443" w:type="pct"/>
                  <w:tcMar>
                    <w:left w:w="0" w:type="dxa"/>
                    <w:right w:w="0" w:type="dxa"/>
                  </w:tcMar>
                  <w:vAlign w:val="center"/>
                </w:tcPr>
                <w:p w14:paraId="4C12C5B2">
                  <w:pPr>
                    <w:pStyle w:val="8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w:t>
                  </w:r>
                </w:p>
              </w:tc>
              <w:tc>
                <w:tcPr>
                  <w:tcW w:w="443" w:type="pct"/>
                  <w:vAlign w:val="center"/>
                </w:tcPr>
                <w:p w14:paraId="073713E9">
                  <w:pPr>
                    <w:pStyle w:val="8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360</w:t>
                  </w:r>
                </w:p>
              </w:tc>
              <w:tc>
                <w:tcPr>
                  <w:tcW w:w="585" w:type="pct"/>
                  <w:vAlign w:val="center"/>
                </w:tcPr>
                <w:p w14:paraId="19BD580A">
                  <w:pPr>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lang w:val="en-US" w:eastAsia="zh-CN"/>
                    </w:rPr>
                    <w:t>360</w:t>
                  </w:r>
                </w:p>
              </w:tc>
              <w:tc>
                <w:tcPr>
                  <w:tcW w:w="443" w:type="pct"/>
                  <w:vAlign w:val="center"/>
                </w:tcPr>
                <w:p w14:paraId="0D7B6369">
                  <w:pPr>
                    <w:pStyle w:val="8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360</w:t>
                  </w:r>
                </w:p>
              </w:tc>
              <w:tc>
                <w:tcPr>
                  <w:tcW w:w="437" w:type="pct"/>
                  <w:vAlign w:val="center"/>
                </w:tcPr>
                <w:p w14:paraId="393B044E">
                  <w:pPr>
                    <w:pStyle w:val="8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w:t>
                  </w:r>
                </w:p>
              </w:tc>
            </w:tr>
            <w:tr w14:paraId="1B767F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7E18AC6C">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93" w:type="pct"/>
                  <w:vMerge w:val="continue"/>
                  <w:vAlign w:val="center"/>
                </w:tcPr>
                <w:p w14:paraId="116E1C6F">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41" w:type="pct"/>
                  <w:vAlign w:val="center"/>
                </w:tcPr>
                <w:p w14:paraId="48457DAE">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tc>
              <w:tc>
                <w:tcPr>
                  <w:tcW w:w="658" w:type="pct"/>
                  <w:shd w:val="clear" w:color="auto" w:fill="auto"/>
                  <w:tcMar>
                    <w:left w:w="0" w:type="dxa"/>
                    <w:right w:w="0" w:type="dxa"/>
                  </w:tcMar>
                  <w:vAlign w:val="center"/>
                </w:tcPr>
                <w:p w14:paraId="0C0ED515">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0.0025</w:t>
                  </w:r>
                </w:p>
              </w:tc>
              <w:tc>
                <w:tcPr>
                  <w:tcW w:w="815" w:type="pct"/>
                  <w:shd w:val="clear" w:color="auto" w:fill="auto"/>
                  <w:tcMar>
                    <w:left w:w="0" w:type="dxa"/>
                    <w:right w:w="0" w:type="dxa"/>
                  </w:tcMar>
                  <w:vAlign w:val="center"/>
                </w:tcPr>
                <w:p w14:paraId="34950BEE">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0.162/0.018</w:t>
                  </w:r>
                </w:p>
              </w:tc>
              <w:tc>
                <w:tcPr>
                  <w:tcW w:w="425" w:type="pct"/>
                  <w:shd w:val="clear" w:color="auto" w:fill="auto"/>
                  <w:tcMar>
                    <w:left w:w="0" w:type="dxa"/>
                    <w:right w:w="0" w:type="dxa"/>
                  </w:tcMar>
                  <w:vAlign w:val="center"/>
                </w:tcPr>
                <w:p w14:paraId="2B49EECC">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0.1800</w:t>
                  </w:r>
                </w:p>
              </w:tc>
              <w:tc>
                <w:tcPr>
                  <w:tcW w:w="443" w:type="pct"/>
                  <w:tcMar>
                    <w:left w:w="0" w:type="dxa"/>
                    <w:right w:w="0" w:type="dxa"/>
                  </w:tcMar>
                  <w:vAlign w:val="center"/>
                </w:tcPr>
                <w:p w14:paraId="6F82B173">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0.018</w:t>
                  </w:r>
                </w:p>
              </w:tc>
              <w:tc>
                <w:tcPr>
                  <w:tcW w:w="443" w:type="pct"/>
                  <w:shd w:val="clear" w:color="auto" w:fill="auto"/>
                  <w:vAlign w:val="center"/>
                </w:tcPr>
                <w:p w14:paraId="03DE7CC5">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0.1620/0.0180</w:t>
                  </w:r>
                </w:p>
              </w:tc>
              <w:tc>
                <w:tcPr>
                  <w:tcW w:w="585" w:type="pct"/>
                  <w:shd w:val="clear" w:color="auto" w:fill="auto"/>
                  <w:vAlign w:val="center"/>
                </w:tcPr>
                <w:p w14:paraId="60A3CDA2">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0.162/0.018</w:t>
                  </w:r>
                </w:p>
              </w:tc>
              <w:tc>
                <w:tcPr>
                  <w:tcW w:w="443" w:type="pct"/>
                  <w:shd w:val="clear" w:color="auto" w:fill="auto"/>
                  <w:vAlign w:val="center"/>
                </w:tcPr>
                <w:p w14:paraId="0E1EFCC6">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0.1620/0.0180</w:t>
                  </w:r>
                </w:p>
              </w:tc>
              <w:tc>
                <w:tcPr>
                  <w:tcW w:w="437" w:type="pct"/>
                  <w:vAlign w:val="center"/>
                </w:tcPr>
                <w:p w14:paraId="3E95FF78">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r>
            <w:tr w14:paraId="2BE8DE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6837216F">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93" w:type="pct"/>
                  <w:vMerge w:val="continue"/>
                  <w:vAlign w:val="center"/>
                </w:tcPr>
                <w:p w14:paraId="2C0AFF95">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41" w:type="pct"/>
                  <w:vAlign w:val="center"/>
                </w:tcPr>
                <w:p w14:paraId="3CFBC488">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SS</w:t>
                  </w:r>
                </w:p>
              </w:tc>
              <w:tc>
                <w:tcPr>
                  <w:tcW w:w="658" w:type="pct"/>
                  <w:shd w:val="clear" w:color="auto" w:fill="auto"/>
                  <w:tcMar>
                    <w:left w:w="0" w:type="dxa"/>
                    <w:right w:w="0" w:type="dxa"/>
                  </w:tcMar>
                  <w:vAlign w:val="center"/>
                </w:tcPr>
                <w:p w14:paraId="1C09F16B">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0.0007</w:t>
                  </w:r>
                </w:p>
              </w:tc>
              <w:tc>
                <w:tcPr>
                  <w:tcW w:w="815" w:type="pct"/>
                  <w:shd w:val="clear" w:color="auto" w:fill="auto"/>
                  <w:tcMar>
                    <w:left w:w="0" w:type="dxa"/>
                    <w:right w:w="0" w:type="dxa"/>
                  </w:tcMar>
                  <w:vAlign w:val="center"/>
                </w:tcPr>
                <w:p w14:paraId="5F12BAA7">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0.126/0.0036</w:t>
                  </w:r>
                </w:p>
              </w:tc>
              <w:tc>
                <w:tcPr>
                  <w:tcW w:w="425" w:type="pct"/>
                  <w:shd w:val="clear" w:color="auto" w:fill="auto"/>
                  <w:tcMar>
                    <w:left w:w="0" w:type="dxa"/>
                    <w:right w:w="0" w:type="dxa"/>
                  </w:tcMar>
                  <w:vAlign w:val="center"/>
                </w:tcPr>
                <w:p w14:paraId="27D612CB">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0.1440</w:t>
                  </w:r>
                </w:p>
              </w:tc>
              <w:tc>
                <w:tcPr>
                  <w:tcW w:w="443" w:type="pct"/>
                  <w:tcMar>
                    <w:left w:w="0" w:type="dxa"/>
                    <w:right w:w="0" w:type="dxa"/>
                  </w:tcMar>
                  <w:vAlign w:val="center"/>
                </w:tcPr>
                <w:p w14:paraId="7B460EC8">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0.018</w:t>
                  </w:r>
                </w:p>
              </w:tc>
              <w:tc>
                <w:tcPr>
                  <w:tcW w:w="443" w:type="pct"/>
                  <w:shd w:val="clear" w:color="auto" w:fill="auto"/>
                  <w:vAlign w:val="center"/>
                </w:tcPr>
                <w:p w14:paraId="49B209EA">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0.1260/0.0036</w:t>
                  </w:r>
                </w:p>
              </w:tc>
              <w:tc>
                <w:tcPr>
                  <w:tcW w:w="585" w:type="pct"/>
                  <w:shd w:val="clear" w:color="auto" w:fill="auto"/>
                  <w:vAlign w:val="center"/>
                </w:tcPr>
                <w:p w14:paraId="63EA81BE">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0.126/0.0036</w:t>
                  </w:r>
                </w:p>
              </w:tc>
              <w:tc>
                <w:tcPr>
                  <w:tcW w:w="443" w:type="pct"/>
                  <w:shd w:val="clear" w:color="auto" w:fill="auto"/>
                  <w:vAlign w:val="center"/>
                </w:tcPr>
                <w:p w14:paraId="1B9A36B3">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0.1260/0.0036</w:t>
                  </w:r>
                </w:p>
              </w:tc>
              <w:tc>
                <w:tcPr>
                  <w:tcW w:w="437" w:type="pct"/>
                  <w:vAlign w:val="center"/>
                </w:tcPr>
                <w:p w14:paraId="2601BE28">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r>
            <w:tr w14:paraId="4A7DF9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361EF21E">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93" w:type="pct"/>
                  <w:vMerge w:val="continue"/>
                  <w:vAlign w:val="center"/>
                </w:tcPr>
                <w:p w14:paraId="1FA1F472">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41" w:type="pct"/>
                  <w:vAlign w:val="center"/>
                </w:tcPr>
                <w:p w14:paraId="232B74AF">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658" w:type="pct"/>
                  <w:shd w:val="clear" w:color="auto" w:fill="auto"/>
                  <w:tcMar>
                    <w:left w:w="0" w:type="dxa"/>
                    <w:right w:w="0" w:type="dxa"/>
                  </w:tcMar>
                  <w:vAlign w:val="center"/>
                </w:tcPr>
                <w:p w14:paraId="7BE0DE20">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0.0001</w:t>
                  </w:r>
                </w:p>
              </w:tc>
              <w:tc>
                <w:tcPr>
                  <w:tcW w:w="815" w:type="pct"/>
                  <w:shd w:val="clear" w:color="auto" w:fill="auto"/>
                  <w:tcMar>
                    <w:left w:w="0" w:type="dxa"/>
                    <w:right w:w="0" w:type="dxa"/>
                  </w:tcMar>
                  <w:vAlign w:val="center"/>
                </w:tcPr>
                <w:p w14:paraId="4430E319">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0.0162/0.0014</w:t>
                  </w:r>
                </w:p>
              </w:tc>
              <w:tc>
                <w:tcPr>
                  <w:tcW w:w="425" w:type="pct"/>
                  <w:shd w:val="clear" w:color="auto" w:fill="auto"/>
                  <w:tcMar>
                    <w:left w:w="0" w:type="dxa"/>
                    <w:right w:w="0" w:type="dxa"/>
                  </w:tcMar>
                  <w:vAlign w:val="center"/>
                </w:tcPr>
                <w:p w14:paraId="6F8A78CB">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0.0162</w:t>
                  </w:r>
                </w:p>
              </w:tc>
              <w:tc>
                <w:tcPr>
                  <w:tcW w:w="443" w:type="pct"/>
                  <w:tcMar>
                    <w:left w:w="0" w:type="dxa"/>
                    <w:right w:w="0" w:type="dxa"/>
                  </w:tcMar>
                  <w:vAlign w:val="center"/>
                </w:tcPr>
                <w:p w14:paraId="3A051124">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43" w:type="pct"/>
                  <w:shd w:val="clear" w:color="auto" w:fill="auto"/>
                  <w:vAlign w:val="center"/>
                </w:tcPr>
                <w:p w14:paraId="6F6F6F36">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0.0162/0.0014</w:t>
                  </w:r>
                </w:p>
              </w:tc>
              <w:tc>
                <w:tcPr>
                  <w:tcW w:w="585" w:type="pct"/>
                  <w:shd w:val="clear" w:color="auto" w:fill="auto"/>
                  <w:vAlign w:val="center"/>
                </w:tcPr>
                <w:p w14:paraId="3E341353">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0.0162/0.0014</w:t>
                  </w:r>
                </w:p>
              </w:tc>
              <w:tc>
                <w:tcPr>
                  <w:tcW w:w="443" w:type="pct"/>
                  <w:shd w:val="clear" w:color="auto" w:fill="auto"/>
                  <w:vAlign w:val="center"/>
                </w:tcPr>
                <w:p w14:paraId="2823C6DD">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0.0162/0.0014</w:t>
                  </w:r>
                </w:p>
              </w:tc>
              <w:tc>
                <w:tcPr>
                  <w:tcW w:w="437" w:type="pct"/>
                  <w:vAlign w:val="center"/>
                </w:tcPr>
                <w:p w14:paraId="741E53B3">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r>
            <w:tr w14:paraId="532544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0DBC65D0">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93" w:type="pct"/>
                  <w:vMerge w:val="continue"/>
                  <w:vAlign w:val="center"/>
                </w:tcPr>
                <w:p w14:paraId="5DCD3CFD">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41" w:type="pct"/>
                  <w:vAlign w:val="center"/>
                </w:tcPr>
                <w:p w14:paraId="25A9A99A">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TP</w:t>
                  </w:r>
                </w:p>
              </w:tc>
              <w:tc>
                <w:tcPr>
                  <w:tcW w:w="658" w:type="pct"/>
                  <w:shd w:val="clear" w:color="auto" w:fill="auto"/>
                  <w:tcMar>
                    <w:left w:w="0" w:type="dxa"/>
                    <w:right w:w="0" w:type="dxa"/>
                  </w:tcMar>
                  <w:vAlign w:val="center"/>
                </w:tcPr>
                <w:p w14:paraId="068FCD63">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0.00002</w:t>
                  </w:r>
                </w:p>
              </w:tc>
              <w:tc>
                <w:tcPr>
                  <w:tcW w:w="815" w:type="pct"/>
                  <w:shd w:val="clear" w:color="auto" w:fill="auto"/>
                  <w:tcMar>
                    <w:left w:w="0" w:type="dxa"/>
                    <w:right w:w="0" w:type="dxa"/>
                  </w:tcMar>
                  <w:vAlign w:val="center"/>
                </w:tcPr>
                <w:p w14:paraId="5A7613DD">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0.00288/0.0002</w:t>
                  </w:r>
                </w:p>
              </w:tc>
              <w:tc>
                <w:tcPr>
                  <w:tcW w:w="425" w:type="pct"/>
                  <w:shd w:val="clear" w:color="auto" w:fill="auto"/>
                  <w:tcMar>
                    <w:left w:w="0" w:type="dxa"/>
                    <w:right w:w="0" w:type="dxa"/>
                  </w:tcMar>
                  <w:vAlign w:val="center"/>
                </w:tcPr>
                <w:p w14:paraId="30988A97">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0.0029</w:t>
                  </w:r>
                </w:p>
              </w:tc>
              <w:tc>
                <w:tcPr>
                  <w:tcW w:w="443" w:type="pct"/>
                  <w:tcMar>
                    <w:left w:w="0" w:type="dxa"/>
                    <w:right w:w="0" w:type="dxa"/>
                  </w:tcMar>
                  <w:vAlign w:val="center"/>
                </w:tcPr>
                <w:p w14:paraId="77E32074">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43" w:type="pct"/>
                  <w:shd w:val="clear" w:color="auto" w:fill="auto"/>
                  <w:vAlign w:val="center"/>
                </w:tcPr>
                <w:p w14:paraId="5F60E87E">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0.0029/0.0002</w:t>
                  </w:r>
                </w:p>
              </w:tc>
              <w:tc>
                <w:tcPr>
                  <w:tcW w:w="585" w:type="pct"/>
                  <w:shd w:val="clear" w:color="auto" w:fill="auto"/>
                  <w:vAlign w:val="center"/>
                </w:tcPr>
                <w:p w14:paraId="69C29281">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0.00288/0.0002</w:t>
                  </w:r>
                </w:p>
              </w:tc>
              <w:tc>
                <w:tcPr>
                  <w:tcW w:w="443" w:type="pct"/>
                  <w:shd w:val="clear" w:color="auto" w:fill="auto"/>
                  <w:vAlign w:val="center"/>
                </w:tcPr>
                <w:p w14:paraId="3283676E">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0.0029/0.0002</w:t>
                  </w:r>
                </w:p>
              </w:tc>
              <w:tc>
                <w:tcPr>
                  <w:tcW w:w="437" w:type="pct"/>
                  <w:vAlign w:val="center"/>
                </w:tcPr>
                <w:p w14:paraId="554F02A5">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r>
            <w:tr w14:paraId="389AC6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5B90AD82">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93" w:type="pct"/>
                  <w:vMerge w:val="continue"/>
                  <w:vAlign w:val="center"/>
                </w:tcPr>
                <w:p w14:paraId="57C1535D">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41" w:type="pct"/>
                  <w:vAlign w:val="center"/>
                </w:tcPr>
                <w:p w14:paraId="2EA7FC77">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TN</w:t>
                  </w:r>
                </w:p>
              </w:tc>
              <w:tc>
                <w:tcPr>
                  <w:tcW w:w="658" w:type="pct"/>
                  <w:shd w:val="clear" w:color="auto" w:fill="auto"/>
                  <w:tcMar>
                    <w:left w:w="0" w:type="dxa"/>
                    <w:right w:w="0" w:type="dxa"/>
                  </w:tcMar>
                  <w:vAlign w:val="center"/>
                </w:tcPr>
                <w:p w14:paraId="0FA91710">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0.0004</w:t>
                  </w:r>
                </w:p>
              </w:tc>
              <w:tc>
                <w:tcPr>
                  <w:tcW w:w="815" w:type="pct"/>
                  <w:shd w:val="clear" w:color="auto" w:fill="auto"/>
                  <w:tcMar>
                    <w:left w:w="0" w:type="dxa"/>
                    <w:right w:w="0" w:type="dxa"/>
                  </w:tcMar>
                  <w:vAlign w:val="center"/>
                </w:tcPr>
                <w:p w14:paraId="4DE3D651">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0.0252/0.0043</w:t>
                  </w:r>
                </w:p>
              </w:tc>
              <w:tc>
                <w:tcPr>
                  <w:tcW w:w="425" w:type="pct"/>
                  <w:shd w:val="clear" w:color="auto" w:fill="auto"/>
                  <w:tcMar>
                    <w:left w:w="0" w:type="dxa"/>
                    <w:right w:w="0" w:type="dxa"/>
                  </w:tcMar>
                  <w:vAlign w:val="center"/>
                </w:tcPr>
                <w:p w14:paraId="2E27E06E">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0.0252</w:t>
                  </w:r>
                </w:p>
              </w:tc>
              <w:tc>
                <w:tcPr>
                  <w:tcW w:w="443" w:type="pct"/>
                  <w:tcMar>
                    <w:left w:w="0" w:type="dxa"/>
                    <w:right w:w="0" w:type="dxa"/>
                  </w:tcMar>
                  <w:vAlign w:val="center"/>
                </w:tcPr>
                <w:p w14:paraId="506B6ED6">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443" w:type="pct"/>
                  <w:shd w:val="clear" w:color="auto" w:fill="auto"/>
                  <w:vAlign w:val="center"/>
                </w:tcPr>
                <w:p w14:paraId="4487ED7F">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0.0252/0.0043</w:t>
                  </w:r>
                </w:p>
              </w:tc>
              <w:tc>
                <w:tcPr>
                  <w:tcW w:w="585" w:type="pct"/>
                  <w:shd w:val="clear" w:color="auto" w:fill="auto"/>
                  <w:vAlign w:val="center"/>
                </w:tcPr>
                <w:p w14:paraId="528E5CB2">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0.0252/0.0043</w:t>
                  </w:r>
                </w:p>
              </w:tc>
              <w:tc>
                <w:tcPr>
                  <w:tcW w:w="443" w:type="pct"/>
                  <w:shd w:val="clear" w:color="auto" w:fill="auto"/>
                  <w:vAlign w:val="center"/>
                </w:tcPr>
                <w:p w14:paraId="2AF6707B">
                  <w:pPr>
                    <w:pStyle w:val="8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0.0252/0.0043</w:t>
                  </w:r>
                </w:p>
              </w:tc>
              <w:tc>
                <w:tcPr>
                  <w:tcW w:w="437" w:type="pct"/>
                  <w:vAlign w:val="center"/>
                </w:tcPr>
                <w:p w14:paraId="520C3003">
                  <w:pPr>
                    <w:pStyle w:val="72"/>
                    <w:adjustRightInd w:val="0"/>
                    <w:snapToGrid w:val="0"/>
                    <w:spacing w:before="0"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r>
            <w:tr w14:paraId="41E095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restart"/>
                  <w:vAlign w:val="center"/>
                </w:tcPr>
                <w:p w14:paraId="351FE2F9">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634" w:type="pct"/>
                  <w:gridSpan w:val="2"/>
                  <w:vAlign w:val="center"/>
                </w:tcPr>
                <w:p w14:paraId="23532E92">
                  <w:pPr>
                    <w:pStyle w:val="80"/>
                    <w:adjustRightInd w:val="0"/>
                    <w:snapToGrid w:val="0"/>
                    <w:spacing w:line="240" w:lineRule="auto"/>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一般工业固废</w:t>
                  </w:r>
                </w:p>
              </w:tc>
              <w:tc>
                <w:tcPr>
                  <w:tcW w:w="658" w:type="pct"/>
                  <w:tcMar>
                    <w:left w:w="0" w:type="dxa"/>
                    <w:right w:w="0" w:type="dxa"/>
                  </w:tcMar>
                  <w:vAlign w:val="center"/>
                </w:tcPr>
                <w:p w14:paraId="63C3DFE3">
                  <w:pPr>
                    <w:pStyle w:val="80"/>
                    <w:adjustRightInd w:val="0"/>
                    <w:snapToGrid w:val="0"/>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815" w:type="pct"/>
                  <w:tcMar>
                    <w:left w:w="0" w:type="dxa"/>
                    <w:right w:w="0" w:type="dxa"/>
                  </w:tcMar>
                  <w:vAlign w:val="center"/>
                </w:tcPr>
                <w:p w14:paraId="46E9B2F0">
                  <w:pPr>
                    <w:pStyle w:val="80"/>
                    <w:adjustRightInd w:val="0"/>
                    <w:snapToGrid w:val="0"/>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425" w:type="pct"/>
                  <w:shd w:val="clear" w:color="auto" w:fill="auto"/>
                  <w:tcMar>
                    <w:left w:w="0" w:type="dxa"/>
                    <w:right w:w="0" w:type="dxa"/>
                  </w:tcMar>
                  <w:vAlign w:val="center"/>
                </w:tcPr>
                <w:p w14:paraId="3DFED2DC">
                  <w:pPr>
                    <w:pStyle w:val="8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60.8364</w:t>
                  </w:r>
                </w:p>
              </w:tc>
              <w:tc>
                <w:tcPr>
                  <w:tcW w:w="728" w:type="dxa"/>
                  <w:shd w:val="clear" w:color="auto" w:fill="auto"/>
                  <w:tcMar>
                    <w:left w:w="0" w:type="dxa"/>
                    <w:right w:w="0" w:type="dxa"/>
                  </w:tcMar>
                  <w:vAlign w:val="center"/>
                </w:tcPr>
                <w:p w14:paraId="325A1649">
                  <w:pPr>
                    <w:pStyle w:val="8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60.8364</w:t>
                  </w:r>
                </w:p>
              </w:tc>
              <w:tc>
                <w:tcPr>
                  <w:tcW w:w="443" w:type="pct"/>
                  <w:vAlign w:val="center"/>
                </w:tcPr>
                <w:p w14:paraId="4515ABBC">
                  <w:pPr>
                    <w:pStyle w:val="8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585" w:type="pct"/>
                  <w:vAlign w:val="center"/>
                </w:tcPr>
                <w:p w14:paraId="0F786BE8">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443" w:type="pct"/>
                  <w:vAlign w:val="center"/>
                </w:tcPr>
                <w:p w14:paraId="646CC6DF">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w:t>
                  </w:r>
                </w:p>
              </w:tc>
              <w:tc>
                <w:tcPr>
                  <w:tcW w:w="437" w:type="pct"/>
                  <w:vAlign w:val="center"/>
                </w:tcPr>
                <w:p w14:paraId="403B66B9">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w:t>
                  </w:r>
                </w:p>
              </w:tc>
            </w:tr>
            <w:tr w14:paraId="56FBAC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5FDFEE6E">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634" w:type="pct"/>
                  <w:gridSpan w:val="2"/>
                  <w:vAlign w:val="center"/>
                </w:tcPr>
                <w:p w14:paraId="2CCACFB3">
                  <w:pPr>
                    <w:pStyle w:val="80"/>
                    <w:adjustRightInd w:val="0"/>
                    <w:snapToGrid w:val="0"/>
                    <w:spacing w:line="240" w:lineRule="auto"/>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危险固废</w:t>
                  </w:r>
                </w:p>
              </w:tc>
              <w:tc>
                <w:tcPr>
                  <w:tcW w:w="658" w:type="pct"/>
                  <w:tcMar>
                    <w:left w:w="0" w:type="dxa"/>
                    <w:right w:w="0" w:type="dxa"/>
                  </w:tcMar>
                  <w:vAlign w:val="center"/>
                </w:tcPr>
                <w:p w14:paraId="79ECC353">
                  <w:pPr>
                    <w:pStyle w:val="80"/>
                    <w:adjustRightInd w:val="0"/>
                    <w:snapToGrid w:val="0"/>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815" w:type="pct"/>
                  <w:tcMar>
                    <w:left w:w="0" w:type="dxa"/>
                    <w:right w:w="0" w:type="dxa"/>
                  </w:tcMar>
                  <w:vAlign w:val="center"/>
                </w:tcPr>
                <w:p w14:paraId="3CF89DC7">
                  <w:pPr>
                    <w:pStyle w:val="80"/>
                    <w:adjustRightInd w:val="0"/>
                    <w:snapToGrid w:val="0"/>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425" w:type="pct"/>
                  <w:shd w:val="clear" w:color="auto" w:fill="auto"/>
                  <w:tcMar>
                    <w:left w:w="0" w:type="dxa"/>
                    <w:right w:w="0" w:type="dxa"/>
                  </w:tcMar>
                  <w:vAlign w:val="center"/>
                </w:tcPr>
                <w:p w14:paraId="79EEEC75">
                  <w:pPr>
                    <w:pStyle w:val="8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12.4097</w:t>
                  </w:r>
                </w:p>
              </w:tc>
              <w:tc>
                <w:tcPr>
                  <w:tcW w:w="728" w:type="dxa"/>
                  <w:shd w:val="clear" w:color="auto" w:fill="auto"/>
                  <w:tcMar>
                    <w:left w:w="0" w:type="dxa"/>
                    <w:right w:w="0" w:type="dxa"/>
                  </w:tcMar>
                  <w:vAlign w:val="center"/>
                </w:tcPr>
                <w:p w14:paraId="66D2A939">
                  <w:pPr>
                    <w:pStyle w:val="8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12.4097</w:t>
                  </w:r>
                </w:p>
              </w:tc>
              <w:tc>
                <w:tcPr>
                  <w:tcW w:w="443" w:type="pct"/>
                  <w:vAlign w:val="center"/>
                </w:tcPr>
                <w:p w14:paraId="3AB2CB1F">
                  <w:pPr>
                    <w:pStyle w:val="8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585" w:type="pct"/>
                  <w:vAlign w:val="center"/>
                </w:tcPr>
                <w:p w14:paraId="6DF4358B">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443" w:type="pct"/>
                  <w:vAlign w:val="center"/>
                </w:tcPr>
                <w:p w14:paraId="123BD781">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w:t>
                  </w:r>
                </w:p>
              </w:tc>
              <w:tc>
                <w:tcPr>
                  <w:tcW w:w="437" w:type="pct"/>
                  <w:vAlign w:val="center"/>
                </w:tcPr>
                <w:p w14:paraId="1E19987D">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w:t>
                  </w:r>
                </w:p>
              </w:tc>
            </w:tr>
            <w:tr w14:paraId="58B09C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2" w:type="pct"/>
                  <w:vMerge w:val="continue"/>
                  <w:vAlign w:val="center"/>
                </w:tcPr>
                <w:p w14:paraId="1012DA92">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634" w:type="pct"/>
                  <w:gridSpan w:val="2"/>
                  <w:vAlign w:val="center"/>
                </w:tcPr>
                <w:p w14:paraId="3E57C804">
                  <w:pPr>
                    <w:pStyle w:val="80"/>
                    <w:adjustRightInd w:val="0"/>
                    <w:snapToGrid w:val="0"/>
                    <w:spacing w:line="240" w:lineRule="auto"/>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生活垃圾</w:t>
                  </w:r>
                </w:p>
              </w:tc>
              <w:tc>
                <w:tcPr>
                  <w:tcW w:w="658" w:type="pct"/>
                  <w:tcMar>
                    <w:left w:w="0" w:type="dxa"/>
                    <w:right w:w="0" w:type="dxa"/>
                  </w:tcMar>
                  <w:vAlign w:val="center"/>
                </w:tcPr>
                <w:p w14:paraId="1A6892F7">
                  <w:pPr>
                    <w:pStyle w:val="80"/>
                    <w:adjustRightInd w:val="0"/>
                    <w:snapToGrid w:val="0"/>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815" w:type="pct"/>
                  <w:tcMar>
                    <w:left w:w="0" w:type="dxa"/>
                    <w:right w:w="0" w:type="dxa"/>
                  </w:tcMar>
                  <w:vAlign w:val="center"/>
                </w:tcPr>
                <w:p w14:paraId="376CDF12">
                  <w:pPr>
                    <w:pStyle w:val="80"/>
                    <w:adjustRightInd w:val="0"/>
                    <w:snapToGrid w:val="0"/>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425" w:type="pct"/>
                  <w:tcMar>
                    <w:left w:w="0" w:type="dxa"/>
                    <w:right w:w="0" w:type="dxa"/>
                  </w:tcMar>
                  <w:vAlign w:val="center"/>
                </w:tcPr>
                <w:p w14:paraId="635ECF46">
                  <w:pPr>
                    <w:pStyle w:val="80"/>
                    <w:adjustRightInd w:val="0"/>
                    <w:snapToGrid w:val="0"/>
                    <w:spacing w:line="240" w:lineRule="auto"/>
                    <w:ind w:firstLine="0" w:firstLineChars="0"/>
                    <w:jc w:val="center"/>
                    <w:rPr>
                      <w:rFonts w:hint="default" w:cs="Times New Roman"/>
                      <w:color w:val="auto"/>
                      <w:sz w:val="21"/>
                      <w:szCs w:val="21"/>
                      <w:lang w:val="en-US" w:eastAsia="zh-CN"/>
                    </w:rPr>
                  </w:pPr>
                  <w:r>
                    <w:rPr>
                      <w:rFonts w:hint="default" w:cs="Times New Roman"/>
                      <w:color w:val="auto"/>
                      <w:sz w:val="21"/>
                      <w:szCs w:val="21"/>
                      <w:lang w:val="en-US" w:eastAsia="zh-CN"/>
                    </w:rPr>
                    <w:t>6.12</w:t>
                  </w:r>
                </w:p>
              </w:tc>
              <w:tc>
                <w:tcPr>
                  <w:tcW w:w="728" w:type="dxa"/>
                  <w:shd w:val="clear" w:color="auto" w:fill="auto"/>
                  <w:tcMar>
                    <w:left w:w="0" w:type="dxa"/>
                    <w:right w:w="0" w:type="dxa"/>
                  </w:tcMar>
                  <w:vAlign w:val="center"/>
                </w:tcPr>
                <w:p w14:paraId="31BD803C">
                  <w:pPr>
                    <w:pStyle w:val="80"/>
                    <w:adjustRightInd w:val="0"/>
                    <w:snapToGrid w:val="0"/>
                    <w:spacing w:line="240" w:lineRule="auto"/>
                    <w:ind w:firstLine="0" w:firstLineChars="0"/>
                    <w:jc w:val="center"/>
                    <w:rPr>
                      <w:rFonts w:hint="default" w:cs="Times New Roman"/>
                      <w:color w:val="auto"/>
                      <w:sz w:val="21"/>
                      <w:szCs w:val="21"/>
                      <w:lang w:val="en-US" w:eastAsia="zh-CN"/>
                    </w:rPr>
                  </w:pPr>
                  <w:r>
                    <w:rPr>
                      <w:rFonts w:hint="default" w:cs="Times New Roman"/>
                      <w:color w:val="auto"/>
                      <w:sz w:val="21"/>
                      <w:szCs w:val="21"/>
                      <w:lang w:val="en-US" w:eastAsia="zh-CN"/>
                    </w:rPr>
                    <w:t>6.12</w:t>
                  </w:r>
                </w:p>
              </w:tc>
              <w:tc>
                <w:tcPr>
                  <w:tcW w:w="443" w:type="pct"/>
                  <w:vAlign w:val="center"/>
                </w:tcPr>
                <w:p w14:paraId="4DED4FD8">
                  <w:pPr>
                    <w:pStyle w:val="8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585" w:type="pct"/>
                  <w:vAlign w:val="center"/>
                </w:tcPr>
                <w:p w14:paraId="1717E918">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443" w:type="pct"/>
                  <w:vAlign w:val="center"/>
                </w:tcPr>
                <w:p w14:paraId="03E3AE3B">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w:t>
                  </w:r>
                </w:p>
              </w:tc>
              <w:tc>
                <w:tcPr>
                  <w:tcW w:w="437" w:type="pct"/>
                  <w:vAlign w:val="center"/>
                </w:tcPr>
                <w:p w14:paraId="19E3F166">
                  <w:pPr>
                    <w:pStyle w:val="8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w:t>
                  </w:r>
                </w:p>
              </w:tc>
            </w:tr>
            <w:bookmarkEnd w:id="4"/>
          </w:tbl>
          <w:p w14:paraId="2E5E2027">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由</w:t>
            </w:r>
            <w:r>
              <w:rPr>
                <w:rFonts w:ascii="Times New Roman" w:hAnsi="Times New Roman" w:eastAsia="宋体" w:cs="Times New Roman"/>
                <w:color w:val="000000" w:themeColor="text1"/>
                <w:szCs w:val="21"/>
                <w14:textFill>
                  <w14:solidFill>
                    <w14:schemeClr w14:val="tx1"/>
                  </w14:solidFill>
                </w14:textFill>
              </w:rPr>
              <w:t>上表可见，本项目</w:t>
            </w:r>
            <w:r>
              <w:rPr>
                <w:rFonts w:hint="eastAsia" w:ascii="Times New Roman" w:hAnsi="Times New Roman" w:eastAsia="宋体" w:cs="Times New Roman"/>
                <w:color w:val="000000" w:themeColor="text1"/>
                <w:szCs w:val="21"/>
                <w:lang w:val="en-US" w:eastAsia="zh-CN"/>
                <w14:textFill>
                  <w14:solidFill>
                    <w14:schemeClr w14:val="tx1"/>
                  </w14:solidFill>
                </w14:textFill>
              </w:rPr>
              <w:t>搬迁</w:t>
            </w:r>
            <w:r>
              <w:rPr>
                <w:rFonts w:ascii="Times New Roman" w:hAnsi="Times New Roman" w:eastAsia="宋体" w:cs="Times New Roman"/>
                <w:color w:val="000000" w:themeColor="text1"/>
                <w:szCs w:val="21"/>
                <w14:textFill>
                  <w14:solidFill>
                    <w14:schemeClr w14:val="tx1"/>
                  </w14:solidFill>
                </w14:textFill>
              </w:rPr>
              <w:t>后废气污染物排放量为非甲烷总烃</w:t>
            </w:r>
            <w:r>
              <w:rPr>
                <w:rFonts w:hint="eastAsia" w:ascii="Times New Roman" w:hAnsi="Times New Roman" w:eastAsia="宋体" w:cs="Times New Roman"/>
                <w:color w:val="000000" w:themeColor="text1"/>
                <w:szCs w:val="21"/>
                <w:lang w:val="en-US" w:eastAsia="zh-CN"/>
                <w14:textFill>
                  <w14:solidFill>
                    <w14:schemeClr w14:val="tx1"/>
                  </w14:solidFill>
                </w14:textFill>
              </w:rPr>
              <w:t>0.0928</w:t>
            </w:r>
            <w:r>
              <w:rPr>
                <w:rFonts w:ascii="Times New Roman" w:hAnsi="Times New Roman" w:eastAsia="宋体" w:cs="Times New Roman"/>
                <w:color w:val="000000" w:themeColor="text1"/>
                <w:szCs w:val="21"/>
                <w14:textFill>
                  <w14:solidFill>
                    <w14:schemeClr w14:val="tx1"/>
                  </w14:solidFill>
                </w14:textFill>
              </w:rPr>
              <w:t>t/a</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其中有组织0.0533t/a，无组织</w:t>
            </w:r>
            <w:r>
              <w:rPr>
                <w:rFonts w:hint="default" w:ascii="Times New Roman" w:hAnsi="Times New Roman" w:eastAsia="宋体" w:cs="Times New Roman"/>
                <w:color w:val="000000" w:themeColor="text1"/>
                <w:szCs w:val="21"/>
                <w:lang w:val="en-US" w:eastAsia="zh-CN"/>
                <w14:textFill>
                  <w14:solidFill>
                    <w14:schemeClr w14:val="tx1"/>
                  </w14:solidFill>
                </w14:textFill>
              </w:rPr>
              <w:t>0.0395</w:t>
            </w:r>
            <w:r>
              <w:rPr>
                <w:rFonts w:hint="eastAsia" w:ascii="Times New Roman" w:hAnsi="Times New Roman" w:eastAsia="宋体" w:cs="Times New Roman"/>
                <w:color w:val="000000" w:themeColor="text1"/>
                <w:szCs w:val="21"/>
                <w:lang w:val="en-US" w:eastAsia="zh-CN"/>
                <w14:textFill>
                  <w14:solidFill>
                    <w14:schemeClr w14:val="tx1"/>
                  </w14:solidFill>
                </w14:textFill>
              </w:rPr>
              <w:t>t/a</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；颗粒物</w:t>
            </w:r>
            <w:r>
              <w:rPr>
                <w:rFonts w:hint="default" w:ascii="Times New Roman" w:hAnsi="Times New Roman" w:eastAsia="宋体" w:cs="Times New Roman"/>
                <w:color w:val="000000" w:themeColor="text1"/>
                <w:szCs w:val="21"/>
                <w:lang w:val="en-US" w:eastAsia="zh-CN"/>
                <w14:textFill>
                  <w14:solidFill>
                    <w14:schemeClr w14:val="tx1"/>
                  </w14:solidFill>
                </w14:textFill>
              </w:rPr>
              <w:t>0.0025</w:t>
            </w:r>
            <w:r>
              <w:rPr>
                <w:rFonts w:hint="eastAsia" w:ascii="Times New Roman" w:hAnsi="Times New Roman" w:eastAsia="宋体" w:cs="Times New Roman"/>
                <w:color w:val="000000" w:themeColor="text1"/>
                <w:szCs w:val="21"/>
                <w:lang w:val="en-US" w:eastAsia="zh-CN"/>
                <w14:textFill>
                  <w14:solidFill>
                    <w14:schemeClr w14:val="tx1"/>
                  </w14:solidFill>
                </w14:textFill>
              </w:rPr>
              <w:t>t/a</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无组织</w:t>
            </w:r>
            <w:r>
              <w:rPr>
                <w:rFonts w:hint="default" w:ascii="Times New Roman" w:hAnsi="Times New Roman" w:eastAsia="宋体" w:cs="Times New Roman"/>
                <w:color w:val="000000" w:themeColor="text1"/>
                <w:szCs w:val="21"/>
                <w:lang w:val="en-US" w:eastAsia="zh-CN"/>
                <w14:textFill>
                  <w14:solidFill>
                    <w14:schemeClr w14:val="tx1"/>
                  </w14:solidFill>
                </w14:textFill>
              </w:rPr>
              <w:t>0.0025</w:t>
            </w:r>
            <w:r>
              <w:rPr>
                <w:rFonts w:hint="eastAsia" w:ascii="Times New Roman" w:hAnsi="Times New Roman" w:eastAsia="宋体" w:cs="Times New Roman"/>
                <w:color w:val="000000" w:themeColor="text1"/>
                <w:szCs w:val="21"/>
                <w:lang w:val="en-US" w:eastAsia="zh-CN"/>
                <w14:textFill>
                  <w14:solidFill>
                    <w14:schemeClr w14:val="tx1"/>
                  </w14:solidFill>
                </w14:textFill>
              </w:rPr>
              <w:t>t/a</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非甲烷总烃</w:t>
            </w:r>
            <w:r>
              <w:rPr>
                <w:rFonts w:hint="eastAsia" w:ascii="Times New Roman" w:hAnsi="Times New Roman" w:eastAsia="宋体" w:cs="Times New Roman"/>
                <w:color w:val="000000" w:themeColor="text1"/>
                <w:szCs w:val="21"/>
                <w:lang w:val="en-US" w:eastAsia="zh-CN"/>
                <w14:textFill>
                  <w14:solidFill>
                    <w14:schemeClr w14:val="tx1"/>
                  </w14:solidFill>
                </w14:textFill>
              </w:rPr>
              <w:t>新增0.0378t/a、颗粒物新增0.0025t/a，根据总量控制原则，新增总量在江阴月城镇内平衡。</w:t>
            </w:r>
          </w:p>
          <w:p w14:paraId="74FC73CC">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搬迁后全厂生活污水接管量360t/a，COD、SS、氨氮、总磷和总氮接管量分别为0.1620t/a、0.1260t/a、0.0162t/a、</w:t>
            </w:r>
            <w:r>
              <w:rPr>
                <w:rFonts w:hint="default" w:ascii="Times New Roman" w:hAnsi="Times New Roman" w:eastAsia="宋体" w:cs="Times New Roman"/>
                <w:color w:val="auto"/>
                <w:sz w:val="21"/>
                <w:szCs w:val="21"/>
                <w:lang w:val="en-US" w:eastAsia="zh-CN"/>
              </w:rPr>
              <w:t>0.0029</w:t>
            </w:r>
            <w:r>
              <w:rPr>
                <w:rFonts w:hint="eastAsia" w:ascii="Times New Roman" w:hAnsi="Times New Roman" w:eastAsia="宋体" w:cs="Times New Roman"/>
                <w:color w:val="000000" w:themeColor="text1"/>
                <w:szCs w:val="21"/>
                <w:lang w:val="en-US" w:eastAsia="zh-CN"/>
                <w14:textFill>
                  <w14:solidFill>
                    <w14:schemeClr w14:val="tx1"/>
                  </w14:solidFill>
                </w14:textFill>
              </w:rPr>
              <w:t>t/a和0.0252t/a，总量控制因子为COD、氨氮、总磷和总氮排放总量分别为0.0180t/a、0.0014t/a、0.0002t/a、0.0043t/a。搬迁前后不新增排放量。</w:t>
            </w:r>
          </w:p>
          <w:p w14:paraId="29E02E91">
            <w:pPr>
              <w:spacing w:line="360" w:lineRule="auto"/>
              <w:ind w:firstLine="420" w:firstLineChars="200"/>
            </w:pPr>
            <w:r>
              <w:rPr>
                <w:rFonts w:hint="eastAsia" w:ascii="Times New Roman" w:hAnsi="Times New Roman" w:eastAsia="宋体" w:cs="Times New Roman"/>
                <w:color w:val="000000" w:themeColor="text1"/>
                <w:szCs w:val="21"/>
                <w:lang w:val="en-US" w:eastAsia="zh-CN"/>
                <w14:textFill>
                  <w14:solidFill>
                    <w14:schemeClr w14:val="tx1"/>
                  </w14:solidFill>
                </w14:textFill>
              </w:rPr>
              <w:t>固体废物全部实现综合利用或处置，排放总量为零，符合总量控制要求。</w:t>
            </w:r>
          </w:p>
        </w:tc>
      </w:tr>
    </w:tbl>
    <w:p w14:paraId="6171CC9D">
      <w:pPr>
        <w:spacing w:line="360" w:lineRule="auto"/>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四、主要环境影响和保护措施</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8264"/>
      </w:tblGrid>
      <w:tr w14:paraId="4411A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tcBorders>
            <w:tcMar>
              <w:left w:w="28" w:type="dxa"/>
              <w:right w:w="28" w:type="dxa"/>
            </w:tcMar>
            <w:vAlign w:val="center"/>
          </w:tcPr>
          <w:p w14:paraId="65C39094">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施工</w:t>
            </w:r>
          </w:p>
          <w:p w14:paraId="1A8E6D09">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期环</w:t>
            </w:r>
          </w:p>
          <w:p w14:paraId="64F9C1FE">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境保</w:t>
            </w:r>
          </w:p>
          <w:p w14:paraId="5C94114D">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护措</w:t>
            </w:r>
          </w:p>
          <w:p w14:paraId="3768A39F">
            <w:pPr>
              <w:adjustRightInd w:val="0"/>
              <w:snapToGrid w:val="0"/>
              <w:jc w:val="center"/>
              <w:rPr>
                <w:rFonts w:cs="宋体"/>
                <w:bCs/>
                <w:color w:val="000000" w:themeColor="text1"/>
                <w:szCs w:val="21"/>
                <w:highlight w:val="yellow"/>
                <w14:textFill>
                  <w14:solidFill>
                    <w14:schemeClr w14:val="tx1"/>
                  </w14:solidFill>
                </w14:textFill>
              </w:rPr>
            </w:pPr>
            <w:r>
              <w:rPr>
                <w:rFonts w:hint="eastAsia" w:cs="宋体"/>
                <w:color w:val="000000" w:themeColor="text1"/>
                <w:szCs w:val="21"/>
                <w14:textFill>
                  <w14:solidFill>
                    <w14:schemeClr w14:val="tx1"/>
                  </w14:solidFill>
                </w14:textFill>
              </w:rPr>
              <w:t>施</w:t>
            </w:r>
          </w:p>
        </w:tc>
        <w:tc>
          <w:tcPr>
            <w:tcW w:w="8273" w:type="dxa"/>
            <w:tcBorders>
              <w:top w:val="single" w:color="auto" w:sz="4" w:space="0"/>
              <w:bottom w:val="single" w:color="auto" w:sz="4" w:space="0"/>
              <w:right w:val="single" w:color="auto" w:sz="4" w:space="0"/>
            </w:tcBorders>
            <w:vAlign w:val="center"/>
          </w:tcPr>
          <w:p w14:paraId="4459CCC6">
            <w:pPr>
              <w:spacing w:line="360" w:lineRule="auto"/>
              <w:ind w:firstLine="420" w:firstLineChars="200"/>
              <w:rPr>
                <w:rFonts w:ascii="宋体" w:hAnsi="宋体" w:cs="宋体"/>
                <w:color w:val="000000" w:themeColor="text1"/>
                <w:kern w:val="0"/>
                <w:szCs w:val="21"/>
                <w:highlight w:val="yellow"/>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本项目</w:t>
            </w:r>
            <w:r>
              <w:rPr>
                <w:rFonts w:hint="eastAsia" w:ascii="Times New Roman" w:hAnsi="Times New Roman" w:eastAsia="宋体" w:cs="Times New Roman"/>
                <w:color w:val="000000" w:themeColor="text1"/>
                <w:szCs w:val="21"/>
                <w14:textFill>
                  <w14:solidFill>
                    <w14:schemeClr w14:val="tx1"/>
                  </w14:solidFill>
                </w14:textFill>
              </w:rPr>
              <w:t>租用闲置厂</w:t>
            </w:r>
            <w:r>
              <w:rPr>
                <w:rFonts w:ascii="Times New Roman" w:hAnsi="Times New Roman" w:eastAsia="宋体" w:cs="Times New Roman"/>
                <w:color w:val="000000" w:themeColor="text1"/>
                <w:szCs w:val="21"/>
                <w14:textFill>
                  <w14:solidFill>
                    <w14:schemeClr w14:val="tx1"/>
                  </w14:solidFill>
                </w14:textFill>
              </w:rPr>
              <w:t>房进行建设</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施工期工程主要包括厂房内部布局调整、新增设备的购买、安装、调试等；公用工程和辅助工程包括贮运工程、环保工程和其它配套工程的完善建设。施工期较短，因此施工期产生的粉尘、噪声和废污水较小，经采取合理的防范措施后，对周围环境影响不大。</w:t>
            </w:r>
          </w:p>
        </w:tc>
      </w:tr>
      <w:tr w14:paraId="4F1DD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562" w:type="dxa"/>
            <w:tcBorders>
              <w:top w:val="single" w:color="auto" w:sz="4" w:space="0"/>
              <w:left w:val="single" w:color="auto" w:sz="4" w:space="0"/>
              <w:bottom w:val="single" w:color="auto" w:sz="4" w:space="0"/>
            </w:tcBorders>
            <w:tcMar>
              <w:left w:w="28" w:type="dxa"/>
              <w:right w:w="28" w:type="dxa"/>
            </w:tcMar>
            <w:vAlign w:val="center"/>
          </w:tcPr>
          <w:p w14:paraId="739D328E">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运营</w:t>
            </w:r>
          </w:p>
          <w:p w14:paraId="70A96220">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期环</w:t>
            </w:r>
          </w:p>
          <w:p w14:paraId="2D265F3C">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境影</w:t>
            </w:r>
          </w:p>
          <w:p w14:paraId="34205325">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响和</w:t>
            </w:r>
          </w:p>
          <w:p w14:paraId="57227DD1">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保护</w:t>
            </w:r>
          </w:p>
          <w:p w14:paraId="6141B0C9">
            <w:pPr>
              <w:adjustRightInd w:val="0"/>
              <w:snapToGrid w:val="0"/>
              <w:jc w:val="center"/>
              <w:rPr>
                <w:rFonts w:ascii="宋体" w:hAnsi="宋体" w:cs="宋体"/>
                <w:bCs/>
                <w:color w:val="000000" w:themeColor="text1"/>
                <w:szCs w:val="21"/>
                <w:highlight w:val="yellow"/>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措施</w:t>
            </w:r>
          </w:p>
        </w:tc>
        <w:tc>
          <w:tcPr>
            <w:tcW w:w="8273" w:type="dxa"/>
            <w:tcBorders>
              <w:top w:val="single" w:color="auto" w:sz="4" w:space="0"/>
              <w:bottom w:val="single" w:color="auto" w:sz="4" w:space="0"/>
              <w:right w:val="single" w:color="auto" w:sz="4" w:space="0"/>
            </w:tcBorders>
          </w:tcPr>
          <w:p w14:paraId="02496860">
            <w:pPr>
              <w:spacing w:line="360" w:lineRule="auto"/>
              <w:ind w:firstLine="422" w:firstLineChars="200"/>
              <w:rPr>
                <w:b/>
                <w:color w:val="auto"/>
                <w:sz w:val="21"/>
                <w:szCs w:val="21"/>
              </w:rPr>
            </w:pPr>
            <w:r>
              <w:rPr>
                <w:b/>
                <w:color w:val="auto"/>
                <w:sz w:val="21"/>
                <w:szCs w:val="21"/>
              </w:rPr>
              <w:t>1、废气</w:t>
            </w:r>
          </w:p>
          <w:p w14:paraId="4280EFBA">
            <w:pPr>
              <w:snapToGrid w:val="0"/>
              <w:spacing w:line="360" w:lineRule="auto"/>
              <w:ind w:firstLine="422" w:firstLineChars="200"/>
              <w:rPr>
                <w:b/>
                <w:color w:val="auto"/>
                <w:sz w:val="21"/>
                <w:szCs w:val="21"/>
              </w:rPr>
            </w:pPr>
            <w:r>
              <w:rPr>
                <w:b/>
                <w:color w:val="auto"/>
                <w:sz w:val="21"/>
                <w:szCs w:val="21"/>
              </w:rPr>
              <w:t>1.1废气产排情况</w:t>
            </w:r>
          </w:p>
          <w:p w14:paraId="247098FE">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根据生产工艺分析，本项目废气主要为注塑成型工序产生的非甲烷总烃和粉碎工序产生的颗粒物。</w:t>
            </w:r>
          </w:p>
          <w:p w14:paraId="77E9603C">
            <w:pPr>
              <w:numPr>
                <w:ilvl w:val="0"/>
                <w:numId w:val="3"/>
              </w:num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注塑成型工序</w:t>
            </w:r>
          </w:p>
          <w:p w14:paraId="346E61B9">
            <w:pPr>
              <w:spacing w:line="360" w:lineRule="auto"/>
              <w:ind w:firstLine="420" w:firstLineChars="20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本项目塑料配件注塑成型工序均采用电加热，原料PP粒子、PE粒子分解温度分别为280℃、240℃，注塑温度为170℃-200℃，均未达到分解温度，故在加热融化时不发生分解，但原料中有极少量未聚合的单体有部分挥发出来，本报告以“非甲烷总烃”计，参照《美国环保局空气污染物控制和排放手册》，废气产生量按0.35kg/t计，注塑环节产生的挥发性有机物以非甲烷总烃计。</w:t>
            </w:r>
          </w:p>
          <w:p w14:paraId="2B6E2EAA">
            <w:pPr>
              <w:ind w:firstLine="422" w:firstLineChars="200"/>
              <w:jc w:val="center"/>
              <w:rPr>
                <w:rFonts w:hint="eastAsia"/>
                <w:b/>
                <w:bCs/>
                <w:sz w:val="21"/>
                <w:szCs w:val="21"/>
              </w:rPr>
            </w:pPr>
            <w:r>
              <w:rPr>
                <w:rFonts w:hint="eastAsia"/>
                <w:b/>
                <w:bCs/>
                <w:sz w:val="21"/>
                <w:szCs w:val="21"/>
              </w:rPr>
              <w:t>表4-1 废气产生情况</w:t>
            </w:r>
          </w:p>
          <w:tbl>
            <w:tblPr>
              <w:tblStyle w:val="27"/>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04"/>
              <w:gridCol w:w="1158"/>
              <w:gridCol w:w="1306"/>
              <w:gridCol w:w="1436"/>
              <w:gridCol w:w="1475"/>
              <w:gridCol w:w="1564"/>
            </w:tblGrid>
            <w:tr w14:paraId="73F9EC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120" w:type="dxa"/>
                  <w:noWrap w:val="0"/>
                  <w:vAlign w:val="bottom"/>
                </w:tcPr>
                <w:p w14:paraId="4537BCA1">
                  <w:pPr>
                    <w:jc w:val="center"/>
                    <w:rPr>
                      <w:b/>
                      <w:bCs/>
                      <w:sz w:val="21"/>
                      <w:szCs w:val="21"/>
                    </w:rPr>
                  </w:pPr>
                  <w:r>
                    <w:rPr>
                      <w:b/>
                      <w:bCs/>
                      <w:sz w:val="21"/>
                      <w:szCs w:val="21"/>
                    </w:rPr>
                    <w:t>污染源名称</w:t>
                  </w:r>
                </w:p>
              </w:tc>
              <w:tc>
                <w:tcPr>
                  <w:tcW w:w="1175" w:type="dxa"/>
                  <w:noWrap w:val="0"/>
                  <w:vAlign w:val="bottom"/>
                </w:tcPr>
                <w:p w14:paraId="0F2BC30A">
                  <w:pPr>
                    <w:jc w:val="center"/>
                    <w:rPr>
                      <w:b/>
                      <w:bCs/>
                      <w:sz w:val="21"/>
                      <w:szCs w:val="21"/>
                    </w:rPr>
                  </w:pPr>
                  <w:r>
                    <w:rPr>
                      <w:b/>
                      <w:bCs/>
                      <w:sz w:val="21"/>
                      <w:szCs w:val="21"/>
                    </w:rPr>
                    <w:t>污染物工序</w:t>
                  </w:r>
                </w:p>
              </w:tc>
              <w:tc>
                <w:tcPr>
                  <w:tcW w:w="1325" w:type="dxa"/>
                  <w:noWrap w:val="0"/>
                  <w:vAlign w:val="bottom"/>
                </w:tcPr>
                <w:p w14:paraId="41C59BA3">
                  <w:pPr>
                    <w:jc w:val="center"/>
                    <w:rPr>
                      <w:b/>
                      <w:bCs/>
                      <w:sz w:val="21"/>
                      <w:szCs w:val="21"/>
                    </w:rPr>
                  </w:pPr>
                  <w:r>
                    <w:rPr>
                      <w:b/>
                      <w:bCs/>
                      <w:sz w:val="21"/>
                      <w:szCs w:val="21"/>
                    </w:rPr>
                    <w:t>污染因子</w:t>
                  </w:r>
                </w:p>
              </w:tc>
              <w:tc>
                <w:tcPr>
                  <w:tcW w:w="1450" w:type="dxa"/>
                  <w:noWrap w:val="0"/>
                  <w:vAlign w:val="bottom"/>
                </w:tcPr>
                <w:p w14:paraId="07978B1F">
                  <w:pPr>
                    <w:jc w:val="center"/>
                    <w:rPr>
                      <w:b/>
                      <w:bCs/>
                      <w:sz w:val="21"/>
                      <w:szCs w:val="21"/>
                    </w:rPr>
                  </w:pPr>
                  <w:r>
                    <w:rPr>
                      <w:rFonts w:hint="eastAsia"/>
                      <w:b/>
                      <w:bCs/>
                      <w:sz w:val="21"/>
                      <w:szCs w:val="21"/>
                    </w:rPr>
                    <w:t>原料</w:t>
                  </w:r>
                  <w:r>
                    <w:rPr>
                      <w:b/>
                      <w:bCs/>
                      <w:sz w:val="21"/>
                      <w:szCs w:val="21"/>
                    </w:rPr>
                    <w:t>量（t/a）</w:t>
                  </w:r>
                </w:p>
              </w:tc>
              <w:tc>
                <w:tcPr>
                  <w:tcW w:w="1487" w:type="dxa"/>
                  <w:noWrap w:val="0"/>
                  <w:vAlign w:val="bottom"/>
                </w:tcPr>
                <w:p w14:paraId="7F50F9B5">
                  <w:pPr>
                    <w:jc w:val="center"/>
                    <w:rPr>
                      <w:rFonts w:hint="eastAsia" w:eastAsia="宋体"/>
                      <w:b/>
                      <w:bCs/>
                      <w:sz w:val="21"/>
                      <w:szCs w:val="21"/>
                      <w:lang w:eastAsia="zh-CN"/>
                    </w:rPr>
                  </w:pPr>
                  <w:r>
                    <w:rPr>
                      <w:b/>
                      <w:bCs/>
                      <w:sz w:val="21"/>
                      <w:szCs w:val="21"/>
                    </w:rPr>
                    <w:t>产生系数</w:t>
                  </w:r>
                  <w:r>
                    <w:rPr>
                      <w:rFonts w:hint="eastAsia"/>
                      <w:b/>
                      <w:bCs/>
                      <w:sz w:val="21"/>
                      <w:szCs w:val="21"/>
                      <w:lang w:eastAsia="zh-CN"/>
                    </w:rPr>
                    <w:t>（</w:t>
                  </w:r>
                  <w:r>
                    <w:rPr>
                      <w:b/>
                      <w:bCs/>
                      <w:sz w:val="21"/>
                      <w:szCs w:val="21"/>
                    </w:rPr>
                    <w:t>kg/t</w:t>
                  </w:r>
                  <w:r>
                    <w:rPr>
                      <w:rFonts w:hint="eastAsia"/>
                      <w:b/>
                      <w:bCs/>
                      <w:sz w:val="21"/>
                      <w:szCs w:val="21"/>
                      <w:lang w:eastAsia="zh-CN"/>
                    </w:rPr>
                    <w:t>）</w:t>
                  </w:r>
                </w:p>
              </w:tc>
              <w:tc>
                <w:tcPr>
                  <w:tcW w:w="1579" w:type="dxa"/>
                  <w:noWrap w:val="0"/>
                  <w:vAlign w:val="bottom"/>
                </w:tcPr>
                <w:p w14:paraId="75FC99C4">
                  <w:pPr>
                    <w:jc w:val="center"/>
                    <w:rPr>
                      <w:b/>
                      <w:bCs/>
                      <w:sz w:val="21"/>
                      <w:szCs w:val="21"/>
                    </w:rPr>
                  </w:pPr>
                  <w:r>
                    <w:rPr>
                      <w:b/>
                      <w:bCs/>
                      <w:sz w:val="21"/>
                      <w:szCs w:val="21"/>
                    </w:rPr>
                    <w:t>产生量</w:t>
                  </w:r>
                  <w:r>
                    <w:rPr>
                      <w:rFonts w:hint="eastAsia"/>
                      <w:b/>
                      <w:bCs/>
                      <w:sz w:val="21"/>
                      <w:szCs w:val="21"/>
                    </w:rPr>
                    <w:t>约为</w:t>
                  </w:r>
                  <w:r>
                    <w:rPr>
                      <w:b/>
                      <w:bCs/>
                      <w:sz w:val="21"/>
                      <w:szCs w:val="21"/>
                    </w:rPr>
                    <w:t>（t/a）</w:t>
                  </w:r>
                </w:p>
              </w:tc>
            </w:tr>
            <w:tr w14:paraId="4E4F27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120" w:type="dxa"/>
                  <w:noWrap w:val="0"/>
                  <w:vAlign w:val="bottom"/>
                </w:tcPr>
                <w:p w14:paraId="32BA44E3">
                  <w:pPr>
                    <w:jc w:val="center"/>
                    <w:rPr>
                      <w:sz w:val="21"/>
                      <w:szCs w:val="21"/>
                    </w:rPr>
                  </w:pPr>
                  <w:r>
                    <w:rPr>
                      <w:sz w:val="21"/>
                      <w:szCs w:val="21"/>
                    </w:rPr>
                    <w:t>注塑车间</w:t>
                  </w:r>
                </w:p>
              </w:tc>
              <w:tc>
                <w:tcPr>
                  <w:tcW w:w="1175" w:type="dxa"/>
                  <w:noWrap w:val="0"/>
                  <w:vAlign w:val="bottom"/>
                </w:tcPr>
                <w:p w14:paraId="179A572B">
                  <w:pPr>
                    <w:jc w:val="center"/>
                    <w:rPr>
                      <w:sz w:val="21"/>
                      <w:szCs w:val="21"/>
                    </w:rPr>
                  </w:pPr>
                  <w:r>
                    <w:rPr>
                      <w:sz w:val="21"/>
                      <w:szCs w:val="21"/>
                    </w:rPr>
                    <w:t>注塑</w:t>
                  </w:r>
                  <w:r>
                    <w:rPr>
                      <w:rFonts w:hint="eastAsia" w:ascii="Times New Roman" w:hAnsi="Times New Roman" w:eastAsia="宋体" w:cs="Times New Roman"/>
                      <w:color w:val="000000" w:themeColor="text1"/>
                      <w:szCs w:val="21"/>
                      <w:lang w:val="en-US" w:eastAsia="zh-CN"/>
                      <w14:textFill>
                        <w14:solidFill>
                          <w14:schemeClr w14:val="tx1"/>
                        </w14:solidFill>
                      </w14:textFill>
                    </w:rPr>
                    <w:t>成型</w:t>
                  </w:r>
                </w:p>
              </w:tc>
              <w:tc>
                <w:tcPr>
                  <w:tcW w:w="1325" w:type="dxa"/>
                  <w:noWrap w:val="0"/>
                  <w:vAlign w:val="bottom"/>
                </w:tcPr>
                <w:p w14:paraId="2F40EDE0">
                  <w:pPr>
                    <w:jc w:val="center"/>
                    <w:rPr>
                      <w:sz w:val="21"/>
                      <w:szCs w:val="21"/>
                    </w:rPr>
                  </w:pPr>
                  <w:r>
                    <w:rPr>
                      <w:sz w:val="21"/>
                      <w:szCs w:val="21"/>
                    </w:rPr>
                    <w:t>非甲烷总烃</w:t>
                  </w:r>
                </w:p>
              </w:tc>
              <w:tc>
                <w:tcPr>
                  <w:tcW w:w="1450" w:type="dxa"/>
                  <w:noWrap w:val="0"/>
                  <w:vAlign w:val="bottom"/>
                </w:tcPr>
                <w:p w14:paraId="0F4360C7">
                  <w:pPr>
                    <w:jc w:val="center"/>
                    <w:rPr>
                      <w:rFonts w:hint="default" w:eastAsia="宋体"/>
                      <w:sz w:val="21"/>
                      <w:szCs w:val="21"/>
                      <w:lang w:val="en-US" w:eastAsia="zh-CN"/>
                    </w:rPr>
                  </w:pPr>
                  <w:r>
                    <w:rPr>
                      <w:rFonts w:hint="eastAsia"/>
                      <w:sz w:val="21"/>
                      <w:szCs w:val="21"/>
                      <w:lang w:val="en-US" w:eastAsia="zh-CN"/>
                    </w:rPr>
                    <w:t>1127</w:t>
                  </w:r>
                </w:p>
              </w:tc>
              <w:tc>
                <w:tcPr>
                  <w:tcW w:w="1487" w:type="dxa"/>
                  <w:noWrap w:val="0"/>
                  <w:vAlign w:val="bottom"/>
                </w:tcPr>
                <w:p w14:paraId="4B79AF2F">
                  <w:pPr>
                    <w:jc w:val="center"/>
                    <w:rPr>
                      <w:sz w:val="21"/>
                      <w:szCs w:val="21"/>
                    </w:rPr>
                  </w:pPr>
                  <w:r>
                    <w:rPr>
                      <w:sz w:val="21"/>
                      <w:szCs w:val="21"/>
                    </w:rPr>
                    <w:t>0.35</w:t>
                  </w:r>
                </w:p>
              </w:tc>
              <w:tc>
                <w:tcPr>
                  <w:tcW w:w="1579" w:type="dxa"/>
                  <w:noWrap w:val="0"/>
                  <w:vAlign w:val="bottom"/>
                </w:tcPr>
                <w:p w14:paraId="2F5A306D">
                  <w:pPr>
                    <w:jc w:val="center"/>
                    <w:rPr>
                      <w:rFonts w:hint="default" w:eastAsia="宋体"/>
                      <w:sz w:val="21"/>
                      <w:szCs w:val="21"/>
                      <w:lang w:val="en-US" w:eastAsia="zh-CN"/>
                    </w:rPr>
                  </w:pPr>
                  <w:r>
                    <w:rPr>
                      <w:rFonts w:hint="eastAsia"/>
                      <w:sz w:val="21"/>
                      <w:szCs w:val="21"/>
                      <w:lang w:val="en-US" w:eastAsia="zh-CN"/>
                    </w:rPr>
                    <w:t>0.3945</w:t>
                  </w:r>
                </w:p>
              </w:tc>
            </w:tr>
          </w:tbl>
          <w:p w14:paraId="5C033B0C">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该公司拟在注塑工序段出口上方设置吸风罩，产生的废气经风机（风量为16000m</w:t>
            </w:r>
            <w:r>
              <w:rPr>
                <w:rFonts w:hint="eastAsia" w:ascii="Times New Roman" w:hAnsi="Times New Roman" w:eastAsia="宋体" w:cs="Times New Roman"/>
                <w:color w:val="000000" w:themeColor="text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Cs w:val="21"/>
                <w:lang w:val="en-US" w:eastAsia="zh-CN"/>
                <w14:textFill>
                  <w14:solidFill>
                    <w14:schemeClr w14:val="tx1"/>
                  </w14:solidFill>
                </w14:textFill>
              </w:rPr>
              <w:t>/h，废气捕集率90%，10%未捕集废气在车间内呈无组织排放，去除率85％）引入1套“二级活性炭吸附"装置处理后，尾气通过1根15米高的排气筒（</w:t>
            </w:r>
            <w:r>
              <w:rPr>
                <w:rFonts w:hint="eastAsia" w:cs="Times New Roman"/>
                <w:color w:val="000000" w:themeColor="text1"/>
                <w:szCs w:val="21"/>
                <w:lang w:val="en-US" w:eastAsia="zh-CN"/>
                <w14:textFill>
                  <w14:solidFill>
                    <w14:schemeClr w14:val="tx1"/>
                  </w14:solidFill>
                </w14:textFill>
              </w:rPr>
              <w:t>DA001</w:t>
            </w:r>
            <w:r>
              <w:rPr>
                <w:rFonts w:hint="eastAsia" w:ascii="Times New Roman" w:hAnsi="Times New Roman" w:eastAsia="宋体" w:cs="Times New Roman"/>
                <w:color w:val="000000" w:themeColor="text1"/>
                <w:szCs w:val="21"/>
                <w:lang w:val="en-US" w:eastAsia="zh-CN"/>
                <w14:textFill>
                  <w14:solidFill>
                    <w14:schemeClr w14:val="tx1"/>
                  </w14:solidFill>
                </w14:textFill>
              </w:rPr>
              <w:t>）排放，有组织排放量</w:t>
            </w:r>
            <w:r>
              <w:rPr>
                <w:rFonts w:hint="eastAsia" w:eastAsia="宋体"/>
                <w:color w:val="auto"/>
                <w:sz w:val="21"/>
                <w:szCs w:val="21"/>
                <w:lang w:val="en-US" w:eastAsia="zh-CN"/>
              </w:rPr>
              <w:t>0.0533t/a、无组织排放量0.0395t/a</w:t>
            </w:r>
            <w:r>
              <w:rPr>
                <w:rFonts w:hint="eastAsia" w:ascii="Times New Roman" w:hAnsi="Times New Roman" w:eastAsia="宋体" w:cs="Times New Roman"/>
                <w:color w:val="000000" w:themeColor="text1"/>
                <w:szCs w:val="21"/>
                <w:lang w:val="en-US" w:eastAsia="zh-CN"/>
                <w14:textFill>
                  <w14:solidFill>
                    <w14:schemeClr w14:val="tx1"/>
                  </w14:solidFill>
                </w14:textFill>
              </w:rPr>
              <w:t>。</w:t>
            </w:r>
          </w:p>
          <w:p w14:paraId="386FBD3C">
            <w:pPr>
              <w:spacing w:line="360" w:lineRule="auto"/>
              <w:ind w:firstLine="420" w:firstLineChars="200"/>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（2）粉碎工序</w:t>
            </w:r>
          </w:p>
          <w:p w14:paraId="7FCE1EF0">
            <w:pPr>
              <w:pStyle w:val="135"/>
              <w:ind w:firstLine="504"/>
              <w:rPr>
                <w:rStyle w:val="33"/>
                <w:rFonts w:hint="default" w:ascii="Times New Roman" w:hAnsi="Times New Roman" w:eastAsia="宋体" w:cs="Times New Roman"/>
                <w:color w:val="auto"/>
              </w:rPr>
            </w:pPr>
            <w:r>
              <w:rPr>
                <w:rFonts w:hint="default" w:ascii="Times New Roman" w:hAnsi="Times New Roman" w:eastAsia="宋体" w:cs="Times New Roman"/>
                <w:color w:val="auto"/>
                <w:kern w:val="2"/>
              </w:rPr>
              <w:t>根据物料平衡，边角料</w:t>
            </w:r>
            <w:r>
              <w:rPr>
                <w:rFonts w:hint="default" w:ascii="Times New Roman" w:hAnsi="Times New Roman" w:eastAsia="宋体" w:cs="Times New Roman"/>
                <w:color w:val="auto"/>
                <w:kern w:val="2"/>
                <w:lang w:eastAsia="zh-CN"/>
              </w:rPr>
              <w:t>、</w:t>
            </w:r>
            <w:r>
              <w:rPr>
                <w:rFonts w:hint="default" w:ascii="Times New Roman" w:hAnsi="Times New Roman" w:eastAsia="宋体" w:cs="Times New Roman"/>
                <w:color w:val="auto"/>
                <w:kern w:val="2"/>
              </w:rPr>
              <w:t>不合格品产生量为</w:t>
            </w:r>
            <w:r>
              <w:rPr>
                <w:rFonts w:hint="default" w:ascii="Times New Roman" w:hAnsi="Times New Roman" w:eastAsia="宋体" w:cs="Times New Roman"/>
                <w:color w:val="auto"/>
                <w:kern w:val="2"/>
                <w:lang w:val="en-US" w:eastAsia="zh-CN"/>
              </w:rPr>
              <w:t>56.35</w:t>
            </w:r>
            <w:r>
              <w:rPr>
                <w:rFonts w:hint="default" w:ascii="Times New Roman" w:hAnsi="Times New Roman" w:eastAsia="宋体" w:cs="Times New Roman"/>
                <w:color w:val="auto"/>
                <w:kern w:val="2"/>
              </w:rPr>
              <w:t>t/a，</w:t>
            </w:r>
            <w:r>
              <w:rPr>
                <w:rStyle w:val="144"/>
                <w:rFonts w:hint="default" w:ascii="Times New Roman" w:hAnsi="Times New Roman" w:eastAsia="宋体" w:cs="Times New Roman"/>
                <w:color w:val="auto"/>
              </w:rPr>
              <w:t>参照《排放源统计调查产排污核算方法和系数手册》（生态环境部公告2021年第24号）中“42</w:t>
            </w:r>
            <w:r>
              <w:rPr>
                <w:rStyle w:val="144"/>
                <w:rFonts w:hint="default" w:ascii="Times New Roman" w:hAnsi="Times New Roman" w:eastAsia="宋体" w:cs="Times New Roman"/>
                <w:color w:val="auto"/>
                <w:lang w:val="en-US" w:eastAsia="zh-CN"/>
              </w:rPr>
              <w:t xml:space="preserve"> </w:t>
            </w:r>
            <w:r>
              <w:rPr>
                <w:rStyle w:val="144"/>
                <w:rFonts w:hint="default" w:ascii="Times New Roman" w:hAnsi="Times New Roman" w:eastAsia="宋体" w:cs="Times New Roman"/>
                <w:color w:val="auto"/>
              </w:rPr>
              <w:t>废弃资源综合利用行业手册”中的废PE/PP再生塑料粒子“干法破碎”产污系数，即</w:t>
            </w:r>
            <w:r>
              <w:rPr>
                <w:rStyle w:val="144"/>
                <w:rFonts w:hint="default" w:ascii="Times New Roman" w:hAnsi="Times New Roman" w:eastAsia="宋体" w:cs="Times New Roman"/>
                <w:color w:val="auto"/>
                <w:lang w:val="en-US" w:eastAsia="zh-CN"/>
              </w:rPr>
              <w:t>375</w:t>
            </w:r>
            <w:r>
              <w:rPr>
                <w:rStyle w:val="144"/>
                <w:rFonts w:hint="default" w:ascii="Times New Roman" w:hAnsi="Times New Roman" w:eastAsia="宋体" w:cs="Times New Roman"/>
                <w:color w:val="auto"/>
              </w:rPr>
              <w:t>克/吨-原料，计算得</w:t>
            </w:r>
            <w:r>
              <w:rPr>
                <w:rStyle w:val="144"/>
                <w:rFonts w:hint="default" w:ascii="Times New Roman" w:hAnsi="Times New Roman" w:eastAsia="宋体" w:cs="Times New Roman"/>
                <w:color w:val="auto"/>
                <w:lang w:val="en-US" w:eastAsia="zh-CN"/>
              </w:rPr>
              <w:t>粉碎</w:t>
            </w:r>
            <w:r>
              <w:rPr>
                <w:rStyle w:val="144"/>
                <w:rFonts w:hint="default" w:ascii="Times New Roman" w:hAnsi="Times New Roman" w:eastAsia="宋体" w:cs="Times New Roman"/>
                <w:color w:val="auto"/>
              </w:rPr>
              <w:t>废气（以颗粒物计）产生量</w:t>
            </w:r>
            <w:r>
              <w:rPr>
                <w:rStyle w:val="144"/>
                <w:rFonts w:hint="default" w:ascii="Times New Roman" w:hAnsi="Times New Roman" w:eastAsia="宋体" w:cs="Times New Roman"/>
                <w:color w:val="auto"/>
                <w:lang w:val="en-US" w:eastAsia="zh-CN"/>
              </w:rPr>
              <w:t>0.0211</w:t>
            </w:r>
            <w:r>
              <w:rPr>
                <w:rStyle w:val="144"/>
                <w:rFonts w:hint="default" w:ascii="Times New Roman" w:hAnsi="Times New Roman" w:eastAsia="宋体" w:cs="Times New Roman"/>
                <w:color w:val="auto"/>
              </w:rPr>
              <w:t>t/a，采用集气罩收集</w:t>
            </w:r>
            <w:r>
              <w:rPr>
                <w:rStyle w:val="144"/>
                <w:rFonts w:hint="default" w:ascii="Times New Roman" w:hAnsi="Times New Roman" w:eastAsia="宋体" w:cs="Times New Roman"/>
                <w:color w:val="auto"/>
                <w:lang w:eastAsia="zh-CN"/>
              </w:rPr>
              <w:t>，</w:t>
            </w:r>
            <w:r>
              <w:rPr>
                <w:rStyle w:val="144"/>
                <w:rFonts w:hint="default" w:ascii="Times New Roman" w:hAnsi="Times New Roman" w:eastAsia="宋体" w:cs="Times New Roman"/>
                <w:color w:val="auto"/>
                <w:lang w:val="en-US" w:eastAsia="zh-CN"/>
              </w:rPr>
              <w:t>经布袋除尘设施处理后无组织排放（捕集率</w:t>
            </w:r>
            <w:r>
              <w:rPr>
                <w:rFonts w:hint="default" w:ascii="Times New Roman" w:hAnsi="Times New Roman" w:eastAsia="宋体" w:cs="Times New Roman"/>
                <w:color w:val="000000" w:themeColor="text1"/>
                <w:szCs w:val="21"/>
                <w:lang w:val="en-US" w:eastAsia="zh-CN"/>
                <w14:textFill>
                  <w14:solidFill>
                    <w14:schemeClr w14:val="tx1"/>
                  </w14:solidFill>
                </w14:textFill>
              </w:rPr>
              <w:t>90%，去除率98％</w:t>
            </w:r>
            <w:r>
              <w:rPr>
                <w:rStyle w:val="144"/>
                <w:rFonts w:hint="default" w:ascii="Times New Roman" w:hAnsi="Times New Roman" w:eastAsia="宋体" w:cs="Times New Roman"/>
                <w:color w:val="auto"/>
                <w:lang w:val="en-US" w:eastAsia="zh-CN"/>
              </w:rPr>
              <w:t>），无组织排放量0.0025</w:t>
            </w:r>
            <w:r>
              <w:rPr>
                <w:rStyle w:val="144"/>
                <w:rFonts w:hint="default" w:ascii="Times New Roman" w:hAnsi="Times New Roman" w:eastAsia="宋体" w:cs="Times New Roman"/>
                <w:color w:val="auto"/>
              </w:rPr>
              <w:t>t/a</w:t>
            </w:r>
            <w:r>
              <w:rPr>
                <w:rFonts w:hint="default" w:ascii="Times New Roman" w:hAnsi="Times New Roman" w:eastAsia="宋体" w:cs="Times New Roman"/>
                <w:color w:val="auto"/>
                <w:kern w:val="2"/>
              </w:rPr>
              <w:t>。</w:t>
            </w:r>
          </w:p>
          <w:p w14:paraId="618B4921">
            <w:pPr>
              <w:pStyle w:val="10"/>
              <w:rPr>
                <w:rFonts w:hint="eastAsia"/>
                <w:lang w:eastAsia="zh-CN"/>
              </w:rPr>
            </w:pPr>
          </w:p>
        </w:tc>
      </w:tr>
    </w:tbl>
    <w:p w14:paraId="47A3DA21">
      <w:pPr>
        <w:adjustRightInd w:val="0"/>
        <w:snapToGrid w:val="0"/>
        <w:spacing w:line="360" w:lineRule="auto"/>
        <w:rPr>
          <w:rFonts w:ascii="宋体" w:cs="宋体"/>
          <w:b/>
          <w:color w:val="000000" w:themeColor="text1"/>
          <w:kern w:val="0"/>
          <w:sz w:val="18"/>
          <w:szCs w:val="18"/>
          <w:highlight w:val="yellow"/>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272"/>
      </w:tblGrid>
      <w:tr w14:paraId="3C387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562" w:type="dxa"/>
            <w:tcBorders>
              <w:top w:val="single" w:color="auto" w:sz="4" w:space="0"/>
              <w:left w:val="single" w:color="auto" w:sz="4" w:space="0"/>
              <w:bottom w:val="single" w:color="auto" w:sz="4" w:space="0"/>
            </w:tcBorders>
            <w:tcMar>
              <w:left w:w="28" w:type="dxa"/>
              <w:right w:w="28" w:type="dxa"/>
            </w:tcMar>
            <w:vAlign w:val="center"/>
          </w:tcPr>
          <w:p w14:paraId="7BE036A4">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运营</w:t>
            </w:r>
          </w:p>
          <w:p w14:paraId="639D26EA">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期环</w:t>
            </w:r>
          </w:p>
          <w:p w14:paraId="1EEACA3C">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境影</w:t>
            </w:r>
          </w:p>
          <w:p w14:paraId="305D1080">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响和</w:t>
            </w:r>
          </w:p>
          <w:p w14:paraId="7D4EDAE2">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保护</w:t>
            </w:r>
          </w:p>
          <w:p w14:paraId="55300EE1">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措施</w:t>
            </w:r>
          </w:p>
        </w:tc>
        <w:tc>
          <w:tcPr>
            <w:tcW w:w="8272" w:type="dxa"/>
            <w:tcBorders>
              <w:top w:val="single" w:color="auto" w:sz="4" w:space="0"/>
              <w:bottom w:val="single" w:color="auto" w:sz="4" w:space="0"/>
              <w:right w:val="single" w:color="auto" w:sz="4" w:space="0"/>
            </w:tcBorders>
          </w:tcPr>
          <w:p w14:paraId="6D2C9F79">
            <w:pPr>
              <w:snapToGrid w:val="0"/>
              <w:spacing w:line="360" w:lineRule="auto"/>
              <w:ind w:firstLine="422" w:firstLineChars="200"/>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1.2废气处理装置经济及技术可行性分析</w:t>
            </w:r>
          </w:p>
          <w:p w14:paraId="3485FB8A">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fldChar w:fldCharType="begin"/>
            </w:r>
            <w:r>
              <w:rPr>
                <w:rStyle w:val="144"/>
                <w:rFonts w:hint="eastAsia" w:ascii="Times New Roman" w:hAnsi="Times New Roman" w:eastAsia="宋体" w:cs="Times New Roman"/>
                <w:color w:val="auto"/>
              </w:rPr>
              <w:instrText xml:space="preserve">= 1 \* GB3</w:instrText>
            </w:r>
            <w:r>
              <w:rPr>
                <w:rStyle w:val="144"/>
                <w:rFonts w:hint="eastAsia" w:ascii="Times New Roman" w:hAnsi="Times New Roman" w:eastAsia="宋体" w:cs="Times New Roman"/>
                <w:color w:val="auto"/>
              </w:rPr>
              <w:fldChar w:fldCharType="separate"/>
            </w:r>
            <w:r>
              <w:rPr>
                <w:rStyle w:val="144"/>
                <w:rFonts w:hint="eastAsia" w:ascii="Times New Roman" w:hAnsi="Times New Roman" w:eastAsia="宋体" w:cs="Times New Roman"/>
                <w:color w:val="auto"/>
              </w:rPr>
              <w:t>①</w:t>
            </w:r>
            <w:r>
              <w:rPr>
                <w:rStyle w:val="144"/>
                <w:rFonts w:hint="eastAsia" w:ascii="Times New Roman" w:hAnsi="Times New Roman" w:eastAsia="宋体" w:cs="Times New Roman"/>
                <w:color w:val="auto"/>
              </w:rPr>
              <w:fldChar w:fldCharType="end"/>
            </w:r>
            <w:r>
              <w:rPr>
                <w:rStyle w:val="144"/>
                <w:rFonts w:hint="eastAsia" w:ascii="Times New Roman" w:hAnsi="Times New Roman" w:eastAsia="宋体" w:cs="Times New Roman"/>
                <w:color w:val="auto"/>
              </w:rPr>
              <w:t>废气防治措施流程图</w:t>
            </w:r>
          </w:p>
          <w:p w14:paraId="1B46C5B6">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t>本项目</w:t>
            </w:r>
            <w:r>
              <w:rPr>
                <w:rStyle w:val="144"/>
                <w:rFonts w:hint="eastAsia" w:ascii="Times New Roman" w:hAnsi="Times New Roman" w:eastAsia="宋体" w:cs="Times New Roman"/>
                <w:color w:val="auto"/>
                <w:lang w:val="en-US" w:eastAsia="zh-CN"/>
              </w:rPr>
              <w:t>注塑成型</w:t>
            </w:r>
            <w:r>
              <w:rPr>
                <w:rStyle w:val="144"/>
                <w:rFonts w:hint="eastAsia" w:ascii="Times New Roman" w:hAnsi="Times New Roman" w:eastAsia="宋体" w:cs="Times New Roman"/>
                <w:color w:val="auto"/>
              </w:rPr>
              <w:t>工序采用集气罩收集，接入一套“二级活性炭吸附装置”处理，尾气通过一根15米高排气筒（</w:t>
            </w:r>
            <w:r>
              <w:rPr>
                <w:rStyle w:val="144"/>
                <w:rFonts w:hint="eastAsia" w:cs="Times New Roman"/>
                <w:color w:val="auto"/>
                <w:lang w:eastAsia="zh-CN"/>
              </w:rPr>
              <w:t>DA001</w:t>
            </w:r>
            <w:r>
              <w:rPr>
                <w:rStyle w:val="144"/>
                <w:rFonts w:hint="eastAsia" w:ascii="Times New Roman" w:hAnsi="Times New Roman" w:eastAsia="宋体" w:cs="Times New Roman"/>
                <w:color w:val="auto"/>
              </w:rPr>
              <w:t>）排放</w:t>
            </w:r>
            <w:r>
              <w:rPr>
                <w:rStyle w:val="144"/>
                <w:rFonts w:hint="eastAsia" w:ascii="Times New Roman" w:hAnsi="Times New Roman" w:eastAsia="宋体" w:cs="Times New Roman"/>
                <w:color w:val="auto"/>
                <w:lang w:eastAsia="zh-CN"/>
              </w:rPr>
              <w:t>；</w:t>
            </w:r>
            <w:r>
              <w:rPr>
                <w:rStyle w:val="144"/>
                <w:rFonts w:hint="eastAsia" w:ascii="Times New Roman" w:hAnsi="Times New Roman" w:eastAsia="宋体" w:cs="Times New Roman"/>
                <w:color w:val="auto"/>
                <w:lang w:val="en-US" w:eastAsia="zh-CN"/>
              </w:rPr>
              <w:t>粉碎工序</w:t>
            </w:r>
            <w:r>
              <w:rPr>
                <w:rStyle w:val="144"/>
                <w:rFonts w:hint="eastAsia" w:ascii="Times New Roman" w:hAnsi="Times New Roman" w:eastAsia="宋体" w:cs="Times New Roman"/>
                <w:color w:val="auto"/>
              </w:rPr>
              <w:t>采用集气罩收集</w:t>
            </w:r>
            <w:r>
              <w:rPr>
                <w:rStyle w:val="144"/>
                <w:rFonts w:hint="eastAsia" w:ascii="Times New Roman" w:hAnsi="Times New Roman" w:eastAsia="宋体" w:cs="Times New Roman"/>
                <w:color w:val="auto"/>
                <w:lang w:eastAsia="zh-CN"/>
              </w:rPr>
              <w:t>，</w:t>
            </w:r>
            <w:r>
              <w:rPr>
                <w:rStyle w:val="144"/>
                <w:rFonts w:hint="eastAsia"/>
                <w:color w:val="auto"/>
                <w:lang w:val="en-US" w:eastAsia="zh-CN"/>
              </w:rPr>
              <w:t>经布袋除尘设施处理后无组织排放</w:t>
            </w:r>
            <w:r>
              <w:rPr>
                <w:rStyle w:val="144"/>
                <w:rFonts w:hint="eastAsia" w:ascii="Times New Roman" w:hAnsi="Times New Roman" w:eastAsia="宋体" w:cs="Times New Roman"/>
                <w:color w:val="auto"/>
              </w:rPr>
              <w:t>。废气防治措施流程图如图4-1。</w:t>
            </w:r>
          </w:p>
          <w:p w14:paraId="29D3387F">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fldChar w:fldCharType="begin"/>
            </w:r>
            <w:r>
              <w:rPr>
                <w:rStyle w:val="144"/>
                <w:rFonts w:hint="eastAsia" w:ascii="Times New Roman" w:hAnsi="Times New Roman" w:eastAsia="宋体" w:cs="Times New Roman"/>
                <w:color w:val="auto"/>
              </w:rPr>
              <w:instrText xml:space="preserve">= 2 \* GB3</w:instrText>
            </w:r>
            <w:r>
              <w:rPr>
                <w:rStyle w:val="144"/>
                <w:rFonts w:hint="eastAsia" w:ascii="Times New Roman" w:hAnsi="Times New Roman" w:eastAsia="宋体" w:cs="Times New Roman"/>
                <w:color w:val="auto"/>
              </w:rPr>
              <w:fldChar w:fldCharType="separate"/>
            </w:r>
            <w:r>
              <w:rPr>
                <w:rStyle w:val="144"/>
                <w:rFonts w:hint="eastAsia" w:ascii="Times New Roman" w:hAnsi="Times New Roman" w:eastAsia="宋体" w:cs="Times New Roman"/>
                <w:color w:val="auto"/>
              </w:rPr>
              <w:t>②</w:t>
            </w:r>
            <w:r>
              <w:rPr>
                <w:rStyle w:val="144"/>
                <w:rFonts w:hint="eastAsia" w:ascii="Times New Roman" w:hAnsi="Times New Roman" w:eastAsia="宋体" w:cs="Times New Roman"/>
                <w:color w:val="auto"/>
              </w:rPr>
              <w:fldChar w:fldCharType="end"/>
            </w:r>
            <w:r>
              <w:rPr>
                <w:rStyle w:val="144"/>
                <w:rFonts w:hint="eastAsia" w:ascii="Times New Roman" w:hAnsi="Times New Roman" w:eastAsia="宋体" w:cs="Times New Roman"/>
                <w:color w:val="auto"/>
              </w:rPr>
              <w:t>工作原理</w:t>
            </w:r>
          </w:p>
          <w:p w14:paraId="0161F855">
            <w:pPr>
              <w:pStyle w:val="135"/>
              <w:ind w:firstLine="504"/>
              <w:rPr>
                <w:rStyle w:val="144"/>
                <w:rFonts w:hint="default" w:ascii="Times New Roman" w:hAnsi="Times New Roman" w:eastAsia="宋体" w:cs="Times New Roman"/>
                <w:color w:val="auto"/>
                <w:lang w:val="en-US" w:eastAsia="zh-CN"/>
              </w:rPr>
            </w:pPr>
            <w:r>
              <w:rPr>
                <w:rStyle w:val="144"/>
                <w:rFonts w:hint="default" w:ascii="Times New Roman" w:hAnsi="Times New Roman" w:eastAsia="宋体" w:cs="Times New Roman"/>
                <w:color w:val="auto"/>
                <w:lang w:val="en-US" w:eastAsia="zh-CN"/>
              </w:rPr>
              <w:t>活性炭吸附是一种常用的吸附方法，吸附法主要利用高孔隙率、高比表面积的吸附剂，藉由物理性吸附（可逆反应）或化学性键结（不可逆反应）作用，将有机气体分子自废气中分离，以达成净化废气的目的。由于一般多采用物理性吸附，随操作时间之增加，吸附剂将逐渐趋于饱和现象，此时则须进行脱附再生或吸附剂更换工作。在有机废气处理过程中，活性炭常被用来吸附烷烃、烯烃、芳香烃、酮、醛、氯代烃、酯以及挥发性有机化合物（VOCs）。</w:t>
            </w:r>
          </w:p>
          <w:p w14:paraId="510A375F">
            <w:pPr>
              <w:pStyle w:val="135"/>
              <w:ind w:firstLine="504"/>
              <w:rPr>
                <w:rStyle w:val="144"/>
                <w:rFonts w:hint="default" w:ascii="Times New Roman" w:hAnsi="Times New Roman" w:eastAsia="宋体" w:cs="Times New Roman"/>
                <w:color w:val="auto"/>
                <w:lang w:val="en-US" w:eastAsia="zh-CN"/>
              </w:rPr>
            </w:pPr>
            <w:r>
              <w:rPr>
                <w:rStyle w:val="144"/>
                <w:rFonts w:hint="default" w:ascii="Times New Roman" w:hAnsi="Times New Roman" w:eastAsia="宋体" w:cs="Times New Roman"/>
                <w:color w:val="auto"/>
                <w:lang w:val="en-US" w:eastAsia="zh-CN"/>
              </w:rPr>
              <w:t>活性炭是由各种含碳物质（如木材、泥煤、果核、椰壳等原料）在高温下炭化后，再用水蒸气或化学药品（如氯化锌、氯化锰、氯化钙和磷酸等）进行活化处理，然后制成的孔隙十分丰富的吸附剂，比表面积一般在700～1500m2/g范围内，具有优良的吸附能力。其孔径分布一般为：活性炭5nm以下，活性焦炭2nm以下，炭分子筛1nm以下。炭分子筛式新近发展的一种孔径均一的分子筛型新品种，具有良好的选择吸附能力。活性炭是一种具有非极性表面、疏水性、亲有机物的吸附剂。所以活性炭常常被用来吸附回收空气中的有机溶剂和恶臭物质，它可以根据需要制成不同性状和粒度，如粉末活性炭、颗粒活性炭及柱状活性炭。本项目采用的废气处理装置方法成熟，国内外许多化工企业多应用该法，处理效果好，其优点是设备较简单、处理效率高、运行成本相对较低。</w:t>
            </w:r>
          </w:p>
          <w:p w14:paraId="1AE3A8A0">
            <w:pPr>
              <w:pStyle w:val="135"/>
              <w:ind w:firstLine="504"/>
              <w:rPr>
                <w:rStyle w:val="144"/>
                <w:rFonts w:hint="eastAsia" w:ascii="Times New Roman" w:hAnsi="Times New Roman" w:eastAsia="宋体" w:cs="Times New Roman"/>
                <w:color w:val="auto"/>
                <w:lang w:val="en-US" w:eastAsia="zh-CN"/>
              </w:rPr>
            </w:pPr>
            <w:r>
              <w:rPr>
                <w:rStyle w:val="144"/>
                <w:rFonts w:hint="eastAsia" w:ascii="Times New Roman" w:hAnsi="Times New Roman" w:eastAsia="宋体" w:cs="Times New Roman"/>
                <w:color w:val="auto"/>
                <w:lang w:val="en-US" w:eastAsia="zh-CN"/>
              </w:rPr>
              <w:t>本项目设置的活性炭装置满足</w:t>
            </w:r>
            <w:r>
              <w:rPr>
                <w:rStyle w:val="144"/>
                <w:rFonts w:hint="eastAsia"/>
              </w:rPr>
              <w:t>《省生态环境厅关于深入开展涉VOCs治理重点工作核查的通知》苏环办[2022]218号</w:t>
            </w:r>
            <w:r>
              <w:rPr>
                <w:rStyle w:val="144"/>
                <w:rFonts w:hint="eastAsia" w:ascii="Times New Roman" w:hAnsi="Times New Roman" w:eastAsia="宋体" w:cs="Times New Roman"/>
                <w:color w:val="auto"/>
                <w:lang w:val="en-US" w:eastAsia="zh-CN"/>
              </w:rPr>
              <w:t>文和《吸附法工业有机废气治理工程技术规范》（HJ2026-2013）中采用蜂窝碳的参数要求。</w:t>
            </w:r>
          </w:p>
          <w:p w14:paraId="7AD292D9">
            <w:pPr>
              <w:pStyle w:val="135"/>
              <w:ind w:firstLine="504"/>
              <w:rPr>
                <w:rStyle w:val="144"/>
                <w:rFonts w:hint="eastAsia" w:ascii="Times New Roman" w:hAnsi="Times New Roman" w:eastAsia="宋体" w:cs="Times New Roman"/>
                <w:color w:val="auto"/>
              </w:rPr>
            </w:pPr>
          </w:p>
          <w:p w14:paraId="25500504">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t>根据《吸附法工业有机废气治理工程技术规范》（HJ2026-2013）“6.3.3.</w:t>
            </w:r>
            <w:r>
              <w:rPr>
                <w:rStyle w:val="144"/>
                <w:rFonts w:hint="eastAsia" w:ascii="Times New Roman" w:hAnsi="Times New Roman" w:eastAsia="宋体" w:cs="Times New Roman"/>
                <w:color w:val="auto"/>
                <w:lang w:val="en-US" w:eastAsia="zh-CN"/>
              </w:rPr>
              <w:t>3</w:t>
            </w:r>
            <w:r>
              <w:rPr>
                <w:rStyle w:val="144"/>
                <w:rFonts w:hint="eastAsia" w:ascii="Times New Roman" w:hAnsi="Times New Roman" w:eastAsia="宋体" w:cs="Times New Roman"/>
                <w:color w:val="auto"/>
              </w:rPr>
              <w:t>采用颗粒状吸附剂时，气体流速宜低于0.60m/s</w:t>
            </w:r>
            <w:r>
              <w:rPr>
                <w:rStyle w:val="144"/>
                <w:rFonts w:hint="eastAsia" w:ascii="Times New Roman" w:hAnsi="Times New Roman" w:eastAsia="宋体" w:cs="Times New Roman"/>
                <w:color w:val="auto"/>
                <w:lang w:eastAsia="zh-CN"/>
              </w:rPr>
              <w:t>；</w:t>
            </w:r>
            <w:r>
              <w:rPr>
                <w:rStyle w:val="144"/>
                <w:rFonts w:hint="eastAsia" w:ascii="Times New Roman" w:hAnsi="Times New Roman" w:eastAsia="宋体" w:cs="Times New Roman"/>
                <w:color w:val="auto"/>
              </w:rPr>
              <w:t>活性炭过滤停留时间一般为0.2s～2s”。本项目过滤风速</w:t>
            </w:r>
            <w:r>
              <w:rPr>
                <w:rStyle w:val="144"/>
                <w:rFonts w:hint="eastAsia" w:ascii="Times New Roman" w:hAnsi="Times New Roman" w:eastAsia="宋体" w:cs="Times New Roman"/>
                <w:color w:val="auto"/>
                <w:lang w:val="en-US" w:eastAsia="zh-CN"/>
              </w:rPr>
              <w:t>0.</w:t>
            </w:r>
            <w:r>
              <w:rPr>
                <w:rStyle w:val="144"/>
                <w:rFonts w:hint="eastAsia" w:cs="Times New Roman"/>
                <w:color w:val="auto"/>
                <w:lang w:val="en-US" w:eastAsia="zh-CN"/>
              </w:rPr>
              <w:t>56</w:t>
            </w:r>
            <w:r>
              <w:rPr>
                <w:rStyle w:val="144"/>
                <w:rFonts w:hint="eastAsia" w:ascii="Times New Roman" w:hAnsi="Times New Roman" w:eastAsia="宋体" w:cs="Times New Roman"/>
                <w:color w:val="auto"/>
              </w:rPr>
              <w:t>m/s＜0.6m/s，停留时间</w:t>
            </w:r>
            <w:r>
              <w:rPr>
                <w:rStyle w:val="144"/>
                <w:rFonts w:hint="eastAsia" w:ascii="Times New Roman" w:hAnsi="Times New Roman" w:eastAsia="宋体" w:cs="Times New Roman"/>
                <w:color w:val="auto"/>
                <w:lang w:val="en-US" w:eastAsia="zh-CN"/>
              </w:rPr>
              <w:t>0.67</w:t>
            </w:r>
            <w:r>
              <w:rPr>
                <w:rStyle w:val="144"/>
                <w:rFonts w:hint="eastAsia" w:ascii="Times New Roman" w:hAnsi="Times New Roman" w:eastAsia="宋体" w:cs="Times New Roman"/>
                <w:color w:val="auto"/>
              </w:rPr>
              <w:t>s</w:t>
            </w:r>
            <w:r>
              <w:rPr>
                <w:rStyle w:val="144"/>
                <w:rFonts w:hint="eastAsia" w:ascii="Times New Roman" w:hAnsi="Times New Roman" w:eastAsia="宋体" w:cs="Times New Roman"/>
                <w:color w:val="auto"/>
                <w:lang w:eastAsia="zh-CN"/>
              </w:rPr>
              <w:t>，</w:t>
            </w:r>
            <w:r>
              <w:rPr>
                <w:rStyle w:val="144"/>
                <w:rFonts w:hint="eastAsia" w:ascii="Times New Roman" w:hAnsi="Times New Roman" w:eastAsia="宋体" w:cs="Times New Roman"/>
                <w:color w:val="auto"/>
                <w:lang w:val="en-US" w:eastAsia="zh-CN"/>
              </w:rPr>
              <w:t>满足相关要求</w:t>
            </w:r>
            <w:r>
              <w:rPr>
                <w:rStyle w:val="144"/>
                <w:rFonts w:hint="eastAsia" w:ascii="Times New Roman" w:hAnsi="Times New Roman" w:eastAsia="宋体" w:cs="Times New Roman"/>
                <w:color w:val="auto"/>
                <w:lang w:eastAsia="zh-CN"/>
              </w:rPr>
              <w:t>。</w:t>
            </w:r>
            <w:r>
              <w:rPr>
                <w:rStyle w:val="144"/>
                <w:rFonts w:hint="eastAsia" w:ascii="Times New Roman" w:hAnsi="Times New Roman" w:eastAsia="宋体" w:cs="Times New Roman"/>
                <w:color w:val="auto"/>
              </w:rPr>
              <w:t>本项目应根据文件要求采用指标合格的活性炭，本项目拟填颗粒状炭，符合规范要求。</w:t>
            </w:r>
          </w:p>
          <w:p w14:paraId="214D15B1">
            <w:pPr>
              <w:pStyle w:val="34"/>
              <w:adjustRightInd/>
              <w:spacing w:before="120" w:beforeLines="50" w:line="360" w:lineRule="auto"/>
              <w:ind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根据《关于印发&lt;无锡市建设项目环评审核要点（试行）&gt;的通知》（锡环发[2024]136号），二级颗粒活性炭吸附装置在规范设计的前提下，VOCs去除效率为85%，适宜治理浓度为＜200mg/m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，废气浓度50mg/m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以上可以达到90%去除率。本项目废气风量为</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000m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，一次装填量为</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t，装填满足要求；非甲烷总烃产生浓度为</w:t>
            </w:r>
            <w:r>
              <w:rPr>
                <w:rFonts w:hint="default" w:ascii="Times New Roman" w:hAnsi="Times New Roman" w:eastAsia="宋体" w:cs="Times New Roman"/>
                <w:color w:val="auto"/>
                <w:sz w:val="21"/>
                <w:szCs w:val="21"/>
                <w:lang w:val="en-US" w:eastAsia="zh-CN"/>
              </w:rPr>
              <w:t>9.2474</w:t>
            </w: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，去除率可达</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85</w:t>
            </w:r>
            <w:r>
              <w:rPr>
                <w:rFonts w:hint="default" w:ascii="Times New Roman" w:hAnsi="Times New Roman" w:eastAsia="宋体" w:cs="Times New Roman"/>
                <w:color w:val="000000" w:themeColor="text1"/>
                <w:sz w:val="21"/>
                <w:szCs w:val="21"/>
                <w14:textFill>
                  <w14:solidFill>
                    <w14:schemeClr w14:val="tx1"/>
                  </w14:solidFill>
                </w14:textFill>
              </w:rPr>
              <w:t>%。</w:t>
            </w:r>
          </w:p>
          <w:p w14:paraId="70129854">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t>袋式除尘器工作原理：含尘气体由灰斗(或下部宽敞开式法兰)进入过滤室，较粗颗粒直接落入灰斗或灰仓，灰尘气体经滤袋过滤，粉尘阻留于滤袋表面，净气经袋口到净气室、由风机排入大气，当滤袋表面的粉尘不断增加，导致设备阻力上升至设定值时，时间继电器(或微差压控制器)输出信号，程控仪开始工作，逐个开启脉冲阀，使压缩空气通过喷口对滤袋进行喷吹清灰，使滤袋突然膨胀，在反向气流的作用下，附于滤袋表面的粉尘迅速脱离滤袋落入灰斗(或灰仓)内，粉尘由卸灰阀排出，全部滤袋喷吹清灰结束后，除尘器恢复正常工作。</w:t>
            </w:r>
          </w:p>
          <w:p w14:paraId="6784D5C2">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t>袋式除尘器正常工作时，含尘气体由进风口进入灰斗，由于气体体积的急速膨胀，一部分较粗的尘粒受惯性或自然沉降等原因落入灰斗，其余大部分尘粒随气流上升进入袋室，经滤袋过滤后，尘粒被滞留在滤袋的外侧，净化后的气体由滤袋内部进入上箱体，再由阀板孔、排风口排入大气，从而达到除尘的目的。随着过滤的不断进行，除尘器阻力也随之上升，当阻力达到一定值时，清灰控制器发出清灰命令，首先将提升阀板关闭，切断过滤气流;然后，清灰控制器向脉冲电磁阀发出信号，随着脉冲阀把用作清灰的高压逆向气流送入袋内，滤袋迅速鼓胀，并产生强烈抖动，导致滤袋外侧的粉尘抖落，达到清灰的目的。由于设备分为若干个箱区，所以上述过程是逐箱进行的，一个箱区在清灰时，其余箱区仍在正常工作，保证了设备的连续正常运转。之所以能处理高浓度粉尘，关键在于这种强清灰所需清灰时间极短(喷吹一次只需0.1~0.2s)。</w:t>
            </w:r>
          </w:p>
          <w:p w14:paraId="12FB0A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Style w:val="144"/>
                <w:rFonts w:hint="eastAsia" w:ascii="Times New Roman" w:hAnsi="Times New Roman" w:eastAsia="宋体" w:cs="Times New Roman"/>
                <w:color w:val="auto"/>
              </w:rPr>
            </w:pPr>
            <w:r>
              <w:rPr>
                <w:rFonts w:hint="default" w:ascii="Times New Roman" w:hAnsi="Times New Roman" w:cs="Times New Roman"/>
                <w:b w:val="0"/>
                <w:bCs w:val="0"/>
                <w:color w:val="auto"/>
                <w:kern w:val="2"/>
                <w:sz w:val="21"/>
                <w:szCs w:val="21"/>
                <w:lang w:bidi="ar"/>
              </w:rPr>
              <w:t>根据张哲源《关于布袋除尘器技术及其应用需要注意的问题分析》（建筑工程技术与设计，2015年4月下）</w:t>
            </w:r>
            <w:r>
              <w:rPr>
                <w:rFonts w:hint="eastAsia" w:cs="Times New Roman"/>
                <w:b w:val="0"/>
                <w:bCs w:val="0"/>
                <w:color w:val="auto"/>
                <w:kern w:val="2"/>
                <w:sz w:val="21"/>
                <w:szCs w:val="21"/>
                <w:lang w:eastAsia="zh-CN" w:bidi="ar"/>
              </w:rPr>
              <w:t>、《袋式除尘器的除尘效率研究》（中国科技期刊数据库 工业B）</w:t>
            </w:r>
            <w:r>
              <w:rPr>
                <w:rFonts w:hint="default" w:ascii="Times New Roman" w:hAnsi="Times New Roman" w:cs="Times New Roman"/>
                <w:b w:val="0"/>
                <w:bCs w:val="0"/>
                <w:color w:val="auto"/>
                <w:kern w:val="2"/>
                <w:sz w:val="21"/>
                <w:szCs w:val="21"/>
                <w:lang w:bidi="ar"/>
              </w:rPr>
              <w:t>可知，布袋除尘器去除效率一般在99%以上，本报告</w:t>
            </w:r>
            <w:r>
              <w:rPr>
                <w:rFonts w:hint="eastAsia" w:cs="Times New Roman"/>
                <w:b w:val="0"/>
                <w:bCs w:val="0"/>
                <w:color w:val="auto"/>
                <w:kern w:val="2"/>
                <w:sz w:val="21"/>
                <w:szCs w:val="21"/>
                <w:lang w:val="en-US" w:eastAsia="zh-CN" w:bidi="ar"/>
              </w:rPr>
              <w:t>保守</w:t>
            </w:r>
            <w:r>
              <w:rPr>
                <w:rFonts w:hint="default" w:ascii="Times New Roman" w:hAnsi="Times New Roman" w:cs="Times New Roman"/>
                <w:b w:val="0"/>
                <w:bCs w:val="0"/>
                <w:color w:val="auto"/>
                <w:kern w:val="2"/>
                <w:sz w:val="21"/>
                <w:szCs w:val="21"/>
                <w:lang w:bidi="ar"/>
              </w:rPr>
              <w:t>按9</w:t>
            </w:r>
            <w:r>
              <w:rPr>
                <w:rFonts w:hint="eastAsia" w:cs="Times New Roman"/>
                <w:b w:val="0"/>
                <w:bCs w:val="0"/>
                <w:color w:val="auto"/>
                <w:kern w:val="2"/>
                <w:sz w:val="21"/>
                <w:szCs w:val="21"/>
                <w:lang w:val="en-US" w:eastAsia="zh-CN" w:bidi="ar"/>
              </w:rPr>
              <w:t>8</w:t>
            </w:r>
            <w:r>
              <w:rPr>
                <w:rFonts w:hint="default" w:ascii="Times New Roman" w:hAnsi="Times New Roman" w:cs="Times New Roman"/>
                <w:b w:val="0"/>
                <w:bCs w:val="0"/>
                <w:color w:val="auto"/>
                <w:kern w:val="2"/>
                <w:sz w:val="21"/>
                <w:szCs w:val="21"/>
                <w:lang w:bidi="ar"/>
              </w:rPr>
              <w:t>%计。</w:t>
            </w:r>
            <w:r>
              <w:rPr>
                <w:rFonts w:hint="eastAsia" w:ascii="Times New Roman" w:hAnsi="Times New Roman" w:eastAsia="宋体" w:cs="Times New Roman"/>
                <w:color w:val="auto"/>
                <w:sz w:val="21"/>
                <w:szCs w:val="21"/>
                <w:highlight w:val="none"/>
                <w:lang w:bidi="ar"/>
              </w:rPr>
              <w:t>布袋除尘器广泛应用于消除粉尘污染，改善环境，回收物料等。项目使用布袋除尘器去除粉尘从经济上和技术上都是可行的。</w:t>
            </w:r>
          </w:p>
          <w:p w14:paraId="053B7710">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fldChar w:fldCharType="begin"/>
            </w:r>
            <w:r>
              <w:rPr>
                <w:rStyle w:val="144"/>
                <w:rFonts w:hint="eastAsia" w:ascii="Times New Roman" w:hAnsi="Times New Roman" w:eastAsia="宋体" w:cs="Times New Roman"/>
                <w:color w:val="auto"/>
              </w:rPr>
              <w:instrText xml:space="preserve">= 3 \* GB3</w:instrText>
            </w:r>
            <w:r>
              <w:rPr>
                <w:rStyle w:val="144"/>
                <w:rFonts w:hint="eastAsia" w:ascii="Times New Roman" w:hAnsi="Times New Roman" w:eastAsia="宋体" w:cs="Times New Roman"/>
                <w:color w:val="auto"/>
              </w:rPr>
              <w:fldChar w:fldCharType="separate"/>
            </w:r>
            <w:r>
              <w:rPr>
                <w:rStyle w:val="144"/>
                <w:rFonts w:hint="eastAsia" w:ascii="Times New Roman" w:hAnsi="Times New Roman" w:eastAsia="宋体" w:cs="Times New Roman"/>
                <w:color w:val="auto"/>
              </w:rPr>
              <w:t>③</w:t>
            </w:r>
            <w:r>
              <w:rPr>
                <w:rStyle w:val="144"/>
                <w:rFonts w:hint="eastAsia" w:ascii="Times New Roman" w:hAnsi="Times New Roman" w:eastAsia="宋体" w:cs="Times New Roman"/>
                <w:color w:val="auto"/>
              </w:rPr>
              <w:fldChar w:fldCharType="end"/>
            </w:r>
            <w:r>
              <w:rPr>
                <w:rStyle w:val="144"/>
                <w:rFonts w:hint="eastAsia" w:ascii="Times New Roman" w:hAnsi="Times New Roman" w:eastAsia="宋体" w:cs="Times New Roman"/>
                <w:color w:val="auto"/>
              </w:rPr>
              <w:t>废气捕集率论证</w:t>
            </w:r>
          </w:p>
          <w:p w14:paraId="01ABDEEA">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t>本项目</w:t>
            </w:r>
            <w:r>
              <w:rPr>
                <w:rStyle w:val="144"/>
                <w:rFonts w:hint="eastAsia" w:ascii="Times New Roman" w:hAnsi="Times New Roman" w:eastAsia="宋体" w:cs="Times New Roman"/>
                <w:color w:val="auto"/>
                <w:lang w:val="en-US" w:eastAsia="zh-CN"/>
              </w:rPr>
              <w:t>注塑成型、粉碎</w:t>
            </w:r>
            <w:r>
              <w:rPr>
                <w:rStyle w:val="144"/>
                <w:rFonts w:hint="eastAsia" w:ascii="Times New Roman" w:hAnsi="Times New Roman" w:eastAsia="宋体" w:cs="Times New Roman"/>
                <w:color w:val="auto"/>
              </w:rPr>
              <w:t>通过采用上部吸风罩可以有效对废气进行收集，上部吸风罩集气效率的高低取决于吸风罩口敞开面积、罩口距污染源的距离及吸风罩吸风在污染物发生点产生的控制风速。参考《废气处理工程技术手册》（王纯、张殿印主编，化学工业出版社，2013版），集气罩排风量计算公式：</w:t>
            </w:r>
          </w:p>
          <w:p w14:paraId="6BC90964">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t>吸风罩排风量计算公式：</w:t>
            </w:r>
          </w:p>
          <w:p w14:paraId="563090FD">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t>Q=1.4×K×H×vx</w:t>
            </w:r>
          </w:p>
          <w:p w14:paraId="18531B33">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t>其中：</w:t>
            </w:r>
          </w:p>
          <w:p w14:paraId="7A58A1BC">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t>K——罩口敞开面周长；</w:t>
            </w:r>
          </w:p>
          <w:p w14:paraId="4B71C593">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t>H——罩口距污染源的距离；</w:t>
            </w:r>
          </w:p>
          <w:p w14:paraId="6CC394DB">
            <w:pPr>
              <w:pStyle w:val="135"/>
              <w:ind w:firstLine="504"/>
              <w:rPr>
                <w:rStyle w:val="144"/>
                <w:rFonts w:hint="eastAsia" w:ascii="Times New Roman" w:hAnsi="Times New Roman" w:eastAsia="宋体" w:cs="Times New Roman"/>
                <w:color w:val="auto"/>
              </w:rPr>
            </w:pPr>
            <w:r>
              <w:rPr>
                <w:rStyle w:val="144"/>
                <w:rFonts w:hint="eastAsia" w:ascii="Times New Roman" w:hAnsi="Times New Roman" w:eastAsia="宋体" w:cs="Times New Roman"/>
                <w:color w:val="auto"/>
              </w:rPr>
              <w:t>vx——控制风速，是保证污染物能被全部吸入罩内时控制点上必须具有的吸入速度。本项目取值0.3m/s。</w:t>
            </w:r>
          </w:p>
          <w:p w14:paraId="0EEA1BF4">
            <w:pPr>
              <w:pStyle w:val="135"/>
              <w:ind w:firstLine="504"/>
              <w:rPr>
                <w:rStyle w:val="144"/>
                <w:rFonts w:hint="default" w:ascii="Times New Roman" w:hAnsi="Times New Roman" w:eastAsia="宋体" w:cs="Times New Roman"/>
                <w:color w:val="auto"/>
              </w:rPr>
            </w:pPr>
            <w:r>
              <w:rPr>
                <w:rStyle w:val="144"/>
                <w:rFonts w:hint="default" w:ascii="Times New Roman" w:hAnsi="Times New Roman" w:eastAsia="宋体" w:cs="Times New Roman"/>
                <w:color w:val="auto"/>
                <w:lang w:val="en-US" w:eastAsia="zh-CN"/>
              </w:rPr>
              <w:t>根据企业提供资料，本项目</w:t>
            </w:r>
            <w:r>
              <w:rPr>
                <w:rStyle w:val="144"/>
                <w:rFonts w:hint="eastAsia" w:ascii="Times New Roman" w:hAnsi="Times New Roman" w:eastAsia="宋体" w:cs="Times New Roman"/>
                <w:color w:val="auto"/>
                <w:lang w:val="en-US" w:eastAsia="zh-CN"/>
              </w:rPr>
              <w:t>顶吸集气罩</w:t>
            </w:r>
            <w:r>
              <w:rPr>
                <w:rStyle w:val="144"/>
                <w:rFonts w:hint="default" w:ascii="Times New Roman" w:hAnsi="Times New Roman" w:eastAsia="宋体" w:cs="Times New Roman"/>
                <w:color w:val="auto"/>
                <w:lang w:val="en-US" w:eastAsia="zh-CN"/>
              </w:rPr>
              <w:t>距离产污工序装置约</w:t>
            </w:r>
            <w:r>
              <w:rPr>
                <w:rStyle w:val="144"/>
                <w:rFonts w:hint="eastAsia" w:ascii="Times New Roman" w:hAnsi="Times New Roman" w:eastAsia="宋体" w:cs="Times New Roman"/>
                <w:color w:val="auto"/>
                <w:lang w:val="en-US" w:eastAsia="zh-CN"/>
              </w:rPr>
              <w:t>0.2</w:t>
            </w:r>
            <w:r>
              <w:rPr>
                <w:rStyle w:val="144"/>
                <w:rFonts w:hint="default" w:ascii="Times New Roman" w:hAnsi="Times New Roman" w:eastAsia="宋体" w:cs="Times New Roman"/>
                <w:color w:val="auto"/>
                <w:lang w:val="en-US" w:eastAsia="zh-CN"/>
              </w:rPr>
              <w:t>m，根据大气污染控制工程系统设计参数，以缓慢释放的气态物质，最小控制风速可取0.25-0.5m/s，本项目选取0.</w:t>
            </w:r>
            <w:r>
              <w:rPr>
                <w:rStyle w:val="144"/>
                <w:rFonts w:hint="eastAsia" w:ascii="Times New Roman" w:hAnsi="Times New Roman" w:eastAsia="宋体" w:cs="Times New Roman"/>
                <w:color w:val="auto"/>
                <w:lang w:val="en-US" w:eastAsia="zh-CN"/>
              </w:rPr>
              <w:t>3</w:t>
            </w:r>
            <w:r>
              <w:rPr>
                <w:rStyle w:val="144"/>
                <w:rFonts w:hint="default" w:ascii="Times New Roman" w:hAnsi="Times New Roman" w:eastAsia="宋体" w:cs="Times New Roman"/>
                <w:color w:val="auto"/>
                <w:lang w:val="en-US" w:eastAsia="zh-CN"/>
              </w:rPr>
              <w:t>m/s。</w:t>
            </w:r>
          </w:p>
          <w:p w14:paraId="68DAB1A9">
            <w:pPr>
              <w:snapToGrid w:val="0"/>
              <w:spacing w:line="360" w:lineRule="auto"/>
              <w:ind w:firstLine="422" w:firstLineChars="200"/>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1.</w:t>
            </w:r>
            <w:r>
              <w:rPr>
                <w:rFonts w:hint="eastAsia" w:cs="Times New Roman"/>
                <w:b/>
                <w:color w:val="auto"/>
                <w:sz w:val="21"/>
                <w:szCs w:val="21"/>
                <w:lang w:val="en-US" w:eastAsia="zh-CN"/>
              </w:rPr>
              <w:t>3</w:t>
            </w:r>
            <w:r>
              <w:rPr>
                <w:rFonts w:hint="eastAsia" w:ascii="Times New Roman" w:hAnsi="Times New Roman" w:eastAsia="宋体" w:cs="Times New Roman"/>
                <w:b/>
                <w:color w:val="auto"/>
                <w:sz w:val="21"/>
                <w:szCs w:val="21"/>
              </w:rPr>
              <w:t>环境防护距离计算</w:t>
            </w:r>
          </w:p>
          <w:p w14:paraId="60C72379">
            <w:pPr>
              <w:adjustRightInd w:val="0"/>
              <w:snapToGrid w:val="0"/>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根据《大气有害物质无组织排放卫生防护距离推导技术导则》（GB/T 39499-2020）规范要求，为了防控通过无组织排放的大气污染物的健康危害，产生大气有害物质的生产单元（生产车间或作业场所）的边界至敏感区边界的最小距离。计算公式如下：</w:t>
            </w:r>
          </w:p>
          <w:p w14:paraId="52A8CE4B">
            <w:pPr>
              <w:adjustRightInd w:val="0"/>
              <w:snapToGrid w:val="0"/>
              <w:spacing w:line="360" w:lineRule="auto"/>
              <w:ind w:firstLine="420" w:firstLineChars="200"/>
              <w:jc w:val="center"/>
              <w:rPr>
                <w:rFonts w:hint="default" w:ascii="Times New Roman" w:hAnsi="Times New Roman" w:eastAsia="宋体" w:cs="Times New Roman"/>
                <w:sz w:val="21"/>
                <w:szCs w:val="21"/>
              </w:rPr>
            </w:pPr>
            <w:r>
              <w:rPr>
                <w:rFonts w:hint="default" w:ascii="Times New Roman" w:hAnsi="Times New Roman" w:eastAsia="宋体" w:cs="Times New Roman"/>
                <w:position w:val="-30"/>
                <w:sz w:val="21"/>
                <w:szCs w:val="21"/>
              </w:rPr>
              <w:object>
                <v:shape id="_x0000_i1025" o:spt="75" type="#_x0000_t75" style="height:30pt;width:156pt;" o:ole="t" filled="f" coordsize="21600,21600">
                  <v:path/>
                  <v:fill on="f" focussize="0,0"/>
                  <v:stroke/>
                  <v:imagedata r:id="rId9" o:title=""/>
                  <o:lock v:ext="edit" aspectratio="t"/>
                  <w10:wrap type="none"/>
                  <w10:anchorlock/>
                </v:shape>
                <o:OLEObject Type="Embed" ProgID="Equation.3" ShapeID="_x0000_i1025" DrawAspect="Content" ObjectID="_1468075725" r:id="rId8">
                  <o:LockedField>false</o:LockedField>
                </o:OLEObject>
              </w:object>
            </w:r>
          </w:p>
          <w:p w14:paraId="30FEFE52">
            <w:pPr>
              <w:adjustRightInd w:val="0"/>
              <w:snapToGrid w:val="0"/>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式中：</w:t>
            </w:r>
            <w:r>
              <w:rPr>
                <w:rFonts w:hint="default" w:ascii="Times New Roman" w:hAnsi="Times New Roman" w:eastAsia="宋体" w:cs="Times New Roman"/>
                <w:position w:val="-12"/>
                <w:sz w:val="21"/>
                <w:szCs w:val="21"/>
              </w:rPr>
              <w:object>
                <v:shape id="_x0000_i1026" o:spt="75" type="#_x0000_t75" style="height:16.5pt;width:16.5pt;" o:ole="t" filled="f" coordsize="21600,21600">
                  <v:path/>
                  <v:fill on="f" focussize="0,0"/>
                  <v:stroke/>
                  <v:imagedata r:id="rId11" o:title=""/>
                  <o:lock v:ext="edit" aspectratio="t"/>
                  <w10:wrap type="none"/>
                  <w10:anchorlock/>
                </v:shape>
                <o:OLEObject Type="Embed" ProgID="Equation.3" ShapeID="_x0000_i1026" DrawAspect="Content" ObjectID="_1468075726" r:id="rId10">
                  <o:LockedField>false</o:LockedField>
                </o:OLEObject>
              </w:object>
            </w:r>
            <w:r>
              <w:rPr>
                <w:rFonts w:hint="default" w:ascii="Times New Roman" w:hAnsi="Times New Roman" w:eastAsia="宋体" w:cs="Times New Roman"/>
                <w:sz w:val="21"/>
                <w:szCs w:val="21"/>
              </w:rPr>
              <w:t>------大气有害物质的无组织排放量，单位为千克每小时（kg/h）；</w:t>
            </w:r>
          </w:p>
          <w:p w14:paraId="416F58EB">
            <w:pPr>
              <w:adjustRightInd w:val="0"/>
              <w:snapToGrid w:val="0"/>
              <w:spacing w:line="360" w:lineRule="auto"/>
              <w:ind w:firstLine="1245" w:firstLineChars="593"/>
              <w:rPr>
                <w:rFonts w:hint="default" w:ascii="Times New Roman" w:hAnsi="Times New Roman" w:eastAsia="宋体" w:cs="Times New Roman"/>
                <w:sz w:val="21"/>
                <w:szCs w:val="21"/>
              </w:rPr>
            </w:pPr>
            <w:r>
              <w:rPr>
                <w:rFonts w:hint="default" w:ascii="Times New Roman" w:hAnsi="Times New Roman" w:eastAsia="宋体" w:cs="Times New Roman"/>
                <w:position w:val="-12"/>
                <w:sz w:val="21"/>
                <w:szCs w:val="21"/>
              </w:rPr>
              <w:object>
                <v:shape id="_x0000_i1027" o:spt="75" type="#_x0000_t75" style="height:16.5pt;width:16.5pt;" o:ole="t" filled="f" coordsize="21600,21600">
                  <v:path/>
                  <v:fill on="f" focussize="0,0"/>
                  <v:stroke/>
                  <v:imagedata r:id="rId13" o:title=""/>
                  <o:lock v:ext="edit" aspectratio="t"/>
                  <w10:wrap type="none"/>
                  <w10:anchorlock/>
                </v:shape>
                <o:OLEObject Type="Embed" ProgID="Equation.3" ShapeID="_x0000_i1027" DrawAspect="Content" ObjectID="_1468075727" r:id="rId12">
                  <o:LockedField>false</o:LockedField>
                </o:OLEObject>
              </w:object>
            </w:r>
            <w:r>
              <w:rPr>
                <w:rFonts w:hint="default" w:ascii="Times New Roman" w:hAnsi="Times New Roman" w:eastAsia="宋体" w:cs="Times New Roman"/>
                <w:sz w:val="21"/>
                <w:szCs w:val="21"/>
              </w:rPr>
              <w:t>-------大气有害物质环境空气质量的标准限值，单位为毫克每立方（mg/m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w:t>
            </w:r>
          </w:p>
          <w:p w14:paraId="67B313FF">
            <w:pPr>
              <w:adjustRightInd w:val="0"/>
              <w:snapToGrid w:val="0"/>
              <w:spacing w:line="360" w:lineRule="auto"/>
              <w:ind w:firstLine="1089" w:firstLineChars="51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L-------大气有害物质卫生防护距离初值，单位为米（m）；</w:t>
            </w:r>
          </w:p>
          <w:p w14:paraId="5C131BAA">
            <w:pPr>
              <w:adjustRightInd w:val="0"/>
              <w:snapToGrid w:val="0"/>
              <w:spacing w:line="360" w:lineRule="auto"/>
              <w:ind w:firstLine="1089" w:firstLineChars="51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r-------大气有害物质无组织排放源所在生产单元等效半径，单位为米（m）；</w:t>
            </w:r>
          </w:p>
          <w:p w14:paraId="64193687">
            <w:pPr>
              <w:adjustRightInd w:val="0"/>
              <w:snapToGrid w:val="0"/>
              <w:spacing w:line="360" w:lineRule="auto"/>
              <w:ind w:firstLine="1089" w:firstLineChars="51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A、B、C、D------卫生防护距离初值计算系数，无因次，根据工业企业所在地区近5年平均风速及大气污染源构成类别从表1查取。。</w:t>
            </w:r>
          </w:p>
          <w:p w14:paraId="2A2E5A69">
            <w:pPr>
              <w:spacing w:before="120" w:beforeLines="50" w:line="360" w:lineRule="auto"/>
              <w:ind w:firstLine="420" w:firstLineChars="200"/>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由于非甲烷总烃和颗粒物等标排放量相差10%以上，故选取</w:t>
            </w:r>
            <w:r>
              <w:rPr>
                <w:rFonts w:hint="eastAsia" w:ascii="Times New Roman" w:hAnsi="Times New Roman" w:eastAsia="宋体" w:cs="Times New Roman"/>
                <w:color w:val="auto"/>
                <w:szCs w:val="21"/>
                <w:lang w:val="en-US" w:eastAsia="zh-CN"/>
              </w:rPr>
              <w:t>等标排放量最大的污染物</w:t>
            </w:r>
            <w:r>
              <w:rPr>
                <w:rFonts w:hint="eastAsia" w:ascii="Times New Roman" w:hAnsi="Times New Roman" w:eastAsia="宋体" w:cs="Times New Roman"/>
                <w:color w:val="auto"/>
                <w:szCs w:val="21"/>
              </w:rPr>
              <w:t>非甲烷总烃作为本项目特征大气污染物计算卫生防护距离</w:t>
            </w:r>
            <w:r>
              <w:rPr>
                <w:rFonts w:hint="eastAsia" w:ascii="Times New Roman" w:hAnsi="Times New Roman" w:eastAsia="宋体" w:cs="Times New Roman"/>
                <w:color w:val="auto"/>
                <w:szCs w:val="21"/>
                <w:lang w:eastAsia="zh-CN"/>
              </w:rPr>
              <w:t>。</w:t>
            </w:r>
          </w:p>
          <w:p w14:paraId="45B02552">
            <w:pPr>
              <w:spacing w:before="120" w:beforeLines="50" w:line="36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zh-CN"/>
                <w14:textFill>
                  <w14:solidFill>
                    <w14:schemeClr w14:val="tx1"/>
                  </w14:solidFill>
                </w14:textFill>
              </w:rPr>
              <w:t>根据《大气有害物质无组织排放卫生防护距离推导技术导则》（GB/T39499-2020），当企业某生产单元的无组织排放存在多种特征大气有害物质时，如果分别推导出的卫生防护距离初值在同一级别时，则该企业的卫生防护距离终值应提高一级。</w:t>
            </w:r>
            <w:r>
              <w:rPr>
                <w:rFonts w:hint="default" w:ascii="Times New Roman" w:hAnsi="Times New Roman" w:eastAsia="宋体" w:cs="Times New Roman"/>
                <w:color w:val="000000" w:themeColor="text1"/>
                <w:szCs w:val="21"/>
                <w14:textFill>
                  <w14:solidFill>
                    <w14:schemeClr w14:val="tx1"/>
                  </w14:solidFill>
                </w14:textFill>
              </w:rPr>
              <w:t>因此以生产车间为边界设置100米卫生防护距离</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lang w:val="zh-CN"/>
                <w14:textFill>
                  <w14:solidFill>
                    <w14:schemeClr w14:val="tx1"/>
                  </w14:solidFill>
                </w14:textFill>
              </w:rPr>
              <w:t>根据现场勘查，</w:t>
            </w:r>
            <w:r>
              <w:rPr>
                <w:rFonts w:hint="eastAsia" w:ascii="Times New Roman" w:hAnsi="Times New Roman" w:eastAsia="宋体" w:cs="Times New Roman"/>
                <w:color w:val="000000" w:themeColor="text1"/>
                <w:szCs w:val="21"/>
                <w14:textFill>
                  <w14:solidFill>
                    <w14:schemeClr w14:val="tx1"/>
                  </w14:solidFill>
                </w14:textFill>
              </w:rPr>
              <w:t>该卫生防护距离内没有居民、学校、医院等敏感保护目标，</w:t>
            </w:r>
            <w:r>
              <w:rPr>
                <w:rFonts w:hint="eastAsia" w:ascii="Times New Roman" w:hAnsi="Times New Roman" w:eastAsia="宋体" w:cs="Times New Roman"/>
                <w:color w:val="000000" w:themeColor="text1"/>
                <w:szCs w:val="21"/>
                <w:lang w:val="zh-CN"/>
                <w14:textFill>
                  <w14:solidFill>
                    <w14:schemeClr w14:val="tx1"/>
                  </w14:solidFill>
                </w14:textFill>
              </w:rPr>
              <w:t>今后也不得新建居民区、医院、学校等环境敏感点。</w:t>
            </w:r>
          </w:p>
          <w:p w14:paraId="11948FE0">
            <w:pPr>
              <w:adjustRightInd w:val="0"/>
              <w:snapToGrid w:val="0"/>
              <w:spacing w:line="360" w:lineRule="auto"/>
              <w:ind w:firstLine="422" w:firstLineChars="20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1.</w:t>
            </w:r>
            <w:r>
              <w:rPr>
                <w:rFonts w:hint="eastAsia" w:ascii="Times New Roman" w:hAnsi="Times New Roman" w:eastAsia="宋体" w:cs="Times New Roman"/>
                <w:b/>
                <w:color w:val="auto"/>
                <w:sz w:val="21"/>
                <w:szCs w:val="21"/>
                <w:lang w:val="en-US" w:eastAsia="zh-CN"/>
              </w:rPr>
              <w:t>4</w:t>
            </w:r>
            <w:r>
              <w:rPr>
                <w:rFonts w:hint="default" w:ascii="Times New Roman" w:hAnsi="Times New Roman" w:eastAsia="宋体" w:cs="Times New Roman"/>
                <w:b/>
                <w:color w:val="auto"/>
                <w:sz w:val="21"/>
                <w:szCs w:val="21"/>
              </w:rPr>
              <w:t>非正常工况</w:t>
            </w:r>
          </w:p>
          <w:p w14:paraId="0B602E57">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非正常工况指生产过程中开、停车（工、炉）状态、设备检修、工艺设备运转异常等非正常工况下的污染物排放，以及污染物排放控制措施达不到应有效率等情况下的排放。</w:t>
            </w:r>
          </w:p>
          <w:p w14:paraId="03DE684C">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根据工程分析，本项目非正常排放主要考虑开停车非正常工况、废气处理装置突发检修非正常工况，污染防治设施因维护不到位达不到应有治理效率非正常工况等，此时废气未有效处置排入大气，将造成周围大气环境污染。全年异常年发生频次按照1次/年计，单次持续时间为0.5小时。</w:t>
            </w:r>
          </w:p>
          <w:p w14:paraId="06B0D453">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本环评拟从下面几个方面建议建设单位做好防范工作：</w:t>
            </w:r>
          </w:p>
          <w:p w14:paraId="48CE2F58">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w:t>
            </w:r>
            <w:r>
              <w:rPr>
                <w:rFonts w:hint="default" w:ascii="Times New Roman" w:hAnsi="Times New Roman" w:eastAsia="宋体" w:cs="Times New Roman"/>
                <w:color w:val="auto"/>
                <w:sz w:val="21"/>
                <w:szCs w:val="21"/>
              </w:rPr>
              <w:t>、定期检查废气处理设施，加强废气处理设施的日常管理，出现异常时及时采取应急措施，若出现非正常工况，立即停车进行检修，杜绝对环境造成持续性影响。</w:t>
            </w:r>
          </w:p>
          <w:p w14:paraId="28FB2FD7">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w:t>
            </w:r>
            <w:r>
              <w:rPr>
                <w:rFonts w:hint="default" w:ascii="Times New Roman" w:hAnsi="Times New Roman" w:eastAsia="宋体" w:cs="Times New Roman"/>
                <w:color w:val="auto"/>
                <w:sz w:val="21"/>
                <w:szCs w:val="21"/>
              </w:rPr>
              <w:t>、平时注意废气处理设施的维护，及时发现处理设施的隐患，确保废气处理系统正常运行：开、停、检修要有预案，有严密周全的计划，确保不发生非正常排放，或使影响最小。</w:t>
            </w:r>
          </w:p>
          <w:p w14:paraId="47672206">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c</w:t>
            </w:r>
            <w:r>
              <w:rPr>
                <w:rFonts w:hint="default" w:ascii="Times New Roman" w:hAnsi="Times New Roman" w:eastAsia="宋体" w:cs="Times New Roman"/>
                <w:color w:val="auto"/>
                <w:sz w:val="21"/>
                <w:szCs w:val="21"/>
              </w:rPr>
              <w:t>、应设有备用电源和备用处理设备和零件，以备停电或设备出现故障时保障及时更换使废气全部做到达标排放。</w:t>
            </w:r>
          </w:p>
          <w:p w14:paraId="5A910EA1">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d、对员工进行岗位培训。做好值班记录，实行岗位责任制。</w:t>
            </w:r>
          </w:p>
          <w:p w14:paraId="4A638D5C">
            <w:pPr>
              <w:adjustRightInd w:val="0"/>
              <w:snapToGrid w:val="0"/>
              <w:spacing w:line="360" w:lineRule="auto"/>
              <w:ind w:firstLine="420" w:firstLineChars="200"/>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本项目投产后，需加强环保管理，杜绝废气的不正常排放发生。</w:t>
            </w:r>
          </w:p>
          <w:p w14:paraId="048FB8D5">
            <w:pPr>
              <w:adjustRightInd w:val="0"/>
              <w:snapToGrid w:val="0"/>
              <w:spacing w:line="360" w:lineRule="auto"/>
              <w:ind w:firstLine="422" w:firstLineChars="200"/>
              <w:rPr>
                <w:rFonts w:hint="eastAsia"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1.</w:t>
            </w:r>
            <w:r>
              <w:rPr>
                <w:rFonts w:hint="eastAsia" w:cs="Times New Roman"/>
                <w:b/>
                <w:color w:val="auto"/>
                <w:sz w:val="21"/>
                <w:szCs w:val="21"/>
                <w:lang w:val="en-US" w:eastAsia="zh-CN"/>
              </w:rPr>
              <w:t>5</w:t>
            </w:r>
            <w:r>
              <w:rPr>
                <w:rFonts w:hint="eastAsia" w:ascii="Times New Roman" w:hAnsi="Times New Roman" w:eastAsia="宋体" w:cs="Times New Roman"/>
                <w:b/>
                <w:color w:val="auto"/>
                <w:sz w:val="21"/>
                <w:szCs w:val="21"/>
              </w:rPr>
              <w:t>正常工况</w:t>
            </w:r>
          </w:p>
          <w:p w14:paraId="5F23BAA6">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本项目单位产品非甲烷总烃排放量=</w:t>
            </w:r>
            <w:r>
              <w:rPr>
                <w:rFonts w:hint="eastAsia" w:ascii="Times New Roman" w:hAnsi="Times New Roman" w:eastAsia="宋体" w:cs="Times New Roman"/>
                <w:color w:val="auto"/>
                <w:sz w:val="21"/>
                <w:szCs w:val="21"/>
                <w:lang w:val="en-US" w:eastAsia="zh-CN"/>
              </w:rPr>
              <w:t>0.0928</w:t>
            </w:r>
            <w:r>
              <w:rPr>
                <w:rFonts w:hint="eastAsia" w:ascii="Times New Roman" w:hAnsi="Times New Roman" w:eastAsia="宋体" w:cs="Times New Roman"/>
                <w:color w:val="auto"/>
                <w:sz w:val="21"/>
                <w:szCs w:val="21"/>
              </w:rPr>
              <w:t>×1000/</w:t>
            </w:r>
            <w:r>
              <w:rPr>
                <w:rFonts w:hint="eastAsia" w:ascii="Times New Roman" w:hAnsi="Times New Roman" w:eastAsia="宋体" w:cs="Times New Roman"/>
                <w:color w:val="auto"/>
                <w:sz w:val="21"/>
                <w:szCs w:val="21"/>
                <w:lang w:val="en-US" w:eastAsia="zh-CN"/>
              </w:rPr>
              <w:t>1127</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0.0823</w:t>
            </w:r>
            <w:r>
              <w:rPr>
                <w:rFonts w:hint="eastAsia" w:ascii="Times New Roman" w:hAnsi="Times New Roman" w:eastAsia="宋体" w:cs="Times New Roman"/>
                <w:color w:val="auto"/>
                <w:sz w:val="21"/>
                <w:szCs w:val="21"/>
              </w:rPr>
              <w:t>kg/t＜0.3kg/t，单位产品非甲烷总烃排放量可达《合成树脂工业污染物排放标准》（GB31572-2015）表5中标准。</w:t>
            </w:r>
          </w:p>
          <w:p w14:paraId="564C2307">
            <w:pPr>
              <w:adjustRightInd w:val="0"/>
              <w:snapToGrid w:val="0"/>
              <w:spacing w:line="360" w:lineRule="auto"/>
              <w:ind w:firstLine="420" w:firstLineChars="200"/>
              <w:rPr>
                <w:rFonts w:hint="eastAsia" w:ascii="Times New Roman" w:hAnsi="Times New Roman" w:eastAsia="宋体" w:cs="Times New Roman"/>
                <w:b/>
                <w:color w:val="auto"/>
                <w:sz w:val="21"/>
                <w:szCs w:val="21"/>
                <w:lang w:eastAsia="zh-CN"/>
              </w:rPr>
            </w:pPr>
            <w:r>
              <w:rPr>
                <w:rFonts w:hint="default"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颗粒物</w:t>
            </w:r>
            <w:r>
              <w:rPr>
                <w:rFonts w:hint="default" w:ascii="Times New Roman" w:hAnsi="Times New Roman" w:eastAsia="宋体" w:cs="Times New Roman"/>
                <w:color w:val="auto"/>
                <w:sz w:val="21"/>
                <w:szCs w:val="21"/>
              </w:rPr>
              <w:t>执行《合成树脂工业污染物排放标准》GB31572-2015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含2024年修改单</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表5、表9中标准</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厂区内非甲烷总烃无组织排放执行江苏省地标《大气污染物综合排放标准》（DB32/4041-2021）表2标准</w:t>
            </w:r>
          </w:p>
          <w:p w14:paraId="1AE3CC6C">
            <w:pPr>
              <w:adjustRightInd w:val="0"/>
              <w:snapToGrid w:val="0"/>
              <w:spacing w:line="360" w:lineRule="auto"/>
              <w:ind w:firstLine="422" w:firstLineChars="20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1.</w:t>
            </w:r>
            <w:r>
              <w:rPr>
                <w:rFonts w:hint="eastAsia" w:cs="Times New Roman"/>
                <w:b/>
                <w:color w:val="auto"/>
                <w:sz w:val="21"/>
                <w:szCs w:val="21"/>
                <w:lang w:val="en-US" w:eastAsia="zh-CN"/>
              </w:rPr>
              <w:t>6</w:t>
            </w:r>
            <w:r>
              <w:rPr>
                <w:rFonts w:hint="eastAsia" w:ascii="Times New Roman" w:hAnsi="Times New Roman" w:eastAsia="宋体" w:cs="Times New Roman"/>
                <w:b/>
                <w:color w:val="auto"/>
                <w:sz w:val="21"/>
                <w:szCs w:val="21"/>
              </w:rPr>
              <w:t>监测计划</w:t>
            </w:r>
          </w:p>
          <w:p w14:paraId="5DF67B05">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根据《排污单位自行监测技术指南 橡胶和塑料制品》（HJ1207-2021）开展自行监测，本项目营运期废气监测计划见下表。</w:t>
            </w:r>
          </w:p>
          <w:p w14:paraId="38F623A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b/>
                <w:bCs/>
                <w:sz w:val="21"/>
                <w:szCs w:val="21"/>
              </w:rPr>
            </w:pPr>
            <w:r>
              <w:rPr>
                <w:b/>
                <w:bCs/>
                <w:sz w:val="21"/>
                <w:szCs w:val="21"/>
              </w:rPr>
              <w:t>1.</w:t>
            </w:r>
            <w:r>
              <w:rPr>
                <w:rFonts w:hint="eastAsia"/>
                <w:b/>
                <w:bCs/>
                <w:sz w:val="21"/>
                <w:szCs w:val="21"/>
                <w:lang w:val="en-US" w:eastAsia="zh-CN"/>
              </w:rPr>
              <w:t>7</w:t>
            </w:r>
            <w:r>
              <w:rPr>
                <w:rFonts w:hint="eastAsia"/>
                <w:b/>
                <w:bCs/>
                <w:sz w:val="21"/>
                <w:szCs w:val="21"/>
              </w:rPr>
              <w:t>大气环境影响</w:t>
            </w:r>
          </w:p>
          <w:p w14:paraId="693DCB7E">
            <w:pPr>
              <w:adjustRightInd w:val="0"/>
              <w:snapToGrid w:val="0"/>
              <w:spacing w:line="360" w:lineRule="auto"/>
              <w:ind w:firstLine="420" w:firstLineChars="200"/>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auto"/>
                <w:sz w:val="21"/>
                <w:szCs w:val="21"/>
              </w:rPr>
              <w:t>经污染治理措施处理后，各污染物排放浓度、速率均满足相应标准。本项目各废气污染物达标排放，对周围大气环境影响较小，环境影响可接受。</w:t>
            </w:r>
          </w:p>
          <w:p w14:paraId="256EE59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Times New Roman" w:hAnsi="Times New Roman" w:cs="Times New Roman"/>
                <w:b/>
                <w:bCs/>
                <w:sz w:val="21"/>
                <w:szCs w:val="21"/>
              </w:rPr>
            </w:pPr>
            <w:r>
              <w:rPr>
                <w:rFonts w:hint="eastAsia" w:ascii="Times New Roman" w:hAnsi="Times New Roman" w:cs="Times New Roman"/>
                <w:b/>
                <w:bCs/>
                <w:sz w:val="21"/>
                <w:szCs w:val="21"/>
              </w:rPr>
              <w:t>2、废水</w:t>
            </w:r>
          </w:p>
          <w:p w14:paraId="2A69EDF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imes New Roman" w:hAnsi="Times New Roman" w:cs="Times New Roman"/>
                <w:b/>
                <w:bCs/>
                <w:sz w:val="21"/>
                <w:szCs w:val="21"/>
              </w:rPr>
            </w:pPr>
            <w:r>
              <w:rPr>
                <w:rFonts w:hint="eastAsia" w:ascii="Times New Roman" w:hAnsi="Times New Roman" w:cs="Times New Roman"/>
                <w:b/>
                <w:bCs/>
                <w:sz w:val="21"/>
                <w:szCs w:val="21"/>
              </w:rPr>
              <w:t>2.1废水产排污情况</w:t>
            </w:r>
          </w:p>
          <w:p w14:paraId="3CDB64CA">
            <w:pPr>
              <w:adjustRightInd w:val="0"/>
              <w:snapToGrid w:val="0"/>
              <w:spacing w:line="360" w:lineRule="auto"/>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本项目废水主要为生活污水，产生量为</w:t>
            </w:r>
            <w:r>
              <w:rPr>
                <w:rFonts w:hint="eastAsia" w:ascii="Times New Roman" w:hAnsi="Times New Roman" w:cs="Times New Roman"/>
                <w:color w:val="auto"/>
                <w:sz w:val="21"/>
                <w:szCs w:val="21"/>
                <w:lang w:val="en-US" w:eastAsia="zh-CN"/>
              </w:rPr>
              <w:t>360</w:t>
            </w:r>
            <w:r>
              <w:rPr>
                <w:rFonts w:hint="eastAsia" w:ascii="Times New Roman" w:hAnsi="Times New Roman" w:eastAsia="宋体" w:cs="Times New Roman"/>
                <w:color w:val="auto"/>
                <w:sz w:val="21"/>
                <w:szCs w:val="21"/>
              </w:rPr>
              <w:t>t/a，本项目废水产生情况详见表4-</w:t>
            </w:r>
            <w:r>
              <w:rPr>
                <w:rFonts w:hint="eastAsia" w:cs="Times New Roman"/>
                <w:color w:val="auto"/>
                <w:sz w:val="21"/>
                <w:szCs w:val="21"/>
                <w:lang w:val="en-US" w:eastAsia="zh-CN"/>
              </w:rPr>
              <w:t>12</w:t>
            </w:r>
            <w:r>
              <w:rPr>
                <w:rFonts w:hint="eastAsia" w:ascii="Times New Roman" w:hAnsi="Times New Roman" w:eastAsia="宋体" w:cs="Times New Roman"/>
                <w:color w:val="auto"/>
                <w:sz w:val="21"/>
                <w:szCs w:val="21"/>
              </w:rPr>
              <w:t>。</w:t>
            </w:r>
          </w:p>
          <w:p w14:paraId="34CAFFAD">
            <w:pPr>
              <w:adjustRightInd w:val="0"/>
              <w:snapToGrid w:val="0"/>
              <w:spacing w:line="360" w:lineRule="auto"/>
              <w:ind w:firstLine="420" w:firstLineChars="20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本项目生活污水经化粪池处理后</w:t>
            </w:r>
            <w:r>
              <w:rPr>
                <w:rFonts w:hint="eastAsia" w:ascii="Times New Roman" w:hAnsi="Times New Roman" w:cs="Times New Roman"/>
                <w:color w:val="auto"/>
                <w:sz w:val="21"/>
                <w:szCs w:val="21"/>
                <w:lang w:val="en-US" w:eastAsia="zh-CN"/>
              </w:rPr>
              <w:t>接入</w:t>
            </w:r>
            <w:r>
              <w:rPr>
                <w:rFonts w:hint="eastAsia"/>
                <w:color w:val="000000" w:themeColor="text1"/>
                <w:szCs w:val="21"/>
                <w14:textFill>
                  <w14:solidFill>
                    <w14:schemeClr w14:val="tx1"/>
                  </w14:solidFill>
                </w14:textFill>
              </w:rPr>
              <w:t>江阴市月城综合污水处理有限公司</w:t>
            </w:r>
            <w:r>
              <w:rPr>
                <w:color w:val="000000" w:themeColor="text1"/>
                <w:szCs w:val="21"/>
                <w14:textFill>
                  <w14:solidFill>
                    <w14:schemeClr w14:val="tx1"/>
                  </w14:solidFill>
                </w14:textFill>
              </w:rPr>
              <w:t>集中处理</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排放</w:t>
            </w:r>
            <w:r>
              <w:rPr>
                <w:rFonts w:hint="eastAsia"/>
                <w:color w:val="000000" w:themeColor="text1"/>
                <w:szCs w:val="21"/>
                <w14:textFill>
                  <w14:solidFill>
                    <w14:schemeClr w14:val="tx1"/>
                  </w14:solidFill>
                </w14:textFill>
              </w:rPr>
              <w:t>标准</w:t>
            </w:r>
            <w:r>
              <w:rPr>
                <w:color w:val="000000" w:themeColor="text1"/>
                <w:szCs w:val="21"/>
                <w14:textFill>
                  <w14:solidFill>
                    <w14:schemeClr w14:val="tx1"/>
                  </w14:solidFill>
                </w14:textFill>
              </w:rPr>
              <w:t>执行</w:t>
            </w:r>
            <w:r>
              <w:rPr>
                <w:rFonts w:hint="eastAsia"/>
                <w:color w:val="000000" w:themeColor="text1"/>
                <w:szCs w:val="21"/>
                <w14:textFill>
                  <w14:solidFill>
                    <w14:schemeClr w14:val="tx1"/>
                  </w14:solidFill>
                </w14:textFill>
              </w:rPr>
              <w:t>《城镇污水处理厂污染物排放标准》（GB18918-2002）中表1一级A标准及《太湖地区城镇污水处理厂及重点工业行业主要水污染物排放限值》（DB32/1072-2018）表2标准</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江阴市月城综合污水处理有限公司预计于2</w:t>
            </w:r>
            <w:r>
              <w:rPr>
                <w:color w:val="000000" w:themeColor="text1"/>
                <w:szCs w:val="21"/>
                <w14:textFill>
                  <w14:solidFill>
                    <w14:schemeClr w14:val="tx1"/>
                  </w14:solidFill>
                </w14:textFill>
              </w:rPr>
              <w:t>026</w:t>
            </w:r>
            <w:r>
              <w:rPr>
                <w:rFonts w:hint="eastAsia"/>
                <w:color w:val="000000" w:themeColor="text1"/>
                <w:szCs w:val="21"/>
                <w14:textFill>
                  <w14:solidFill>
                    <w14:schemeClr w14:val="tx1"/>
                  </w14:solidFill>
                </w14:textFill>
              </w:rPr>
              <w:t>年进行扩建，扩建后排口迁移，尾水排入创新河，</w:t>
            </w:r>
            <w:r>
              <w:rPr>
                <w:color w:val="000000" w:themeColor="text1"/>
                <w:szCs w:val="21"/>
                <w14:textFill>
                  <w14:solidFill>
                    <w14:schemeClr w14:val="tx1"/>
                  </w14:solidFill>
                </w14:textFill>
              </w:rPr>
              <w:t>排放</w:t>
            </w:r>
            <w:r>
              <w:rPr>
                <w:rFonts w:hint="eastAsia"/>
                <w:color w:val="000000" w:themeColor="text1"/>
                <w:szCs w:val="21"/>
                <w14:textFill>
                  <w14:solidFill>
                    <w14:schemeClr w14:val="tx1"/>
                  </w14:solidFill>
                </w14:textFill>
              </w:rPr>
              <w:t>标准</w:t>
            </w:r>
            <w:r>
              <w:rPr>
                <w:color w:val="000000" w:themeColor="text1"/>
                <w:szCs w:val="21"/>
                <w14:textFill>
                  <w14:solidFill>
                    <w14:schemeClr w14:val="tx1"/>
                  </w14:solidFill>
                </w14:textFill>
              </w:rPr>
              <w:t>执行</w:t>
            </w:r>
            <w:r>
              <w:rPr>
                <w:rFonts w:hint="eastAsia"/>
                <w:color w:val="000000" w:themeColor="text1"/>
                <w:szCs w:val="21"/>
                <w14:textFill>
                  <w14:solidFill>
                    <w14:schemeClr w14:val="tx1"/>
                  </w14:solidFill>
                </w14:textFill>
              </w:rPr>
              <w:t>《城镇污水处理厂污染物排放标准》（DB32/4440-2022）表1中</w:t>
            </w:r>
            <w:r>
              <w:rPr>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标准。</w:t>
            </w:r>
          </w:p>
          <w:p w14:paraId="51EE9E6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imes New Roman" w:hAnsi="Times New Roman" w:cs="Times New Roman"/>
                <w:b/>
                <w:bCs/>
                <w:sz w:val="21"/>
                <w:szCs w:val="21"/>
              </w:rPr>
            </w:pPr>
            <w:r>
              <w:rPr>
                <w:rFonts w:hint="eastAsia" w:ascii="Times New Roman" w:hAnsi="Times New Roman" w:cs="Times New Roman"/>
                <w:b/>
                <w:bCs/>
                <w:sz w:val="21"/>
                <w:szCs w:val="21"/>
              </w:rPr>
              <w:t>2.2接管可行性分析</w:t>
            </w:r>
          </w:p>
          <w:p w14:paraId="64AF8FD9">
            <w:pPr>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本项目生活污水接管江阴市月城综合污水处理有限公司处理，江阴市月城综合污水处理有限公司位于江阴市月城镇月城工业园区月翔路24号，现状和规划均为城镇污水处理厂，主要处理全镇的生活污水以及部分工业废水，服务范围38平方公里。一期工程规模为设计能力0.5万吨/日，二期工程规模设计能力0.5万吨/日，现共有处理设施1万吨。2003年江阴市月城综合污水处理有限公司分期建设1万t/d的污水处理装置，该项目于2003年11月11日取得江阴市环境保护局批复，一期工程于2005年12月通过江阴市环境保护局验收，二期工程于2009年9月通过江阴市环境保护局验收。江阴市月城综合污水处理有限公司现状服务范围为38平方公里，收水范围覆盖范围月城镇全镇，现状污水重力管道管径DN400，压力管道DN315~DN1000。</w:t>
            </w:r>
          </w:p>
          <w:p w14:paraId="382F3D91">
            <w:pPr>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江阴市月城综合污水处理有限公司采用主要处理工艺为“初沉池+调节池+厌氧池+缺氧好氧生化池+生化沉淀池+混凝反应池+物化沉淀池+生物滤池处理后达到《城镇污水处理厂污染物排放标准》（GB18918-2002）中表1一级A标准及《太湖地区城镇污水处理厂及重点工业行业主要水污染物排放限值》（DB32/1072-2018）表2标准，达标后排入锡澄运河。江阴市月城综合污水处理有限公司现状设计处理能力1万t/d，其中工业废水占比生活污水占比24%。2022年实际平均处理水量为0.86万t/d，余量0.14万t/d。</w:t>
            </w:r>
          </w:p>
          <w:p w14:paraId="69AE9F02">
            <w:pPr>
              <w:snapToGrid w:val="0"/>
              <w:spacing w:line="360" w:lineRule="auto"/>
              <w:ind w:left="420"/>
              <w:rPr>
                <w:color w:val="000000" w:themeColor="text1"/>
                <w:szCs w:val="21"/>
                <w14:textFill>
                  <w14:solidFill>
                    <w14:schemeClr w14:val="tx1"/>
                  </w14:solidFill>
                </w14:textFill>
              </w:rPr>
            </w:pPr>
            <w:r>
              <w:rPr>
                <w:color w:val="000000" w:themeColor="text1"/>
                <w:szCs w:val="21"/>
                <w14:textFill>
                  <w14:solidFill>
                    <w14:schemeClr w14:val="tx1"/>
                  </w14:solidFill>
                </w14:textFill>
              </w:rPr>
              <w:t>①水量接管可行</w:t>
            </w:r>
          </w:p>
          <w:p w14:paraId="6B16EEBC">
            <w:pPr>
              <w:snapToGrid w:val="0"/>
              <w:spacing w:line="360" w:lineRule="auto"/>
              <w:ind w:firstLine="420" w:firstLineChars="200"/>
              <w:rPr>
                <w:bCs/>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江阴市月城综合污水处理有限公司现有</w:t>
            </w:r>
            <w:r>
              <w:rPr>
                <w:bCs/>
                <w:color w:val="000000" w:themeColor="text1"/>
                <w:szCs w:val="21"/>
                <w14:textFill>
                  <w14:solidFill>
                    <w14:schemeClr w14:val="tx1"/>
                  </w14:solidFill>
                </w14:textFill>
              </w:rPr>
              <w:t>污水处理能力为</w:t>
            </w:r>
            <w:r>
              <w:rPr>
                <w:rFonts w:hint="eastAsia"/>
                <w:bCs/>
                <w:color w:val="000000" w:themeColor="text1"/>
                <w:szCs w:val="21"/>
                <w14:textFill>
                  <w14:solidFill>
                    <w14:schemeClr w14:val="tx1"/>
                  </w14:solidFill>
                </w14:textFill>
              </w:rPr>
              <w:t>1</w:t>
            </w:r>
            <w:r>
              <w:rPr>
                <w:bCs/>
                <w:color w:val="000000" w:themeColor="text1"/>
                <w:szCs w:val="21"/>
                <w14:textFill>
                  <w14:solidFill>
                    <w14:schemeClr w14:val="tx1"/>
                  </w14:solidFill>
                </w14:textFill>
              </w:rPr>
              <w:t>万t/d，本项目生活污水废水排放量为360t/a（1.2t/d），废水排放量占污水厂处理量的比例较小，</w:t>
            </w:r>
            <w:r>
              <w:rPr>
                <w:rFonts w:hint="eastAsia"/>
                <w:color w:val="000000" w:themeColor="text1"/>
                <w:kern w:val="0"/>
                <w:szCs w:val="21"/>
                <w14:textFill>
                  <w14:solidFill>
                    <w14:schemeClr w14:val="tx1"/>
                  </w14:solidFill>
                </w14:textFill>
              </w:rPr>
              <w:t>江阴市月城综合污水处理有限公司</w:t>
            </w:r>
            <w:r>
              <w:rPr>
                <w:bCs/>
                <w:color w:val="000000" w:themeColor="text1"/>
                <w:szCs w:val="21"/>
                <w14:textFill>
                  <w14:solidFill>
                    <w14:schemeClr w14:val="tx1"/>
                  </w14:solidFill>
                </w14:textFill>
              </w:rPr>
              <w:t>目前</w:t>
            </w:r>
            <w:r>
              <w:rPr>
                <w:rFonts w:hint="eastAsia"/>
                <w:bCs/>
                <w:color w:val="000000" w:themeColor="text1"/>
                <w:szCs w:val="21"/>
                <w14:textFill>
                  <w14:solidFill>
                    <w14:schemeClr w14:val="tx1"/>
                  </w14:solidFill>
                </w14:textFill>
              </w:rPr>
              <w:t>余量0.14万t/d，有能力</w:t>
            </w:r>
            <w:r>
              <w:rPr>
                <w:bCs/>
                <w:color w:val="000000" w:themeColor="text1"/>
                <w:szCs w:val="21"/>
                <w14:textFill>
                  <w14:solidFill>
                    <w14:schemeClr w14:val="tx1"/>
                  </w14:solidFill>
                </w14:textFill>
              </w:rPr>
              <w:t>接纳本项目的污水，从处理规模上讲，接管进入</w:t>
            </w:r>
            <w:r>
              <w:rPr>
                <w:rFonts w:hint="eastAsia"/>
                <w:color w:val="000000" w:themeColor="text1"/>
                <w:kern w:val="0"/>
                <w:szCs w:val="21"/>
                <w14:textFill>
                  <w14:solidFill>
                    <w14:schemeClr w14:val="tx1"/>
                  </w14:solidFill>
                </w14:textFill>
              </w:rPr>
              <w:t>江阴市月城综合污水处理有限公司</w:t>
            </w:r>
            <w:r>
              <w:rPr>
                <w:bCs/>
                <w:color w:val="000000" w:themeColor="text1"/>
                <w:szCs w:val="21"/>
                <w14:textFill>
                  <w14:solidFill>
                    <w14:schemeClr w14:val="tx1"/>
                  </w14:solidFill>
                </w14:textFill>
              </w:rPr>
              <w:t>进行集中处理是可行的。</w:t>
            </w:r>
          </w:p>
          <w:p w14:paraId="69D1886C">
            <w:pPr>
              <w:snapToGrid w:val="0"/>
              <w:spacing w:line="360" w:lineRule="auto"/>
              <w:ind w:left="420"/>
              <w:rPr>
                <w:color w:val="000000" w:themeColor="text1"/>
                <w:szCs w:val="21"/>
                <w14:textFill>
                  <w14:solidFill>
                    <w14:schemeClr w14:val="tx1"/>
                  </w14:solidFill>
                </w14:textFill>
              </w:rPr>
            </w:pPr>
            <w:r>
              <w:rPr>
                <w:color w:val="000000" w:themeColor="text1"/>
                <w:szCs w:val="21"/>
                <w14:textFill>
                  <w14:solidFill>
                    <w14:schemeClr w14:val="tx1"/>
                  </w14:solidFill>
                </w14:textFill>
              </w:rPr>
              <w:t>②水质接管可行</w:t>
            </w:r>
          </w:p>
          <w:p w14:paraId="266B8741">
            <w:pPr>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w:t>
            </w:r>
            <w:r>
              <w:rPr>
                <w:color w:val="000000" w:themeColor="text1"/>
                <w:szCs w:val="21"/>
                <w14:textFill>
                  <w14:solidFill>
                    <w14:schemeClr w14:val="tx1"/>
                  </w14:solidFill>
                </w14:textFill>
              </w:rPr>
              <w:t>项目生活污水可达</w:t>
            </w:r>
            <w:r>
              <w:rPr>
                <w:rFonts w:hint="eastAsia"/>
                <w:color w:val="000000" w:themeColor="text1"/>
                <w:kern w:val="0"/>
                <w:szCs w:val="21"/>
                <w14:textFill>
                  <w14:solidFill>
                    <w14:schemeClr w14:val="tx1"/>
                  </w14:solidFill>
                </w14:textFill>
              </w:rPr>
              <w:t>江阴市月城综合污水处理有限公司</w:t>
            </w:r>
            <w:r>
              <w:rPr>
                <w:color w:val="000000" w:themeColor="text1"/>
                <w:szCs w:val="21"/>
                <w14:textFill>
                  <w14:solidFill>
                    <w14:schemeClr w14:val="tx1"/>
                  </w14:solidFill>
                </w14:textFill>
              </w:rPr>
              <w:t>的接管要求，经处理后达标排放，对周围水环境影响较小。</w:t>
            </w:r>
          </w:p>
          <w:p w14:paraId="0630914C">
            <w:pPr>
              <w:snapToGrid w:val="0"/>
              <w:spacing w:line="360" w:lineRule="auto"/>
              <w:ind w:left="420"/>
              <w:outlineLvl w:val="2"/>
              <w:rPr>
                <w:color w:val="000000" w:themeColor="text1"/>
                <w:szCs w:val="21"/>
                <w14:textFill>
                  <w14:solidFill>
                    <w14:schemeClr w14:val="tx1"/>
                  </w14:solidFill>
                </w14:textFill>
              </w:rPr>
            </w:pPr>
            <w:r>
              <w:rPr>
                <w:color w:val="000000" w:themeColor="text1"/>
                <w:szCs w:val="21"/>
                <w14:textFill>
                  <w14:solidFill>
                    <w14:schemeClr w14:val="tx1"/>
                  </w14:solidFill>
                </w14:textFill>
              </w:rPr>
              <w:t>③管网配套</w:t>
            </w:r>
          </w:p>
          <w:p w14:paraId="1042CB6E">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w:t>
            </w:r>
            <w:r>
              <w:rPr>
                <w:color w:val="000000" w:themeColor="text1"/>
                <w:szCs w:val="21"/>
                <w14:textFill>
                  <w14:solidFill>
                    <w14:schemeClr w14:val="tx1"/>
                  </w14:solidFill>
                </w14:textFill>
              </w:rPr>
              <w:t>项目位于</w:t>
            </w:r>
            <w:r>
              <w:rPr>
                <w:rFonts w:hint="eastAsia"/>
                <w:color w:val="000000" w:themeColor="text1"/>
                <w:kern w:val="0"/>
                <w:szCs w:val="21"/>
                <w14:textFill>
                  <w14:solidFill>
                    <w14:schemeClr w14:val="tx1"/>
                  </w14:solidFill>
                </w14:textFill>
              </w:rPr>
              <w:t>江阴市月城综合污水处理有限公司</w:t>
            </w:r>
            <w:r>
              <w:rPr>
                <w:color w:val="000000" w:themeColor="text1"/>
                <w:szCs w:val="21"/>
                <w14:textFill>
                  <w14:solidFill>
                    <w14:schemeClr w14:val="tx1"/>
                  </w14:solidFill>
                </w14:textFill>
              </w:rPr>
              <w:t>污水管网覆盖范围内，目前，项目所在地区域管网已铺设到位。因此，</w:t>
            </w:r>
            <w:r>
              <w:rPr>
                <w:rFonts w:hint="eastAsia"/>
                <w:color w:val="000000" w:themeColor="text1"/>
                <w:szCs w:val="21"/>
                <w14:textFill>
                  <w14:solidFill>
                    <w14:schemeClr w14:val="tx1"/>
                  </w14:solidFill>
                </w14:textFill>
              </w:rPr>
              <w:t>本</w:t>
            </w:r>
            <w:r>
              <w:rPr>
                <w:color w:val="000000" w:themeColor="text1"/>
                <w:szCs w:val="21"/>
                <w14:textFill>
                  <w14:solidFill>
                    <w14:schemeClr w14:val="tx1"/>
                  </w14:solidFill>
                </w14:textFill>
              </w:rPr>
              <w:t>项目产生的生活污水接管进入</w:t>
            </w:r>
            <w:r>
              <w:rPr>
                <w:rFonts w:hint="eastAsia"/>
                <w:color w:val="000000" w:themeColor="text1"/>
                <w:kern w:val="0"/>
                <w:szCs w:val="21"/>
                <w14:textFill>
                  <w14:solidFill>
                    <w14:schemeClr w14:val="tx1"/>
                  </w14:solidFill>
                </w14:textFill>
              </w:rPr>
              <w:t>江阴市月城综合污水处理有限公司</w:t>
            </w:r>
            <w:r>
              <w:rPr>
                <w:color w:val="000000" w:themeColor="text1"/>
                <w:szCs w:val="21"/>
                <w14:textFill>
                  <w14:solidFill>
                    <w14:schemeClr w14:val="tx1"/>
                  </w14:solidFill>
                </w14:textFill>
              </w:rPr>
              <w:t>集中处理是可行的。</w:t>
            </w:r>
          </w:p>
          <w:p w14:paraId="0AF28FB1">
            <w:pPr>
              <w:snapToGrid w:val="0"/>
              <w:spacing w:line="360" w:lineRule="auto"/>
              <w:ind w:left="420"/>
              <w:outlineLvl w:val="2"/>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④</w:t>
            </w:r>
            <w:r>
              <w:rPr>
                <w:rFonts w:ascii="Times New Roman" w:hAnsi="Times New Roman" w:cs="Times New Roman"/>
                <w:color w:val="000000" w:themeColor="text1"/>
                <w:szCs w:val="21"/>
                <w14:textFill>
                  <w14:solidFill>
                    <w14:schemeClr w14:val="tx1"/>
                  </w14:solidFill>
                </w14:textFill>
              </w:rPr>
              <w:t>污口设置情况</w:t>
            </w:r>
          </w:p>
          <w:p w14:paraId="167F3878">
            <w:pPr>
              <w:spacing w:line="360" w:lineRule="auto"/>
              <w:ind w:firstLine="420" w:firstLineChars="200"/>
              <w:rPr>
                <w:rFonts w:hint="eastAsia"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雨水排放口</w:t>
            </w:r>
            <w:r>
              <w:rPr>
                <w:rFonts w:hint="eastAsia" w:ascii="Times New Roman" w:hAnsi="Times New Roman" w:cs="Times New Roman"/>
                <w:color w:val="000000" w:themeColor="text1"/>
                <w:szCs w:val="21"/>
                <w14:textFill>
                  <w14:solidFill>
                    <w14:schemeClr w14:val="tx1"/>
                  </w14:solidFill>
                </w14:textFill>
              </w:rPr>
              <w:t>及生活污水排放口</w:t>
            </w:r>
            <w:r>
              <w:rPr>
                <w:rFonts w:ascii="Times New Roman" w:hAnsi="Times New Roman" w:cs="Times New Roman"/>
                <w:color w:val="000000" w:themeColor="text1"/>
                <w:szCs w:val="21"/>
                <w14:textFill>
                  <w14:solidFill>
                    <w14:schemeClr w14:val="tx1"/>
                  </w14:solidFill>
                </w14:textFill>
              </w:rPr>
              <w:t>根据《江苏省排污口设置及规范化整治管理办法》的规定，规范化设置。雨水排放口前端设置明渠（排放井），便于日常检查、采样检测</w:t>
            </w:r>
            <w:r>
              <w:rPr>
                <w:rFonts w:hint="eastAsia" w:ascii="Times New Roman" w:hAnsi="Times New Roman" w:cs="Times New Roman"/>
                <w:color w:val="000000" w:themeColor="text1"/>
                <w:szCs w:val="21"/>
                <w14:textFill>
                  <w14:solidFill>
                    <w14:schemeClr w14:val="tx1"/>
                  </w14:solidFill>
                </w14:textFill>
              </w:rPr>
              <w:t>。</w:t>
            </w:r>
          </w:p>
          <w:p w14:paraId="768B324D">
            <w:pPr>
              <w:spacing w:line="360" w:lineRule="auto"/>
              <w:ind w:firstLine="420" w:firstLineChars="200"/>
              <w:rPr>
                <w:rFonts w:hint="eastAsia" w:ascii="Times New Roman" w:hAnsi="Times New Roman" w:cs="Times New Roman"/>
                <w:b/>
                <w:bCs/>
                <w:sz w:val="21"/>
                <w:szCs w:val="21"/>
              </w:rPr>
            </w:pPr>
            <w:r>
              <w:rPr>
                <w:color w:val="000000" w:themeColor="text1"/>
                <w:szCs w:val="21"/>
                <w14:textFill>
                  <w14:solidFill>
                    <w14:schemeClr w14:val="tx1"/>
                  </w14:solidFill>
                </w14:textFill>
              </w:rPr>
              <w:t>从以上的分析可知，项目</w:t>
            </w:r>
            <w:r>
              <w:rPr>
                <w:rFonts w:hint="eastAsia"/>
                <w:color w:val="000000" w:themeColor="text1"/>
                <w:szCs w:val="21"/>
                <w14:textFill>
                  <w14:solidFill>
                    <w14:schemeClr w14:val="tx1"/>
                  </w14:solidFill>
                </w14:textFill>
              </w:rPr>
              <w:t>生活污水</w:t>
            </w:r>
            <w:r>
              <w:rPr>
                <w:color w:val="000000" w:themeColor="text1"/>
                <w:szCs w:val="21"/>
                <w14:textFill>
                  <w14:solidFill>
                    <w14:schemeClr w14:val="tx1"/>
                  </w14:solidFill>
                </w14:textFill>
              </w:rPr>
              <w:t>接入</w:t>
            </w:r>
            <w:r>
              <w:rPr>
                <w:rFonts w:hint="eastAsia"/>
                <w:color w:val="000000" w:themeColor="text1"/>
                <w:kern w:val="0"/>
                <w:szCs w:val="21"/>
                <w14:textFill>
                  <w14:solidFill>
                    <w14:schemeClr w14:val="tx1"/>
                  </w14:solidFill>
                </w14:textFill>
              </w:rPr>
              <w:t>江阴市月城综合污水处理有限公司</w:t>
            </w:r>
            <w:r>
              <w:rPr>
                <w:color w:val="000000" w:themeColor="text1"/>
                <w:szCs w:val="21"/>
                <w14:textFill>
                  <w14:solidFill>
                    <w14:schemeClr w14:val="tx1"/>
                  </w14:solidFill>
                </w14:textFill>
              </w:rPr>
              <w:t>处理是可行的。</w:t>
            </w:r>
          </w:p>
          <w:p w14:paraId="29A60BC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imes New Roman" w:hAnsi="Times New Roman" w:cs="Times New Roman"/>
                <w:b/>
                <w:bCs/>
                <w:sz w:val="21"/>
                <w:szCs w:val="21"/>
              </w:rPr>
            </w:pPr>
            <w:r>
              <w:rPr>
                <w:rFonts w:hint="eastAsia" w:ascii="Times New Roman" w:hAnsi="Times New Roman" w:cs="Times New Roman"/>
                <w:b/>
                <w:bCs/>
                <w:sz w:val="21"/>
                <w:szCs w:val="21"/>
              </w:rPr>
              <w:t>2.3废水污染物排放信息</w:t>
            </w:r>
          </w:p>
          <w:p w14:paraId="621F2710">
            <w:pPr>
              <w:tabs>
                <w:tab w:val="left" w:pos="7901"/>
              </w:tabs>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本项目废水类别、污染物及污染治理设施信息表。</w:t>
            </w:r>
          </w:p>
          <w:p w14:paraId="5663496E">
            <w:pPr>
              <w:spacing w:line="360" w:lineRule="auto"/>
              <w:ind w:firstLine="422" w:firstLineChars="200"/>
              <w:rPr>
                <w:b/>
                <w:bCs/>
                <w:color w:val="000000" w:themeColor="text1"/>
                <w:kern w:val="0"/>
                <w:szCs w:val="21"/>
                <w14:textFill>
                  <w14:solidFill>
                    <w14:schemeClr w14:val="tx1"/>
                  </w14:solidFill>
                </w14:textFill>
              </w:rPr>
            </w:pPr>
            <w:r>
              <w:rPr>
                <w:rFonts w:hint="eastAsia" w:ascii="Times New Roman" w:hAnsi="Times New Roman" w:cs="Times New Roman"/>
                <w:b/>
                <w:bCs/>
                <w:sz w:val="21"/>
                <w:szCs w:val="21"/>
              </w:rPr>
              <w:t>2.</w:t>
            </w:r>
            <w:r>
              <w:rPr>
                <w:rFonts w:hint="eastAsia" w:ascii="Times New Roman" w:hAnsi="Times New Roman" w:cs="Times New Roman"/>
                <w:b/>
                <w:bCs/>
                <w:sz w:val="21"/>
                <w:szCs w:val="21"/>
                <w:lang w:val="en-US" w:eastAsia="zh-CN"/>
              </w:rPr>
              <w:t>4</w:t>
            </w:r>
            <w:r>
              <w:rPr>
                <w:b/>
                <w:bCs/>
                <w:color w:val="000000" w:themeColor="text1"/>
                <w:kern w:val="0"/>
                <w:szCs w:val="21"/>
                <w14:textFill>
                  <w14:solidFill>
                    <w14:schemeClr w14:val="tx1"/>
                  </w14:solidFill>
                </w14:textFill>
              </w:rPr>
              <w:t>地表水环境影响评价结论</w:t>
            </w:r>
          </w:p>
          <w:p w14:paraId="3A04F3FA">
            <w:pPr>
              <w:spacing w:line="360" w:lineRule="auto"/>
              <w:ind w:firstLine="420" w:firstLineChars="200"/>
              <w:rPr>
                <w:snapToGrid w:val="0"/>
                <w:color w:val="000000" w:themeColor="text1"/>
                <w:kern w:val="0"/>
                <w:szCs w:val="21"/>
                <w14:textFill>
                  <w14:solidFill>
                    <w14:schemeClr w14:val="tx1"/>
                  </w14:solidFill>
                </w14:textFill>
              </w:rPr>
            </w:pPr>
            <w:r>
              <w:rPr>
                <w:rFonts w:hint="eastAsia"/>
                <w:snapToGrid w:val="0"/>
                <w:color w:val="000000" w:themeColor="text1"/>
                <w:kern w:val="0"/>
                <w:szCs w:val="21"/>
                <w14:textFill>
                  <w14:solidFill>
                    <w14:schemeClr w14:val="tx1"/>
                  </w14:solidFill>
                </w14:textFill>
              </w:rPr>
              <w:t>本</w:t>
            </w:r>
            <w:r>
              <w:rPr>
                <w:snapToGrid w:val="0"/>
                <w:color w:val="000000" w:themeColor="text1"/>
                <w:kern w:val="0"/>
                <w:szCs w:val="21"/>
                <w14:textFill>
                  <w14:solidFill>
                    <w14:schemeClr w14:val="tx1"/>
                  </w14:solidFill>
                </w14:textFill>
              </w:rPr>
              <w:t>项目位于受纳水体环境质量达标区域，项目</w:t>
            </w:r>
            <w:r>
              <w:rPr>
                <w:rFonts w:hint="eastAsia"/>
                <w:snapToGrid w:val="0"/>
                <w:color w:val="000000" w:themeColor="text1"/>
                <w:kern w:val="0"/>
                <w:szCs w:val="21"/>
                <w14:textFill>
                  <w14:solidFill>
                    <w14:schemeClr w14:val="tx1"/>
                  </w14:solidFill>
                </w14:textFill>
              </w:rPr>
              <w:t>运营期不产生生产废水，</w:t>
            </w:r>
            <w:r>
              <w:rPr>
                <w:snapToGrid w:val="0"/>
                <w:color w:val="000000" w:themeColor="text1"/>
                <w:kern w:val="0"/>
                <w:szCs w:val="21"/>
                <w14:textFill>
                  <w14:solidFill>
                    <w14:schemeClr w14:val="tx1"/>
                  </w14:solidFill>
                </w14:textFill>
              </w:rPr>
              <w:t>生活污水通过市政污水管网接管至</w:t>
            </w:r>
            <w:r>
              <w:rPr>
                <w:rFonts w:hint="eastAsia"/>
                <w:color w:val="000000" w:themeColor="text1"/>
                <w:kern w:val="0"/>
                <w:szCs w:val="21"/>
                <w14:textFill>
                  <w14:solidFill>
                    <w14:schemeClr w14:val="tx1"/>
                  </w14:solidFill>
                </w14:textFill>
              </w:rPr>
              <w:t>江阴市月城综合污水处理有限公司</w:t>
            </w:r>
            <w:r>
              <w:rPr>
                <w:snapToGrid w:val="0"/>
                <w:color w:val="000000" w:themeColor="text1"/>
                <w:kern w:val="0"/>
                <w:szCs w:val="21"/>
                <w14:textFill>
                  <w14:solidFill>
                    <w14:schemeClr w14:val="tx1"/>
                  </w14:solidFill>
                </w14:textFill>
              </w:rPr>
              <w:t>，尾水</w:t>
            </w:r>
            <w:r>
              <w:rPr>
                <w:rFonts w:hint="eastAsia"/>
                <w:snapToGrid w:val="0"/>
                <w:color w:val="000000" w:themeColor="text1"/>
                <w:kern w:val="0"/>
                <w:szCs w:val="21"/>
                <w14:textFill>
                  <w14:solidFill>
                    <w14:schemeClr w14:val="tx1"/>
                  </w14:solidFill>
                </w14:textFill>
              </w:rPr>
              <w:t>达标排入锡澄运河</w:t>
            </w:r>
            <w:r>
              <w:rPr>
                <w:snapToGrid w:val="0"/>
                <w:color w:val="000000" w:themeColor="text1"/>
                <w:kern w:val="0"/>
                <w:szCs w:val="21"/>
                <w14:textFill>
                  <w14:solidFill>
                    <w14:schemeClr w14:val="tx1"/>
                  </w14:solidFill>
                </w14:textFill>
              </w:rPr>
              <w:t>，从水质水量、接管标准及建设进度等方面综合考虑，项目</w:t>
            </w:r>
            <w:r>
              <w:rPr>
                <w:rFonts w:hint="eastAsia"/>
                <w:snapToGrid w:val="0"/>
                <w:color w:val="000000" w:themeColor="text1"/>
                <w:kern w:val="0"/>
                <w:szCs w:val="21"/>
                <w14:textFill>
                  <w14:solidFill>
                    <w14:schemeClr w14:val="tx1"/>
                  </w14:solidFill>
                </w14:textFill>
              </w:rPr>
              <w:t>生活污水</w:t>
            </w:r>
            <w:r>
              <w:rPr>
                <w:snapToGrid w:val="0"/>
                <w:color w:val="000000" w:themeColor="text1"/>
                <w:kern w:val="0"/>
                <w:szCs w:val="21"/>
                <w14:textFill>
                  <w14:solidFill>
                    <w14:schemeClr w14:val="tx1"/>
                  </w14:solidFill>
                </w14:textFill>
              </w:rPr>
              <w:t>接管至</w:t>
            </w:r>
            <w:r>
              <w:rPr>
                <w:rFonts w:hint="eastAsia"/>
                <w:color w:val="000000" w:themeColor="text1"/>
                <w:kern w:val="0"/>
                <w:szCs w:val="21"/>
                <w14:textFill>
                  <w14:solidFill>
                    <w14:schemeClr w14:val="tx1"/>
                  </w14:solidFill>
                </w14:textFill>
              </w:rPr>
              <w:t>江阴市月城综合污水处理有限公司</w:t>
            </w:r>
            <w:r>
              <w:rPr>
                <w:snapToGrid w:val="0"/>
                <w:color w:val="000000" w:themeColor="text1"/>
                <w:kern w:val="0"/>
                <w:szCs w:val="21"/>
                <w14:textFill>
                  <w14:solidFill>
                    <w14:schemeClr w14:val="tx1"/>
                  </w14:solidFill>
                </w14:textFill>
              </w:rPr>
              <w:t>处理是可行的。因此，项目对地表水环境的影响可以接受。</w:t>
            </w:r>
          </w:p>
          <w:p w14:paraId="0E7BC9FC">
            <w:pPr>
              <w:spacing w:line="360" w:lineRule="auto"/>
              <w:ind w:firstLine="422" w:firstLineChars="200"/>
              <w:rPr>
                <w:rFonts w:hint="eastAsia" w:ascii="Times New Roman" w:hAnsi="Times New Roman" w:cs="Times New Roman"/>
                <w:b/>
                <w:bCs/>
                <w:color w:val="000000" w:themeColor="text1"/>
                <w:kern w:val="0"/>
                <w:szCs w:val="21"/>
                <w14:textFill>
                  <w14:solidFill>
                    <w14:schemeClr w14:val="tx1"/>
                  </w14:solidFill>
                </w14:textFill>
              </w:rPr>
            </w:pPr>
            <w:r>
              <w:rPr>
                <w:rFonts w:hint="eastAsia" w:ascii="Times New Roman" w:hAnsi="Times New Roman" w:cs="Times New Roman"/>
                <w:b/>
                <w:bCs/>
                <w:color w:val="000000" w:themeColor="text1"/>
                <w:kern w:val="0"/>
                <w:szCs w:val="21"/>
                <w14:textFill>
                  <w14:solidFill>
                    <w14:schemeClr w14:val="tx1"/>
                  </w14:solidFill>
                </w14:textFill>
              </w:rPr>
              <w:t>2.</w:t>
            </w:r>
            <w:r>
              <w:rPr>
                <w:rFonts w:hint="eastAsia" w:ascii="Times New Roman" w:hAnsi="Times New Roman" w:cs="Times New Roman"/>
                <w:b/>
                <w:bCs/>
                <w:color w:val="000000" w:themeColor="text1"/>
                <w:kern w:val="0"/>
                <w:szCs w:val="21"/>
                <w:lang w:val="en-US" w:eastAsia="zh-CN"/>
                <w14:textFill>
                  <w14:solidFill>
                    <w14:schemeClr w14:val="tx1"/>
                  </w14:solidFill>
                </w14:textFill>
              </w:rPr>
              <w:t>5</w:t>
            </w:r>
            <w:r>
              <w:rPr>
                <w:rFonts w:hint="eastAsia" w:ascii="Times New Roman" w:hAnsi="Times New Roman" w:cs="Times New Roman"/>
                <w:b/>
                <w:bCs/>
                <w:color w:val="000000" w:themeColor="text1"/>
                <w:kern w:val="0"/>
                <w:szCs w:val="21"/>
                <w14:textFill>
                  <w14:solidFill>
                    <w14:schemeClr w14:val="tx1"/>
                  </w14:solidFill>
                </w14:textFill>
              </w:rPr>
              <w:t>监测计划</w:t>
            </w:r>
          </w:p>
          <w:p w14:paraId="0425A128">
            <w:pPr>
              <w:spacing w:line="360" w:lineRule="auto"/>
              <w:ind w:firstLine="420" w:firstLineChars="200"/>
              <w:rPr>
                <w:rFonts w:hint="eastAsia" w:eastAsia="宋体"/>
                <w:b/>
                <w:bCs/>
                <w:color w:val="000000" w:themeColor="text1"/>
                <w:kern w:val="0"/>
                <w:szCs w:val="21"/>
                <w:lang w:eastAsia="zh-CN"/>
                <w14:textFill>
                  <w14:solidFill>
                    <w14:schemeClr w14:val="tx1"/>
                  </w14:solidFill>
                </w14:textFill>
              </w:rPr>
            </w:pPr>
            <w:r>
              <w:rPr>
                <w:rFonts w:hint="eastAsia" w:ascii="Times New Roman" w:hAnsi="Times New Roman" w:cs="Times New Roman"/>
                <w:color w:val="000000" w:themeColor="text1"/>
                <w:kern w:val="0"/>
                <w:szCs w:val="21"/>
                <w14:textFill>
                  <w14:solidFill>
                    <w14:schemeClr w14:val="tx1"/>
                  </w14:solidFill>
                </w14:textFill>
              </w:rPr>
              <w:t>本项目废水主要为生活污水，生活污水经化粪池预处理后通过污水接管口接入</w:t>
            </w:r>
            <w:r>
              <w:rPr>
                <w:rFonts w:hint="eastAsia"/>
                <w:color w:val="000000" w:themeColor="text1"/>
                <w:kern w:val="0"/>
                <w:szCs w:val="21"/>
                <w14:textFill>
                  <w14:solidFill>
                    <w14:schemeClr w14:val="tx1"/>
                  </w14:solidFill>
                </w14:textFill>
              </w:rPr>
              <w:t>江阴市月城综合污水处理有限公司</w:t>
            </w:r>
            <w:r>
              <w:rPr>
                <w:rFonts w:hint="eastAsia" w:ascii="Times New Roman" w:hAnsi="Times New Roman" w:cs="Times New Roman"/>
                <w:color w:val="000000" w:themeColor="text1"/>
                <w:kern w:val="0"/>
                <w:szCs w:val="21"/>
                <w14:textFill>
                  <w14:solidFill>
                    <w14:schemeClr w14:val="tx1"/>
                  </w14:solidFill>
                </w14:textFill>
              </w:rPr>
              <w:t>集中处理，故不开展地表水环境监测计划。</w:t>
            </w:r>
          </w:p>
          <w:p w14:paraId="6B1090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3</w:t>
            </w:r>
            <w:r>
              <w:rPr>
                <w:rFonts w:hint="eastAsia" w:ascii="宋体" w:hAnsi="宋体" w:cs="宋体"/>
                <w:b/>
                <w:bCs/>
                <w:color w:val="000000" w:themeColor="text1"/>
                <w:kern w:val="0"/>
                <w:szCs w:val="21"/>
                <w14:textFill>
                  <w14:solidFill>
                    <w14:schemeClr w14:val="tx1"/>
                  </w14:solidFill>
                </w14:textFill>
              </w:rPr>
              <w:t>、噪声</w:t>
            </w:r>
          </w:p>
          <w:p w14:paraId="758BAC17">
            <w:pPr>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1</w:t>
            </w:r>
            <w:r>
              <w:rPr>
                <w:rFonts w:hint="eastAsia" w:ascii="宋体" w:hAnsi="宋体"/>
                <w:b/>
                <w:bCs/>
                <w:color w:val="000000" w:themeColor="text1"/>
                <w:szCs w:val="21"/>
                <w14:textFill>
                  <w14:solidFill>
                    <w14:schemeClr w14:val="tx1"/>
                  </w14:solidFill>
                </w14:textFill>
              </w:rPr>
              <w:t>）噪声源及降噪情况</w:t>
            </w:r>
          </w:p>
          <w:p w14:paraId="0EA97969">
            <w:pPr>
              <w:spacing w:line="360" w:lineRule="auto"/>
              <w:ind w:firstLine="420" w:firstLineChars="200"/>
              <w:rPr>
                <w:rFonts w:hint="default" w:ascii="Times New Roman" w:hAnsi="Times New Roman" w:eastAsia="宋体" w:cs="Times New Roman"/>
                <w:b/>
                <w:bCs/>
                <w:sz w:val="21"/>
                <w:szCs w:val="21"/>
              </w:rPr>
            </w:pPr>
            <w:r>
              <w:rPr>
                <w:rFonts w:hint="eastAsia" w:ascii="Times New Roman" w:hAnsi="Times New Roman" w:cs="Times New Roman"/>
                <w:color w:val="000000" w:themeColor="text1"/>
                <w:kern w:val="0"/>
                <w:szCs w:val="21"/>
                <w14:textFill>
                  <w14:solidFill>
                    <w14:schemeClr w14:val="tx1"/>
                  </w14:solidFill>
                </w14:textFill>
              </w:rPr>
              <w:t>本项目噪声源主要为</w:t>
            </w:r>
            <w:r>
              <w:rPr>
                <w:rFonts w:hint="default" w:ascii="Times New Roman" w:hAnsi="Times New Roman" w:eastAsia="宋体" w:cs="Times New Roman"/>
                <w:color w:val="auto"/>
                <w:sz w:val="21"/>
                <w:szCs w:val="21"/>
              </w:rPr>
              <w:t>混料机</w:t>
            </w:r>
            <w:r>
              <w:rPr>
                <w:rFonts w:hint="eastAsia" w:ascii="Times New Roman" w:hAnsi="Times New Roman" w:cs="Times New Roman"/>
                <w:color w:val="000000" w:themeColor="text1"/>
                <w:kern w:val="0"/>
                <w:szCs w:val="21"/>
                <w14:textFill>
                  <w14:solidFill>
                    <w14:schemeClr w14:val="tx1"/>
                  </w14:solidFill>
                </w14:textFill>
              </w:rPr>
              <w:t>、</w:t>
            </w:r>
            <w:r>
              <w:rPr>
                <w:rFonts w:hint="default" w:ascii="Times New Roman" w:hAnsi="Times New Roman" w:eastAsia="宋体" w:cs="Times New Roman"/>
                <w:color w:val="auto"/>
                <w:sz w:val="21"/>
                <w:szCs w:val="21"/>
              </w:rPr>
              <w:t>注塑机</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bCs/>
                <w:color w:val="auto"/>
                <w:sz w:val="21"/>
                <w:szCs w:val="21"/>
              </w:rPr>
              <w:t>粉碎机</w:t>
            </w:r>
            <w:r>
              <w:rPr>
                <w:rFonts w:hint="eastAsia" w:ascii="Times New Roman" w:hAnsi="Times New Roman" w:cs="Times New Roman"/>
                <w:bCs/>
                <w:color w:val="auto"/>
                <w:sz w:val="21"/>
                <w:szCs w:val="21"/>
                <w:lang w:eastAsia="zh-CN"/>
              </w:rPr>
              <w:t>、</w:t>
            </w:r>
            <w:r>
              <w:rPr>
                <w:rFonts w:hint="default" w:ascii="Times New Roman" w:hAnsi="Times New Roman" w:eastAsia="宋体" w:cs="Times New Roman"/>
                <w:color w:val="auto"/>
                <w:sz w:val="21"/>
                <w:szCs w:val="21"/>
              </w:rPr>
              <w:t>空压机</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冷却塔</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风机</w:t>
            </w:r>
            <w:r>
              <w:rPr>
                <w:rFonts w:hint="eastAsia" w:ascii="Times New Roman" w:hAnsi="Times New Roman" w:cs="Times New Roman"/>
                <w:color w:val="000000" w:themeColor="text1"/>
                <w:kern w:val="0"/>
                <w:szCs w:val="21"/>
                <w14:textFill>
                  <w14:solidFill>
                    <w14:schemeClr w14:val="tx1"/>
                  </w14:solidFill>
                </w14:textFill>
              </w:rPr>
              <w:t>等生产及辅助设备，噪声源强≤90dB(A)。各设备噪声源强和防噪措施。</w:t>
            </w:r>
          </w:p>
          <w:p w14:paraId="2D3D8561">
            <w:pPr>
              <w:spacing w:line="360" w:lineRule="auto"/>
              <w:ind w:firstLine="422" w:firstLineChars="200"/>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3.2噪声预测结果</w:t>
            </w:r>
          </w:p>
          <w:p w14:paraId="2C32A3F8">
            <w:pPr>
              <w:spacing w:line="360" w:lineRule="auto"/>
              <w:ind w:firstLine="420" w:firstLineChars="200"/>
              <w:rPr>
                <w:rFonts w:ascii="Times New Roman" w:hAnsi="Times New Roman" w:cs="Times New Roman"/>
                <w:snapToGrid w:val="0"/>
                <w:color w:val="000000" w:themeColor="text1"/>
                <w:kern w:val="0"/>
                <w:szCs w:val="21"/>
                <w14:textFill>
                  <w14:solidFill>
                    <w14:schemeClr w14:val="tx1"/>
                  </w14:solidFill>
                </w14:textFill>
              </w:rPr>
            </w:pPr>
            <w:r>
              <w:rPr>
                <w:rFonts w:ascii="Times New Roman" w:hAnsi="Times New Roman" w:cs="Times New Roman"/>
                <w:snapToGrid w:val="0"/>
                <w:color w:val="000000" w:themeColor="text1"/>
                <w:kern w:val="0"/>
                <w:szCs w:val="21"/>
                <w14:textFill>
                  <w14:solidFill>
                    <w14:schemeClr w14:val="tx1"/>
                  </w14:solidFill>
                </w14:textFill>
              </w:rPr>
              <w:t>根据《环境影响评价技术导则 声环境》（HJ2.4-2021）要求，室内声源和室外声源分别按照导则附录B和附录A分别计算。为方便计算，噪声源强采用声压级表示，室内声源等效室外声源声功率级计算方法参照导则附录B，先计算各室内声源靠近围护结构处产生的倍频带声压级，再将各计算值进行叠加，然后计算出靠近</w:t>
            </w:r>
            <w:r>
              <w:rPr>
                <w:rFonts w:hint="eastAsia" w:ascii="Times New Roman" w:hAnsi="Times New Roman" w:cs="Times New Roman"/>
                <w:snapToGrid w:val="0"/>
                <w:color w:val="000000" w:themeColor="text1"/>
                <w:kern w:val="0"/>
                <w:szCs w:val="21"/>
                <w14:textFill>
                  <w14:solidFill>
                    <w14:schemeClr w14:val="tx1"/>
                  </w14:solidFill>
                </w14:textFill>
              </w:rPr>
              <w:t>室外围护结构</w:t>
            </w:r>
            <w:r>
              <w:rPr>
                <w:rFonts w:ascii="Times New Roman" w:hAnsi="Times New Roman" w:cs="Times New Roman"/>
                <w:snapToGrid w:val="0"/>
                <w:color w:val="000000" w:themeColor="text1"/>
                <w:kern w:val="0"/>
                <w:szCs w:val="21"/>
                <w14:textFill>
                  <w14:solidFill>
                    <w14:schemeClr w14:val="tx1"/>
                  </w14:solidFill>
                </w14:textFill>
              </w:rPr>
              <w:t>处的声压级，最后将室外声源的声压级和透过面积换算成等效的室外声源。室外声源经衰减后在预测点叠加，得到贡献值。</w:t>
            </w:r>
          </w:p>
          <w:p w14:paraId="2DC930BE">
            <w:pPr>
              <w:spacing w:line="360" w:lineRule="auto"/>
              <w:ind w:firstLine="420" w:firstLineChars="200"/>
              <w:rPr>
                <w:rFonts w:ascii="Times New Roman" w:hAnsi="Times New Roman" w:cs="Times New Roman"/>
                <w:snapToGrid w:val="0"/>
                <w:color w:val="000000" w:themeColor="text1"/>
                <w:kern w:val="0"/>
                <w:szCs w:val="21"/>
                <w14:textFill>
                  <w14:solidFill>
                    <w14:schemeClr w14:val="tx1"/>
                  </w14:solidFill>
                </w14:textFill>
              </w:rPr>
            </w:pPr>
            <w:r>
              <w:rPr>
                <w:rFonts w:ascii="Times New Roman" w:hAnsi="Times New Roman" w:cs="Times New Roman"/>
                <w:snapToGrid w:val="0"/>
                <w:color w:val="000000" w:themeColor="text1"/>
                <w:kern w:val="0"/>
                <w:szCs w:val="21"/>
                <w14:textFill>
                  <w14:solidFill>
                    <w14:schemeClr w14:val="tx1"/>
                  </w14:solidFill>
                </w14:textFill>
              </w:rPr>
              <w:t>①室内声源</w:t>
            </w:r>
          </w:p>
          <w:p w14:paraId="1A5FC616">
            <w:pPr>
              <w:spacing w:line="360" w:lineRule="auto"/>
              <w:ind w:firstLine="420" w:firstLineChars="200"/>
              <w:rPr>
                <w:rFonts w:ascii="Times New Roman" w:hAnsi="Times New Roman" w:cs="Times New Roman"/>
                <w:snapToGrid w:val="0"/>
                <w:color w:val="000000" w:themeColor="text1"/>
                <w:kern w:val="0"/>
                <w:szCs w:val="21"/>
                <w14:textFill>
                  <w14:solidFill>
                    <w14:schemeClr w14:val="tx1"/>
                  </w14:solidFill>
                </w14:textFill>
              </w:rPr>
            </w:pPr>
            <w:r>
              <w:rPr>
                <w:rFonts w:ascii="Times New Roman" w:hAnsi="Times New Roman" w:cs="Times New Roman"/>
                <w:snapToGrid w:val="0"/>
                <w:color w:val="000000" w:themeColor="text1"/>
                <w:kern w:val="0"/>
                <w:szCs w:val="21"/>
                <w14:textFill>
                  <w14:solidFill>
                    <w14:schemeClr w14:val="tx1"/>
                  </w14:solidFill>
                </w14:textFill>
              </w:rPr>
              <w:t>A.计算某一室内声源靠近围护结构处产生的倍频带声压级。计算公式如下：</w:t>
            </w:r>
          </w:p>
          <w:p w14:paraId="673F0465">
            <w:pPr>
              <w:pStyle w:val="26"/>
              <w:adjustRightInd w:val="0"/>
              <w:snapToGrid w:val="0"/>
              <w:spacing w:after="0" w:line="360" w:lineRule="auto"/>
              <w:ind w:left="0" w:leftChars="0" w:firstLine="1"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drawing>
                <wp:inline distT="0" distB="0" distL="0" distR="0">
                  <wp:extent cx="1597025" cy="443865"/>
                  <wp:effectExtent l="0" t="0" r="3175" b="13335"/>
                  <wp:docPr id="7" name="图片 7" descr="165544541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554454195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97025" cy="443865"/>
                          </a:xfrm>
                          <a:prstGeom prst="rect">
                            <a:avLst/>
                          </a:prstGeom>
                          <a:noFill/>
                          <a:ln>
                            <a:noFill/>
                          </a:ln>
                        </pic:spPr>
                      </pic:pic>
                    </a:graphicData>
                  </a:graphic>
                </wp:inline>
              </w:drawing>
            </w:r>
          </w:p>
          <w:p w14:paraId="77987EB0">
            <w:pPr>
              <w:widowControl/>
              <w:adjustRightInd w:val="0"/>
              <w:snapToGrid w:val="0"/>
              <w:spacing w:line="360" w:lineRule="auto"/>
              <w:ind w:firstLine="420"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式中：</w:t>
            </w:r>
            <w:r>
              <w:rPr>
                <w:rFonts w:hint="default" w:ascii="Times New Roman" w:hAnsi="Times New Roman" w:eastAsia="宋体" w:cs="Times New Roman"/>
                <w:iCs/>
                <w:color w:val="000000" w:themeColor="text1"/>
                <w:sz w:val="21"/>
                <w:szCs w:val="21"/>
                <w14:textFill>
                  <w14:solidFill>
                    <w14:schemeClr w14:val="tx1"/>
                  </w14:solidFill>
                </w14:textFill>
              </w:rPr>
              <w:t>L</w:t>
            </w:r>
            <w:r>
              <w:rPr>
                <w:rFonts w:hint="default" w:ascii="Times New Roman" w:hAnsi="Times New Roman" w:eastAsia="宋体" w:cs="Times New Roman"/>
                <w:iCs/>
                <w:color w:val="000000" w:themeColor="text1"/>
                <w:sz w:val="21"/>
                <w:szCs w:val="21"/>
                <w:vertAlign w:val="subscript"/>
                <w14:textFill>
                  <w14:solidFill>
                    <w14:schemeClr w14:val="tx1"/>
                  </w14:solidFill>
                </w14:textFill>
              </w:rPr>
              <w:t>p1</w:t>
            </w:r>
            <w:r>
              <w:rPr>
                <w:rFonts w:hint="default" w:ascii="Times New Roman" w:hAnsi="Times New Roman" w:eastAsia="宋体" w:cs="Times New Roman"/>
                <w:color w:val="000000" w:themeColor="text1"/>
                <w:sz w:val="21"/>
                <w:szCs w:val="21"/>
                <w14:textFill>
                  <w14:solidFill>
                    <w14:schemeClr w14:val="tx1"/>
                  </w14:solidFill>
                </w14:textFill>
              </w:rPr>
              <w:t>—靠近开口处（或窗户）室内某倍频带的声压级或A声级，dB；</w:t>
            </w:r>
          </w:p>
          <w:p w14:paraId="30412AA3">
            <w:pPr>
              <w:pStyle w:val="26"/>
              <w:adjustRightInd w:val="0"/>
              <w:snapToGrid w:val="0"/>
              <w:spacing w:after="0" w:line="360" w:lineRule="auto"/>
              <w:ind w:left="0" w:leftChars="0" w:firstLine="1050" w:firstLineChars="5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L</w:t>
            </w:r>
            <w:r>
              <w:rPr>
                <w:rFonts w:hint="default" w:ascii="Times New Roman" w:hAnsi="Times New Roman" w:eastAsia="宋体" w:cs="Times New Roman"/>
                <w:color w:val="000000" w:themeColor="text1"/>
                <w:sz w:val="21"/>
                <w:szCs w:val="21"/>
                <w:vertAlign w:val="subscript"/>
                <w14:textFill>
                  <w14:solidFill>
                    <w14:schemeClr w14:val="tx1"/>
                  </w14:solidFill>
                </w14:textFill>
              </w:rPr>
              <w:t>w</w:t>
            </w:r>
            <w:r>
              <w:rPr>
                <w:rFonts w:hint="default" w:ascii="Times New Roman" w:hAnsi="Times New Roman" w:eastAsia="宋体" w:cs="Times New Roman"/>
                <w:color w:val="000000" w:themeColor="text1"/>
                <w:sz w:val="21"/>
                <w:szCs w:val="21"/>
                <w14:textFill>
                  <w14:solidFill>
                    <w14:schemeClr w14:val="tx1"/>
                  </w14:solidFill>
                </w14:textFill>
              </w:rPr>
              <w:t>—点声源声功率级（A计权或倍频带）；</w:t>
            </w:r>
          </w:p>
          <w:p w14:paraId="4F0D7D11">
            <w:pPr>
              <w:pStyle w:val="26"/>
              <w:adjustRightInd w:val="0"/>
              <w:snapToGrid w:val="0"/>
              <w:spacing w:after="0" w:line="360" w:lineRule="auto"/>
              <w:ind w:left="0" w:leftChars="0" w:firstLine="1050" w:firstLineChars="5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Q—指向性因数，通常对无指向性声源，当声源放在房间中心时，Q=1，当放在一面墙的中心时，Q=2；当放在两面墙夹角处时，Q=4，当放在三面墙夹角处时，Q=8；</w:t>
            </w:r>
          </w:p>
          <w:p w14:paraId="5383C473">
            <w:pPr>
              <w:widowControl/>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R—房间常数，R=Sα/(1 −α)，S为房间内表面面积，m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，α为平均吸声系数；</w:t>
            </w:r>
          </w:p>
          <w:p w14:paraId="0114505D">
            <w:pPr>
              <w:widowControl/>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r—声源到靠近围护结构某点处的距离，m。</w:t>
            </w:r>
          </w:p>
          <w:p w14:paraId="035BB86F">
            <w:pPr>
              <w:widowControl/>
              <w:adjustRightInd w:val="0"/>
              <w:snapToGrid w:val="0"/>
              <w:spacing w:line="360" w:lineRule="auto"/>
              <w:ind w:firstLine="420"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B.计算出所有室内声源在围护结构处产生的</w:t>
            </w:r>
            <w:r>
              <w:rPr>
                <w:rFonts w:hint="default" w:ascii="Times New Roman" w:hAnsi="Times New Roman" w:eastAsia="宋体" w:cs="Times New Roman"/>
                <w:i/>
                <w:iCs/>
                <w:color w:val="000000" w:themeColor="text1"/>
                <w:kern w:val="0"/>
                <w:sz w:val="21"/>
                <w:szCs w:val="21"/>
                <w:lang w:bidi="ar"/>
                <w14:textFill>
                  <w14:solidFill>
                    <w14:schemeClr w14:val="tx1"/>
                  </w14:solidFill>
                </w14:textFill>
              </w:rPr>
              <w:t>i</w:t>
            </w:r>
            <w:r>
              <w:rPr>
                <w:rFonts w:hint="default" w:ascii="Times New Roman" w:hAnsi="Times New Roman" w:eastAsia="宋体" w:cs="Times New Roman"/>
                <w:color w:val="000000" w:themeColor="text1"/>
                <w:sz w:val="21"/>
                <w:szCs w:val="21"/>
                <w14:textFill>
                  <w14:solidFill>
                    <w14:schemeClr w14:val="tx1"/>
                  </w14:solidFill>
                </w14:textFill>
              </w:rPr>
              <w:t>倍频带叠加声压级</w:t>
            </w:r>
            <w:r>
              <w:rPr>
                <w:rFonts w:hint="default" w:ascii="Times New Roman" w:hAnsi="Times New Roman" w:eastAsia="宋体" w:cs="Times New Roman"/>
                <w:color w:val="000000" w:themeColor="text1"/>
                <w:kern w:val="0"/>
                <w:sz w:val="21"/>
                <w:szCs w:val="21"/>
                <w:lang w:bidi="ar"/>
                <w14:textFill>
                  <w14:solidFill>
                    <w14:schemeClr w14:val="tx1"/>
                  </w14:solidFill>
                </w14:textFill>
              </w:rPr>
              <w:t>。计算公式如下：</w:t>
            </w:r>
            <w:r>
              <w:rPr>
                <w:rFonts w:hint="default" w:ascii="Times New Roman" w:hAnsi="Times New Roman" w:eastAsia="宋体" w:cs="Times New Roman"/>
                <w:i/>
                <w:iCs/>
                <w:color w:val="000000" w:themeColor="text1"/>
                <w:kern w:val="0"/>
                <w:sz w:val="21"/>
                <w:szCs w:val="21"/>
                <w:lang w:bidi="ar"/>
                <w14:textFill>
                  <w14:solidFill>
                    <w14:schemeClr w14:val="tx1"/>
                  </w14:solidFill>
                </w14:textFill>
              </w:rPr>
              <w:t xml:space="preserve"> </w:t>
            </w:r>
          </w:p>
          <w:p w14:paraId="70BF3A16">
            <w:pPr>
              <w:adjustRightInd w:val="0"/>
              <w:snapToGrid w:val="0"/>
              <w:spacing w:line="36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drawing>
                <wp:inline distT="0" distB="0" distL="0" distR="0">
                  <wp:extent cx="1528445" cy="450215"/>
                  <wp:effectExtent l="0" t="0" r="14605" b="6985"/>
                  <wp:docPr id="14" name="图片 14" descr="165569019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556901984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28445" cy="450215"/>
                          </a:xfrm>
                          <a:prstGeom prst="rect">
                            <a:avLst/>
                          </a:prstGeom>
                          <a:noFill/>
                          <a:ln>
                            <a:noFill/>
                          </a:ln>
                        </pic:spPr>
                      </pic:pic>
                    </a:graphicData>
                  </a:graphic>
                </wp:inline>
              </w:drawing>
            </w:r>
          </w:p>
          <w:p w14:paraId="7324596E">
            <w:pPr>
              <w:widowControl/>
              <w:adjustRightInd w:val="0"/>
              <w:snapToGrid w:val="0"/>
              <w:spacing w:line="360" w:lineRule="auto"/>
              <w:ind w:firstLine="420" w:firstLineChars="200"/>
              <w:jc w:val="left"/>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式中：</w:t>
            </w:r>
            <w:r>
              <w:rPr>
                <w:rFonts w:hint="default" w:ascii="Times New Roman" w:hAnsi="Times New Roman" w:eastAsia="宋体" w:cs="Times New Roman"/>
                <w:iCs/>
                <w:color w:val="000000" w:themeColor="text1"/>
                <w:kern w:val="0"/>
                <w:sz w:val="21"/>
                <w:szCs w:val="21"/>
                <w:lang w:bidi="ar"/>
                <w14:textFill>
                  <w14:solidFill>
                    <w14:schemeClr w14:val="tx1"/>
                  </w14:solidFill>
                </w14:textFill>
              </w:rPr>
              <w:t>L</w:t>
            </w:r>
            <w:r>
              <w:rPr>
                <w:rFonts w:hint="default" w:ascii="Times New Roman" w:hAnsi="Times New Roman" w:eastAsia="宋体" w:cs="Times New Roman"/>
                <w:iCs/>
                <w:color w:val="000000" w:themeColor="text1"/>
                <w:kern w:val="0"/>
                <w:sz w:val="21"/>
                <w:szCs w:val="21"/>
                <w:vertAlign w:val="subscript"/>
                <w:lang w:bidi="ar"/>
                <w14:textFill>
                  <w14:solidFill>
                    <w14:schemeClr w14:val="tx1"/>
                  </w14:solidFill>
                </w14:textFill>
              </w:rPr>
              <w:t>pli</w:t>
            </w:r>
            <w:r>
              <w:rPr>
                <w:rFonts w:hint="default" w:ascii="Times New Roman" w:hAnsi="Times New Roman" w:eastAsia="宋体" w:cs="Times New Roman"/>
                <w:iCs/>
                <w:color w:val="000000" w:themeColor="text1"/>
                <w:kern w:val="0"/>
                <w:sz w:val="21"/>
                <w:szCs w:val="21"/>
                <w:lang w:bidi="ar"/>
                <w14:textFill>
                  <w14:solidFill>
                    <w14:schemeClr w14:val="tx1"/>
                  </w14:solidFill>
                </w14:textFill>
              </w:rPr>
              <w:t>(T)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—靠近围护结构处室内N个声源</w:t>
            </w:r>
            <w:r>
              <w:rPr>
                <w:rFonts w:hint="default" w:ascii="Times New Roman" w:hAnsi="Times New Roman" w:eastAsia="宋体" w:cs="Times New Roman"/>
                <w:i/>
                <w:iCs/>
                <w:color w:val="000000" w:themeColor="text1"/>
                <w:kern w:val="0"/>
                <w:sz w:val="21"/>
                <w:szCs w:val="21"/>
                <w:lang w:bidi="ar"/>
                <w14:textFill>
                  <w14:solidFill>
                    <w14:schemeClr w14:val="tx1"/>
                  </w14:solidFill>
                </w14:textFill>
              </w:rPr>
              <w:t>i</w:t>
            </w:r>
            <w:r>
              <w:rPr>
                <w:rFonts w:hint="default" w:ascii="Times New Roman" w:hAnsi="Times New Roman" w:eastAsia="宋体" w:cs="Times New Roman"/>
                <w:color w:val="000000" w:themeColor="text1"/>
                <w:kern w:val="0"/>
                <w:sz w:val="21"/>
                <w:szCs w:val="21"/>
                <w:lang w:bidi="ar"/>
                <w14:textFill>
                  <w14:solidFill>
                    <w14:schemeClr w14:val="tx1"/>
                  </w14:solidFill>
                </w14:textFill>
              </w:rPr>
              <w:t>倍频带的叠加声压级，dB；</w:t>
            </w:r>
          </w:p>
          <w:p w14:paraId="5487C014">
            <w:pPr>
              <w:widowControl/>
              <w:adjustRightInd w:val="0"/>
              <w:snapToGrid w:val="0"/>
              <w:spacing w:line="360" w:lineRule="auto"/>
              <w:ind w:firstLine="1050" w:firstLineChars="500"/>
              <w:jc w:val="left"/>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iCs/>
                <w:color w:val="000000" w:themeColor="text1"/>
                <w:kern w:val="0"/>
                <w:sz w:val="21"/>
                <w:szCs w:val="21"/>
                <w:lang w:bidi="ar"/>
                <w14:textFill>
                  <w14:solidFill>
                    <w14:schemeClr w14:val="tx1"/>
                  </w14:solidFill>
                </w14:textFill>
              </w:rPr>
              <w:t>L</w:t>
            </w:r>
            <w:r>
              <w:rPr>
                <w:rFonts w:hint="default" w:ascii="Times New Roman" w:hAnsi="Times New Roman" w:eastAsia="宋体" w:cs="Times New Roman"/>
                <w:iCs/>
                <w:color w:val="000000" w:themeColor="text1"/>
                <w:kern w:val="0"/>
                <w:sz w:val="21"/>
                <w:szCs w:val="21"/>
                <w:vertAlign w:val="subscript"/>
                <w:lang w:bidi="ar"/>
                <w14:textFill>
                  <w14:solidFill>
                    <w14:schemeClr w14:val="tx1"/>
                  </w14:solidFill>
                </w14:textFill>
              </w:rPr>
              <w:t>plij</w:t>
            </w:r>
            <w:r>
              <w:rPr>
                <w:rFonts w:hint="default" w:ascii="Times New Roman" w:hAnsi="Times New Roman" w:eastAsia="宋体" w:cs="Times New Roman"/>
                <w:color w:val="000000" w:themeColor="text1"/>
                <w:kern w:val="0"/>
                <w:sz w:val="21"/>
                <w:szCs w:val="21"/>
                <w:lang w:bidi="ar"/>
                <w14:textFill>
                  <w14:solidFill>
                    <w14:schemeClr w14:val="tx1"/>
                  </w14:solidFill>
                </w14:textFill>
              </w:rPr>
              <w:t>—室内</w:t>
            </w:r>
            <w:r>
              <w:rPr>
                <w:rFonts w:hint="default" w:ascii="Times New Roman" w:hAnsi="Times New Roman" w:eastAsia="宋体" w:cs="Times New Roman"/>
                <w:i/>
                <w:iCs/>
                <w:color w:val="000000" w:themeColor="text1"/>
                <w:kern w:val="0"/>
                <w:sz w:val="21"/>
                <w:szCs w:val="21"/>
                <w:lang w:bidi="ar"/>
                <w14:textFill>
                  <w14:solidFill>
                    <w14:schemeClr w14:val="tx1"/>
                  </w14:solidFill>
                </w14:textFill>
              </w:rPr>
              <w:t>j</w:t>
            </w:r>
            <w:r>
              <w:rPr>
                <w:rFonts w:hint="default" w:ascii="Times New Roman" w:hAnsi="Times New Roman" w:eastAsia="宋体" w:cs="Times New Roman"/>
                <w:color w:val="000000" w:themeColor="text1"/>
                <w:kern w:val="0"/>
                <w:sz w:val="21"/>
                <w:szCs w:val="21"/>
                <w:lang w:bidi="ar"/>
                <w14:textFill>
                  <w14:solidFill>
                    <w14:schemeClr w14:val="tx1"/>
                  </w14:solidFill>
                </w14:textFill>
              </w:rPr>
              <w:t>声源</w:t>
            </w:r>
            <w:r>
              <w:rPr>
                <w:rFonts w:hint="default" w:ascii="Times New Roman" w:hAnsi="Times New Roman" w:eastAsia="宋体" w:cs="Times New Roman"/>
                <w:i/>
                <w:iCs/>
                <w:color w:val="000000" w:themeColor="text1"/>
                <w:kern w:val="0"/>
                <w:sz w:val="21"/>
                <w:szCs w:val="21"/>
                <w:lang w:bidi="ar"/>
                <w14:textFill>
                  <w14:solidFill>
                    <w14:schemeClr w14:val="tx1"/>
                  </w14:solidFill>
                </w14:textFill>
              </w:rPr>
              <w:t>i</w:t>
            </w:r>
            <w:r>
              <w:rPr>
                <w:rFonts w:hint="default" w:ascii="Times New Roman" w:hAnsi="Times New Roman" w:eastAsia="宋体" w:cs="Times New Roman"/>
                <w:color w:val="000000" w:themeColor="text1"/>
                <w:kern w:val="0"/>
                <w:sz w:val="21"/>
                <w:szCs w:val="21"/>
                <w:lang w:bidi="ar"/>
                <w14:textFill>
                  <w14:solidFill>
                    <w14:schemeClr w14:val="tx1"/>
                  </w14:solidFill>
                </w14:textFill>
              </w:rPr>
              <w:t>倍频带的声压级，dB；</w:t>
            </w:r>
          </w:p>
          <w:p w14:paraId="76E0A77D">
            <w:pPr>
              <w:pStyle w:val="26"/>
              <w:adjustRightInd w:val="0"/>
              <w:snapToGrid w:val="0"/>
              <w:spacing w:after="0" w:line="360" w:lineRule="auto"/>
              <w:ind w:left="0" w:leftChars="0" w:firstLine="1050" w:firstLineChars="5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N—室内声源总数。</w:t>
            </w:r>
          </w:p>
          <w:p w14:paraId="238659A7">
            <w:pPr>
              <w:pStyle w:val="9"/>
              <w:spacing w:line="360" w:lineRule="auto"/>
              <w:ind w:firstLine="420" w:firstLineChars="200"/>
              <w:rPr>
                <w:rFonts w:hint="default" w:ascii="Times New Roman" w:hAnsi="Times New Roman" w:eastAsia="宋体" w:cs="Times New Roman"/>
                <w:color w:val="000000" w:themeColor="text1"/>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bidi="ar"/>
                <w14:textFill>
                  <w14:solidFill>
                    <w14:schemeClr w14:val="tx1"/>
                  </w14:solidFill>
                </w14:textFill>
              </w:rPr>
              <w:t>C.计算出靠近室外</w:t>
            </w:r>
            <w:r>
              <w:rPr>
                <w:rFonts w:hint="default" w:ascii="Times New Roman" w:hAnsi="Times New Roman" w:eastAsia="宋体" w:cs="Times New Roman"/>
                <w:sz w:val="21"/>
                <w:szCs w:val="21"/>
              </w:rPr>
              <w:t>围护结构</w:t>
            </w:r>
            <w:r>
              <w:rPr>
                <w:rFonts w:hint="default" w:ascii="Times New Roman" w:hAnsi="Times New Roman" w:eastAsia="宋体" w:cs="Times New Roman"/>
                <w:color w:val="000000" w:themeColor="text1"/>
                <w:sz w:val="21"/>
                <w:szCs w:val="21"/>
                <w:lang w:bidi="ar"/>
                <w14:textFill>
                  <w14:solidFill>
                    <w14:schemeClr w14:val="tx1"/>
                  </w14:solidFill>
                </w14:textFill>
              </w:rPr>
              <w:t>处的声压级。计算公式如下：</w:t>
            </w:r>
          </w:p>
          <w:p w14:paraId="742A1D3A">
            <w:pPr>
              <w:pStyle w:val="26"/>
              <w:adjustRightInd w:val="0"/>
              <w:snapToGrid w:val="0"/>
              <w:spacing w:after="0" w:line="360" w:lineRule="auto"/>
              <w:ind w:left="0" w:leftChars="0" w:firstLine="0" w:firstLineChars="0"/>
              <w:jc w:val="center"/>
              <w:rPr>
                <w:rFonts w:hint="default" w:ascii="Times New Roman" w:hAnsi="Times New Roman" w:eastAsia="宋体" w:cs="Times New Roman"/>
                <w:i/>
                <w:iCs/>
                <w:color w:val="000000" w:themeColor="text1"/>
                <w:sz w:val="21"/>
                <w:szCs w:val="21"/>
                <w14:textFill>
                  <w14:solidFill>
                    <w14:schemeClr w14:val="tx1"/>
                  </w14:solidFill>
                </w14:textFill>
              </w:rPr>
            </w:pPr>
            <w:r>
              <w:rPr>
                <w:rFonts w:hint="default" w:ascii="Times New Roman" w:hAnsi="Times New Roman" w:eastAsia="宋体" w:cs="Times New Roman"/>
                <w:i/>
                <w:color w:val="000000" w:themeColor="text1"/>
                <w:sz w:val="21"/>
                <w:szCs w:val="21"/>
                <w14:textFill>
                  <w14:solidFill>
                    <w14:schemeClr w14:val="tx1"/>
                  </w14:solidFill>
                </w14:textFill>
              </w:rPr>
              <w:drawing>
                <wp:inline distT="0" distB="0" distL="0" distR="0">
                  <wp:extent cx="1739900" cy="286385"/>
                  <wp:effectExtent l="0" t="0" r="12700" b="18415"/>
                  <wp:docPr id="158" name="图片 158" descr="165569054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1655690543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39900" cy="286385"/>
                          </a:xfrm>
                          <a:prstGeom prst="rect">
                            <a:avLst/>
                          </a:prstGeom>
                          <a:noFill/>
                          <a:ln>
                            <a:noFill/>
                          </a:ln>
                        </pic:spPr>
                      </pic:pic>
                    </a:graphicData>
                  </a:graphic>
                </wp:inline>
              </w:drawing>
            </w:r>
          </w:p>
          <w:p w14:paraId="0EB037CE">
            <w:pPr>
              <w:pStyle w:val="26"/>
              <w:adjustRightInd w:val="0"/>
              <w:snapToGrid w:val="0"/>
              <w:spacing w:after="0" w:line="360" w:lineRule="auto"/>
              <w:ind w:left="0" w:leftChars="0"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式中：</w:t>
            </w:r>
            <w:r>
              <w:rPr>
                <w:rFonts w:hint="default" w:ascii="Times New Roman" w:hAnsi="Times New Roman" w:eastAsia="宋体" w:cs="Times New Roman"/>
                <w:iCs/>
                <w:color w:val="000000" w:themeColor="text1"/>
                <w:sz w:val="21"/>
                <w:szCs w:val="21"/>
                <w14:textFill>
                  <w14:solidFill>
                    <w14:schemeClr w14:val="tx1"/>
                  </w14:solidFill>
                </w14:textFill>
              </w:rPr>
              <w:t>L</w:t>
            </w:r>
            <w:r>
              <w:rPr>
                <w:rFonts w:hint="default" w:ascii="Times New Roman" w:hAnsi="Times New Roman" w:eastAsia="宋体" w:cs="Times New Roman"/>
                <w:iCs/>
                <w:color w:val="000000" w:themeColor="text1"/>
                <w:sz w:val="21"/>
                <w:szCs w:val="21"/>
                <w:vertAlign w:val="subscript"/>
                <w14:textFill>
                  <w14:solidFill>
                    <w14:schemeClr w14:val="tx1"/>
                  </w14:solidFill>
                </w14:textFill>
              </w:rPr>
              <w:t>p2i</w:t>
            </w:r>
            <w:r>
              <w:rPr>
                <w:rFonts w:hint="default" w:ascii="Times New Roman" w:hAnsi="Times New Roman" w:eastAsia="宋体" w:cs="Times New Roman"/>
                <w:iCs/>
                <w:color w:val="000000" w:themeColor="text1"/>
                <w:sz w:val="21"/>
                <w:szCs w:val="21"/>
                <w14:textFill>
                  <w14:solidFill>
                    <w14:schemeClr w14:val="tx1"/>
                  </w14:solidFill>
                </w14:textFill>
              </w:rPr>
              <w:t>(T)</w:t>
            </w:r>
            <w:r>
              <w:rPr>
                <w:rFonts w:hint="default" w:ascii="Times New Roman" w:hAnsi="Times New Roman" w:eastAsia="宋体" w:cs="Times New Roman"/>
                <w:color w:val="000000" w:themeColor="text1"/>
                <w:sz w:val="21"/>
                <w:szCs w:val="21"/>
                <w14:textFill>
                  <w14:solidFill>
                    <w14:schemeClr w14:val="tx1"/>
                  </w14:solidFill>
                </w14:textFill>
              </w:rPr>
              <w:t>—靠近围护结构处室外N个声源</w:t>
            </w:r>
            <w:r>
              <w:rPr>
                <w:rFonts w:hint="default" w:ascii="Times New Roman" w:hAnsi="Times New Roman" w:eastAsia="宋体" w:cs="Times New Roman"/>
                <w:i/>
                <w:iCs/>
                <w:color w:val="000000" w:themeColor="text1"/>
                <w:sz w:val="21"/>
                <w:szCs w:val="21"/>
                <w:lang w:bidi="ar"/>
                <w14:textFill>
                  <w14:solidFill>
                    <w14:schemeClr w14:val="tx1"/>
                  </w14:solidFill>
                </w14:textFill>
              </w:rPr>
              <w:t>i</w:t>
            </w:r>
            <w:r>
              <w:rPr>
                <w:rFonts w:hint="default" w:ascii="Times New Roman" w:hAnsi="Times New Roman" w:eastAsia="宋体" w:cs="Times New Roman"/>
                <w:color w:val="000000" w:themeColor="text1"/>
                <w:sz w:val="21"/>
                <w:szCs w:val="21"/>
                <w:lang w:bidi="ar"/>
                <w14:textFill>
                  <w14:solidFill>
                    <w14:schemeClr w14:val="tx1"/>
                  </w14:solidFill>
                </w14:textFill>
              </w:rPr>
              <w:t>倍频带的叠加声压级</w:t>
            </w:r>
            <w:r>
              <w:rPr>
                <w:rFonts w:hint="default" w:ascii="Times New Roman" w:hAnsi="Times New Roman" w:eastAsia="宋体" w:cs="Times New Roman"/>
                <w:color w:val="000000" w:themeColor="text1"/>
                <w:sz w:val="21"/>
                <w:szCs w:val="21"/>
                <w14:textFill>
                  <w14:solidFill>
                    <w14:schemeClr w14:val="tx1"/>
                  </w14:solidFill>
                </w14:textFill>
              </w:rPr>
              <w:t>，dB；</w:t>
            </w:r>
          </w:p>
          <w:p w14:paraId="19598586">
            <w:pPr>
              <w:adjustRightInd w:val="0"/>
              <w:snapToGrid w:val="0"/>
              <w:spacing w:line="360" w:lineRule="auto"/>
              <w:ind w:firstLine="1003" w:firstLineChars="478"/>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Cs/>
                <w:color w:val="000000" w:themeColor="text1"/>
                <w:sz w:val="21"/>
                <w:szCs w:val="21"/>
                <w14:textFill>
                  <w14:solidFill>
                    <w14:schemeClr w14:val="tx1"/>
                  </w14:solidFill>
                </w14:textFill>
              </w:rPr>
              <w:t>L</w:t>
            </w:r>
            <w:r>
              <w:rPr>
                <w:rFonts w:hint="default" w:ascii="Times New Roman" w:hAnsi="Times New Roman" w:eastAsia="宋体" w:cs="Times New Roman"/>
                <w:iCs/>
                <w:color w:val="000000" w:themeColor="text1"/>
                <w:sz w:val="21"/>
                <w:szCs w:val="21"/>
                <w:vertAlign w:val="subscript"/>
                <w14:textFill>
                  <w14:solidFill>
                    <w14:schemeClr w14:val="tx1"/>
                  </w14:solidFill>
                </w14:textFill>
              </w:rPr>
              <w:t>p1i</w:t>
            </w:r>
            <w:r>
              <w:rPr>
                <w:rFonts w:hint="default" w:ascii="Times New Roman" w:hAnsi="Times New Roman" w:eastAsia="宋体" w:cs="Times New Roman"/>
                <w:iCs/>
                <w:color w:val="000000" w:themeColor="text1"/>
                <w:sz w:val="21"/>
                <w:szCs w:val="21"/>
                <w14:textFill>
                  <w14:solidFill>
                    <w14:schemeClr w14:val="tx1"/>
                  </w14:solidFill>
                </w14:textFill>
              </w:rPr>
              <w:t>(T)</w:t>
            </w:r>
            <w:r>
              <w:rPr>
                <w:rFonts w:hint="default" w:ascii="Times New Roman" w:hAnsi="Times New Roman" w:eastAsia="宋体" w:cs="Times New Roman"/>
                <w:color w:val="000000" w:themeColor="text1"/>
                <w:sz w:val="21"/>
                <w:szCs w:val="21"/>
                <w14:textFill>
                  <w14:solidFill>
                    <w14:schemeClr w14:val="tx1"/>
                  </w14:solidFill>
                </w14:textFill>
              </w:rPr>
              <w:t>—靠近围护结构处室内N个声源</w:t>
            </w:r>
            <w:r>
              <w:rPr>
                <w:rFonts w:hint="default" w:ascii="Times New Roman" w:hAnsi="Times New Roman" w:eastAsia="宋体" w:cs="Times New Roman"/>
                <w:i/>
                <w:iCs/>
                <w:color w:val="000000" w:themeColor="text1"/>
                <w:kern w:val="0"/>
                <w:sz w:val="21"/>
                <w:szCs w:val="21"/>
                <w:lang w:bidi="ar"/>
                <w14:textFill>
                  <w14:solidFill>
                    <w14:schemeClr w14:val="tx1"/>
                  </w14:solidFill>
                </w14:textFill>
              </w:rPr>
              <w:t>i</w:t>
            </w:r>
            <w:r>
              <w:rPr>
                <w:rFonts w:hint="default" w:ascii="Times New Roman" w:hAnsi="Times New Roman" w:eastAsia="宋体" w:cs="Times New Roman"/>
                <w:color w:val="000000" w:themeColor="text1"/>
                <w:kern w:val="0"/>
                <w:sz w:val="21"/>
                <w:szCs w:val="21"/>
                <w:lang w:bidi="ar"/>
                <w14:textFill>
                  <w14:solidFill>
                    <w14:schemeClr w14:val="tx1"/>
                  </w14:solidFill>
                </w14:textFill>
              </w:rPr>
              <w:t>倍频带的叠加声压级</w:t>
            </w:r>
            <w:r>
              <w:rPr>
                <w:rFonts w:hint="default" w:ascii="Times New Roman" w:hAnsi="Times New Roman" w:eastAsia="宋体" w:cs="Times New Roman"/>
                <w:color w:val="000000" w:themeColor="text1"/>
                <w:sz w:val="21"/>
                <w:szCs w:val="21"/>
                <w14:textFill>
                  <w14:solidFill>
                    <w14:schemeClr w14:val="tx1"/>
                  </w14:solidFill>
                </w14:textFill>
              </w:rPr>
              <w:t>，dB；</w:t>
            </w:r>
          </w:p>
          <w:p w14:paraId="1A641530">
            <w:pPr>
              <w:adjustRightInd w:val="0"/>
              <w:snapToGrid w:val="0"/>
              <w:spacing w:line="360" w:lineRule="auto"/>
              <w:ind w:firstLine="1003" w:firstLineChars="478"/>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Cs/>
                <w:color w:val="000000" w:themeColor="text1"/>
                <w:sz w:val="21"/>
                <w:szCs w:val="21"/>
                <w14:textFill>
                  <w14:solidFill>
                    <w14:schemeClr w14:val="tx1"/>
                  </w14:solidFill>
                </w14:textFill>
              </w:rPr>
              <w:t>TL</w:t>
            </w:r>
            <w:r>
              <w:rPr>
                <w:rFonts w:hint="default" w:ascii="Times New Roman" w:hAnsi="Times New Roman" w:eastAsia="宋体" w:cs="Times New Roman"/>
                <w:iCs/>
                <w:color w:val="000000" w:themeColor="text1"/>
                <w:sz w:val="21"/>
                <w:szCs w:val="21"/>
                <w:vertAlign w:val="subscript"/>
                <w14:textFill>
                  <w14:solidFill>
                    <w14:schemeClr w14:val="tx1"/>
                  </w14:solidFill>
                </w14:textFill>
              </w:rPr>
              <w:t>i</w:t>
            </w:r>
            <w:r>
              <w:rPr>
                <w:rFonts w:hint="default" w:ascii="Times New Roman" w:hAnsi="Times New Roman" w:eastAsia="宋体" w:cs="Times New Roman"/>
                <w:color w:val="000000" w:themeColor="text1"/>
                <w:sz w:val="21"/>
                <w:szCs w:val="21"/>
                <w14:textFill>
                  <w14:solidFill>
                    <w14:schemeClr w14:val="tx1"/>
                  </w14:solidFill>
                </w14:textFill>
              </w:rPr>
              <w:t>—围护结构</w:t>
            </w:r>
            <w:r>
              <w:rPr>
                <w:rFonts w:hint="default" w:ascii="Times New Roman" w:hAnsi="Times New Roman" w:eastAsia="宋体" w:cs="Times New Roman"/>
                <w:i/>
                <w:iCs/>
                <w:color w:val="000000" w:themeColor="text1"/>
                <w:kern w:val="0"/>
                <w:sz w:val="21"/>
                <w:szCs w:val="21"/>
                <w:lang w:bidi="ar"/>
                <w14:textFill>
                  <w14:solidFill>
                    <w14:schemeClr w14:val="tx1"/>
                  </w14:solidFill>
                </w14:textFill>
              </w:rPr>
              <w:t>i</w:t>
            </w:r>
            <w:r>
              <w:rPr>
                <w:rFonts w:hint="default" w:ascii="Times New Roman" w:hAnsi="Times New Roman" w:eastAsia="宋体" w:cs="Times New Roman"/>
                <w:color w:val="000000" w:themeColor="text1"/>
                <w:kern w:val="0"/>
                <w:sz w:val="21"/>
                <w:szCs w:val="21"/>
                <w:lang w:bidi="ar"/>
                <w14:textFill>
                  <w14:solidFill>
                    <w14:schemeClr w14:val="tx1"/>
                  </w14:solidFill>
                </w14:textFill>
              </w:rPr>
              <w:t>倍频带的</w:t>
            </w:r>
            <w:r>
              <w:rPr>
                <w:rFonts w:hint="default" w:ascii="Times New Roman" w:hAnsi="Times New Roman" w:eastAsia="宋体" w:cs="Times New Roman"/>
                <w:color w:val="000000" w:themeColor="text1"/>
                <w:sz w:val="21"/>
                <w:szCs w:val="21"/>
                <w14:textFill>
                  <w14:solidFill>
                    <w14:schemeClr w14:val="tx1"/>
                  </w14:solidFill>
                </w14:textFill>
              </w:rPr>
              <w:t>隔声量，dB；</w:t>
            </w:r>
          </w:p>
          <w:p w14:paraId="0C8D8C10">
            <w:pPr>
              <w:pStyle w:val="25"/>
              <w:adjustRightInd w:val="0"/>
              <w:spacing w:after="0" w:line="360" w:lineRule="auto"/>
              <w:ind w:left="-84"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D.将室外声源的声压级和透过面积换算成等效的室外声源，计算出中心位置位于透声面积（S）处的等效声源的倍频带声功率级。计算公式如下：</w:t>
            </w:r>
          </w:p>
          <w:p w14:paraId="2D42E914">
            <w:pPr>
              <w:adjustRightInd w:val="0"/>
              <w:snapToGrid w:val="0"/>
              <w:spacing w:line="360" w:lineRule="auto"/>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drawing>
                <wp:inline distT="0" distB="0" distL="0" distR="0">
                  <wp:extent cx="1207770" cy="204470"/>
                  <wp:effectExtent l="0" t="0" r="11430" b="5080"/>
                  <wp:docPr id="159" name="图片 159" descr="1655446049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16554460494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07770" cy="204470"/>
                          </a:xfrm>
                          <a:prstGeom prst="rect">
                            <a:avLst/>
                          </a:prstGeom>
                          <a:noFill/>
                          <a:ln>
                            <a:noFill/>
                          </a:ln>
                        </pic:spPr>
                      </pic:pic>
                    </a:graphicData>
                  </a:graphic>
                </wp:inline>
              </w:drawing>
            </w:r>
          </w:p>
          <w:p w14:paraId="7AF45EA2">
            <w:pPr>
              <w:pStyle w:val="25"/>
              <w:adjustRightInd w:val="0"/>
              <w:spacing w:after="0" w:line="360" w:lineRule="auto"/>
              <w:ind w:left="-84"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式中：</w:t>
            </w:r>
            <w:r>
              <w:rPr>
                <w:rFonts w:hint="default" w:ascii="Times New Roman" w:hAnsi="Times New Roman" w:eastAsia="宋体" w:cs="Times New Roman"/>
                <w:iCs/>
                <w:color w:val="000000" w:themeColor="text1"/>
                <w:sz w:val="21"/>
                <w:szCs w:val="21"/>
                <w14:textFill>
                  <w14:solidFill>
                    <w14:schemeClr w14:val="tx1"/>
                  </w14:solidFill>
                </w14:textFill>
              </w:rPr>
              <w:t>L</w:t>
            </w:r>
            <w:r>
              <w:rPr>
                <w:rFonts w:hint="default" w:ascii="Times New Roman" w:hAnsi="Times New Roman" w:eastAsia="宋体" w:cs="Times New Roman"/>
                <w:iCs/>
                <w:color w:val="000000" w:themeColor="text1"/>
                <w:sz w:val="21"/>
                <w:szCs w:val="21"/>
                <w:vertAlign w:val="subscript"/>
                <w14:textFill>
                  <w14:solidFill>
                    <w14:schemeClr w14:val="tx1"/>
                  </w14:solidFill>
                </w14:textFill>
              </w:rPr>
              <w:t>w</w:t>
            </w:r>
            <w:r>
              <w:rPr>
                <w:rFonts w:hint="default" w:ascii="Times New Roman" w:hAnsi="Times New Roman" w:eastAsia="宋体" w:cs="Times New Roman"/>
                <w:color w:val="000000" w:themeColor="text1"/>
                <w:sz w:val="21"/>
                <w:szCs w:val="21"/>
                <w14:textFill>
                  <w14:solidFill>
                    <w14:schemeClr w14:val="tx1"/>
                  </w14:solidFill>
                </w14:textFill>
              </w:rPr>
              <w:t>—中心位置位于透声面积（S）处的等效声源的倍频带声功率级，dB；</w:t>
            </w:r>
          </w:p>
          <w:p w14:paraId="0BDF59CD">
            <w:pPr>
              <w:pStyle w:val="25"/>
              <w:adjustRightInd w:val="0"/>
              <w:spacing w:after="0" w:line="360" w:lineRule="auto"/>
              <w:ind w:left="-84" w:firstLine="1050" w:firstLineChars="5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Cs/>
                <w:color w:val="000000" w:themeColor="text1"/>
                <w:sz w:val="21"/>
                <w:szCs w:val="21"/>
                <w14:textFill>
                  <w14:solidFill>
                    <w14:schemeClr w14:val="tx1"/>
                  </w14:solidFill>
                </w14:textFill>
              </w:rPr>
              <w:t>L</w:t>
            </w:r>
            <w:r>
              <w:rPr>
                <w:rFonts w:hint="default" w:ascii="Times New Roman" w:hAnsi="Times New Roman" w:eastAsia="宋体" w:cs="Times New Roman"/>
                <w:iCs/>
                <w:color w:val="000000" w:themeColor="text1"/>
                <w:sz w:val="21"/>
                <w:szCs w:val="21"/>
                <w:vertAlign w:val="subscript"/>
                <w14:textFill>
                  <w14:solidFill>
                    <w14:schemeClr w14:val="tx1"/>
                  </w14:solidFill>
                </w14:textFill>
              </w:rPr>
              <w:t>p2</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iCs/>
                <w:color w:val="000000" w:themeColor="text1"/>
                <w:sz w:val="21"/>
                <w:szCs w:val="21"/>
                <w:vertAlign w:val="subscript"/>
                <w14:textFill>
                  <w14:solidFill>
                    <w14:schemeClr w14:val="tx1"/>
                  </w14:solidFill>
                </w14:textFill>
              </w:rPr>
              <w:t>T</w:t>
            </w:r>
            <w:r>
              <w:rPr>
                <w:rFonts w:hint="default" w:ascii="Times New Roman" w:hAnsi="Times New Roman" w:eastAsia="宋体" w:cs="Times New Roman"/>
                <w:color w:val="000000" w:themeColor="text1"/>
                <w:sz w:val="21"/>
                <w:szCs w:val="21"/>
                <w14:textFill>
                  <w14:solidFill>
                    <w14:schemeClr w14:val="tx1"/>
                  </w14:solidFill>
                </w14:textFill>
              </w:rPr>
              <w:t>）—靠近围护结构处室外声源的声压级，dB；</w:t>
            </w:r>
          </w:p>
          <w:p w14:paraId="1284C526">
            <w:pPr>
              <w:pStyle w:val="25"/>
              <w:adjustRightInd w:val="0"/>
              <w:spacing w:after="0" w:line="360" w:lineRule="auto"/>
              <w:ind w:left="-84" w:firstLine="1050" w:firstLineChars="5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S—透声面积，m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w:t>
            </w:r>
          </w:p>
          <w:p w14:paraId="0A8BF4B6">
            <w:pPr>
              <w:pStyle w:val="25"/>
              <w:adjustRightInd w:val="0"/>
              <w:spacing w:after="0" w:line="360" w:lineRule="auto"/>
              <w:ind w:left="-84"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然后按室外声源预测方法计算预测点处的A声级。</w:t>
            </w:r>
          </w:p>
          <w:p w14:paraId="36379C8B">
            <w:pPr>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②室外声源</w:t>
            </w:r>
          </w:p>
          <w:p w14:paraId="0E7D63B4">
            <w:pPr>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室外声源在预测点产生的声级计算模型见附录A。项目各噪声源都按点声源处理，根据声长特点，其预测模式为：</w:t>
            </w:r>
          </w:p>
          <w:p w14:paraId="7B66B6BF">
            <w:pPr>
              <w:adjustRightInd w:val="0"/>
              <w:snapToGrid w:val="0"/>
              <w:spacing w:line="360" w:lineRule="auto"/>
              <w:ind w:firstLine="28"/>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position w:val="-14"/>
                <w:sz w:val="21"/>
                <w:szCs w:val="21"/>
                <w14:textFill>
                  <w14:solidFill>
                    <w14:schemeClr w14:val="tx1"/>
                  </w14:solidFill>
                </w14:textFill>
              </w:rPr>
              <w:object>
                <v:shape id="_x0000_i1028" o:spt="75" type="#_x0000_t75" style="height:18.8pt;width:205.35pt;" o:ole="t" filled="f" coordsize="21600,21600">
                  <v:path/>
                  <v:fill on="f" focussize="0,0"/>
                  <v:stroke/>
                  <v:imagedata r:id="rId19" o:title=""/>
                  <o:lock v:ext="edit" aspectratio="t"/>
                  <w10:wrap type="none"/>
                  <w10:anchorlock/>
                </v:shape>
                <o:OLEObject Type="Embed" ProgID="Equation.3" ShapeID="_x0000_i1028" DrawAspect="Content" ObjectID="_1468075728" r:id="rId18">
                  <o:LockedField>false</o:LockedField>
                </o:OLEObject>
              </w:object>
            </w:r>
          </w:p>
          <w:p w14:paraId="2E7DACBB">
            <w:pPr>
              <w:adjustRightInd w:val="0"/>
              <w:snapToGrid w:val="0"/>
              <w:spacing w:line="360" w:lineRule="auto"/>
              <w:ind w:firstLine="420"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式中：Lp(r)——预测点处声压级，dB；</w:t>
            </w:r>
          </w:p>
          <w:p w14:paraId="265858C7">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Lp(r</w:t>
            </w:r>
            <w:r>
              <w:rPr>
                <w:rFonts w:hint="default" w:ascii="Times New Roman" w:hAnsi="Times New Roman" w:eastAsia="宋体" w:cs="Times New Roman"/>
                <w:color w:val="000000" w:themeColor="text1"/>
                <w:sz w:val="21"/>
                <w:szCs w:val="21"/>
                <w:vertAlign w:val="subscript"/>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)——参考位置r0处的声压级，dB；</w:t>
            </w:r>
          </w:p>
          <w:p w14:paraId="265291C7">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DC——指向性校正，它描述点声源的等效连续声压级与产生声功率级Lw的全向点声源在规定方向的声级的偏差程度，dB；</w:t>
            </w:r>
          </w:p>
          <w:p w14:paraId="48AF3DB5">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w:t>
            </w:r>
            <w:r>
              <w:rPr>
                <w:rFonts w:hint="default" w:ascii="Times New Roman" w:hAnsi="Times New Roman" w:eastAsia="宋体" w:cs="Times New Roman"/>
                <w:color w:val="000000" w:themeColor="text1"/>
                <w:sz w:val="21"/>
                <w:szCs w:val="21"/>
                <w:vertAlign w:val="subscript"/>
                <w14:textFill>
                  <w14:solidFill>
                    <w14:schemeClr w14:val="tx1"/>
                  </w14:solidFill>
                </w14:textFill>
              </w:rPr>
              <w:t xml:space="preserve">div </w:t>
            </w:r>
            <w:r>
              <w:rPr>
                <w:rFonts w:hint="default" w:ascii="Times New Roman" w:hAnsi="Times New Roman" w:eastAsia="宋体" w:cs="Times New Roman"/>
                <w:color w:val="000000" w:themeColor="text1"/>
                <w:sz w:val="21"/>
                <w:szCs w:val="21"/>
                <w14:textFill>
                  <w14:solidFill>
                    <w14:schemeClr w14:val="tx1"/>
                  </w14:solidFill>
                </w14:textFill>
              </w:rPr>
              <w:t>——几何发散引起的衰减，dB；</w:t>
            </w:r>
          </w:p>
          <w:p w14:paraId="05DF2E5C">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w:t>
            </w:r>
            <w:r>
              <w:rPr>
                <w:rFonts w:hint="default" w:ascii="Times New Roman" w:hAnsi="Times New Roman" w:eastAsia="宋体" w:cs="Times New Roman"/>
                <w:color w:val="000000" w:themeColor="text1"/>
                <w:sz w:val="21"/>
                <w:szCs w:val="21"/>
                <w:vertAlign w:val="subscript"/>
                <w14:textFill>
                  <w14:solidFill>
                    <w14:schemeClr w14:val="tx1"/>
                  </w14:solidFill>
                </w14:textFill>
              </w:rPr>
              <w:t>atm</w:t>
            </w:r>
            <w:r>
              <w:rPr>
                <w:rFonts w:hint="default" w:ascii="Times New Roman" w:hAnsi="Times New Roman" w:eastAsia="宋体" w:cs="Times New Roman"/>
                <w:color w:val="000000" w:themeColor="text1"/>
                <w:sz w:val="21"/>
                <w:szCs w:val="21"/>
                <w14:textFill>
                  <w14:solidFill>
                    <w14:schemeClr w14:val="tx1"/>
                  </w14:solidFill>
                </w14:textFill>
              </w:rPr>
              <w:t>——大气吸收引起的衰减，dB；</w:t>
            </w:r>
          </w:p>
          <w:p w14:paraId="5E023E96">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w:t>
            </w:r>
            <w:r>
              <w:rPr>
                <w:rFonts w:hint="default" w:ascii="Times New Roman" w:hAnsi="Times New Roman" w:eastAsia="宋体" w:cs="Times New Roman"/>
                <w:color w:val="000000" w:themeColor="text1"/>
                <w:sz w:val="21"/>
                <w:szCs w:val="21"/>
                <w:vertAlign w:val="subscript"/>
                <w14:textFill>
                  <w14:solidFill>
                    <w14:schemeClr w14:val="tx1"/>
                  </w14:solidFill>
                </w14:textFill>
              </w:rPr>
              <w:t>gr</w:t>
            </w:r>
            <w:r>
              <w:rPr>
                <w:rFonts w:hint="default" w:ascii="Times New Roman" w:hAnsi="Times New Roman" w:eastAsia="宋体" w:cs="Times New Roman"/>
                <w:color w:val="000000" w:themeColor="text1"/>
                <w:sz w:val="21"/>
                <w:szCs w:val="21"/>
                <w14:textFill>
                  <w14:solidFill>
                    <w14:schemeClr w14:val="tx1"/>
                  </w14:solidFill>
                </w14:textFill>
              </w:rPr>
              <w:t>——地面效应引起的衰减，dB；</w:t>
            </w:r>
          </w:p>
          <w:p w14:paraId="1727DF0E">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w:t>
            </w:r>
            <w:r>
              <w:rPr>
                <w:rFonts w:hint="default" w:ascii="Times New Roman" w:hAnsi="Times New Roman" w:eastAsia="宋体" w:cs="Times New Roman"/>
                <w:color w:val="000000" w:themeColor="text1"/>
                <w:sz w:val="21"/>
                <w:szCs w:val="21"/>
                <w:vertAlign w:val="subscript"/>
                <w14:textFill>
                  <w14:solidFill>
                    <w14:schemeClr w14:val="tx1"/>
                  </w14:solidFill>
                </w14:textFill>
              </w:rPr>
              <w:t xml:space="preserve">bar </w:t>
            </w:r>
            <w:r>
              <w:rPr>
                <w:rFonts w:hint="default" w:ascii="Times New Roman" w:hAnsi="Times New Roman" w:eastAsia="宋体" w:cs="Times New Roman"/>
                <w:color w:val="000000" w:themeColor="text1"/>
                <w:sz w:val="21"/>
                <w:szCs w:val="21"/>
                <w14:textFill>
                  <w14:solidFill>
                    <w14:schemeClr w14:val="tx1"/>
                  </w14:solidFill>
                </w14:textFill>
              </w:rPr>
              <w:t>——障碍物屏蔽引起的衰减，dB；</w:t>
            </w:r>
          </w:p>
          <w:p w14:paraId="6FA4D867">
            <w:pPr>
              <w:adjustRightInd w:val="0"/>
              <w:snapToGrid w:val="0"/>
              <w:spacing w:line="360" w:lineRule="auto"/>
              <w:ind w:firstLine="1003" w:firstLineChars="478"/>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w:t>
            </w:r>
            <w:r>
              <w:rPr>
                <w:rFonts w:hint="default" w:ascii="Times New Roman" w:hAnsi="Times New Roman" w:eastAsia="宋体" w:cs="Times New Roman"/>
                <w:color w:val="000000" w:themeColor="text1"/>
                <w:sz w:val="21"/>
                <w:szCs w:val="21"/>
                <w:vertAlign w:val="subscript"/>
                <w14:textFill>
                  <w14:solidFill>
                    <w14:schemeClr w14:val="tx1"/>
                  </w14:solidFill>
                </w14:textFill>
              </w:rPr>
              <w:t>misc</w:t>
            </w:r>
            <w:r>
              <w:rPr>
                <w:rFonts w:hint="default" w:ascii="Times New Roman" w:hAnsi="Times New Roman" w:eastAsia="宋体" w:cs="Times New Roman"/>
                <w:color w:val="000000" w:themeColor="text1"/>
                <w:sz w:val="21"/>
                <w:szCs w:val="21"/>
                <w14:textFill>
                  <w14:solidFill>
                    <w14:schemeClr w14:val="tx1"/>
                  </w14:solidFill>
                </w14:textFill>
              </w:rPr>
              <w:t>——其他多方面效应引起的衰减，dB。</w:t>
            </w:r>
          </w:p>
          <w:p w14:paraId="220EC9BA">
            <w:pPr>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项目中噪声源都按点声源处理，无指向性点声源几何发散衰减的基本公式是：</w:t>
            </w:r>
          </w:p>
          <w:p w14:paraId="2C5DA409">
            <w:pPr>
              <w:adjustRightInd w:val="0"/>
              <w:snapToGrid w:val="0"/>
              <w:spacing w:line="360" w:lineRule="auto"/>
              <w:ind w:firstLine="28"/>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object>
                <v:shape id="_x0000_i1029" o:spt="75" type="#_x0000_t75" style="height:18.8pt;width:121.45pt;" o:ole="t" filled="f" coordsize="21600,21600">
                  <v:path/>
                  <v:fill on="f" focussize="0,0"/>
                  <v:stroke/>
                  <v:imagedata r:id="rId21" o:title=""/>
                  <o:lock v:ext="edit" aspectratio="t"/>
                  <w10:wrap type="none"/>
                  <w10:anchorlock/>
                </v:shape>
                <o:OLEObject Type="Embed" ProgID="Equation.3" ShapeID="_x0000_i1029" DrawAspect="Content" ObjectID="_1468075729" r:id="rId20">
                  <o:LockedField>false</o:LockedField>
                </o:OLEObject>
              </w:object>
            </w:r>
          </w:p>
          <w:p w14:paraId="1F6AC157">
            <w:pPr>
              <w:adjustRightInd w:val="0"/>
              <w:snapToGrid w:val="0"/>
              <w:spacing w:line="360" w:lineRule="auto"/>
              <w:ind w:firstLine="420"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式中：Lp(r)——预测点处声压级，dB；</w:t>
            </w:r>
          </w:p>
          <w:p w14:paraId="5D87F8CD">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Lp(r</w:t>
            </w:r>
            <w:r>
              <w:rPr>
                <w:rFonts w:hint="default" w:ascii="Times New Roman" w:hAnsi="Times New Roman" w:eastAsia="宋体" w:cs="Times New Roman"/>
                <w:color w:val="000000" w:themeColor="text1"/>
                <w:sz w:val="21"/>
                <w:szCs w:val="21"/>
                <w:vertAlign w:val="subscript"/>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)——参考位置r0处的声压级，dB；</w:t>
            </w:r>
          </w:p>
          <w:p w14:paraId="4460B447">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r——预测点距声源的距离；</w:t>
            </w:r>
          </w:p>
          <w:p w14:paraId="4CF0DF89">
            <w:pPr>
              <w:adjustRightInd w:val="0"/>
              <w:snapToGrid w:val="0"/>
              <w:spacing w:line="360" w:lineRule="auto"/>
              <w:ind w:firstLine="1003" w:firstLineChars="478"/>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r</w:t>
            </w:r>
            <w:r>
              <w:rPr>
                <w:rFonts w:hint="default" w:ascii="Times New Roman" w:hAnsi="Times New Roman" w:eastAsia="宋体" w:cs="Times New Roman"/>
                <w:color w:val="000000" w:themeColor="text1"/>
                <w:sz w:val="21"/>
                <w:szCs w:val="21"/>
                <w:vertAlign w:val="subscript"/>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——参考位置距声源的距离。</w:t>
            </w:r>
          </w:p>
          <w:p w14:paraId="4FBC5925">
            <w:pPr>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③噪声贡献值计算公式</w:t>
            </w:r>
          </w:p>
          <w:p w14:paraId="07B4BA22">
            <w:pPr>
              <w:adjustRightInd w:val="0"/>
              <w:snapToGrid w:val="0"/>
              <w:spacing w:line="360" w:lineRule="auto"/>
              <w:ind w:firstLine="28"/>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position w:val="-34"/>
                <w:sz w:val="21"/>
                <w:szCs w:val="21"/>
                <w14:textFill>
                  <w14:solidFill>
                    <w14:schemeClr w14:val="tx1"/>
                  </w14:solidFill>
                </w14:textFill>
              </w:rPr>
              <w:object>
                <v:shape id="_x0000_i1030" o:spt="75" type="#_x0000_t75" style="height:34.45pt;width:188.45pt;" o:ole="t" filled="f" coordsize="21600,21600">
                  <v:path/>
                  <v:fill on="f" focussize="0,0"/>
                  <v:stroke/>
                  <v:imagedata r:id="rId23" o:title=""/>
                  <o:lock v:ext="edit" aspectratio="t"/>
                  <w10:wrap type="none"/>
                  <w10:anchorlock/>
                </v:shape>
                <o:OLEObject Type="Embed" ProgID="Equation.3" ShapeID="_x0000_i1030" DrawAspect="Content" ObjectID="_1468075730" r:id="rId22">
                  <o:LockedField>false</o:LockedField>
                </o:OLEObject>
              </w:object>
            </w:r>
          </w:p>
          <w:p w14:paraId="3B556E16">
            <w:pPr>
              <w:adjustRightInd w:val="0"/>
              <w:snapToGrid w:val="0"/>
              <w:spacing w:line="360" w:lineRule="auto"/>
              <w:ind w:firstLine="420"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式中：Leqg——建设项目声源在预测点产生的噪声贡献值，dB；</w:t>
            </w:r>
          </w:p>
          <w:p w14:paraId="576D239F">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T——用于计算等效声级的时间，s；</w:t>
            </w:r>
          </w:p>
          <w:p w14:paraId="10FC7E9B">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N——室外声源个数；</w:t>
            </w:r>
          </w:p>
          <w:p w14:paraId="4191ACBE">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ti——在T时间内i声源工作时间，s；</w:t>
            </w:r>
          </w:p>
          <w:p w14:paraId="0C9CC3DA">
            <w:pPr>
              <w:adjustRightInd w:val="0"/>
              <w:snapToGrid w:val="0"/>
              <w:spacing w:line="360" w:lineRule="auto"/>
              <w:ind w:firstLine="1050" w:firstLineChars="5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M——等效室外声源个数；</w:t>
            </w:r>
          </w:p>
          <w:p w14:paraId="751238F7">
            <w:pPr>
              <w:adjustRightInd w:val="0"/>
              <w:snapToGrid w:val="0"/>
              <w:spacing w:line="360" w:lineRule="auto"/>
              <w:ind w:firstLine="1050" w:firstLineChars="5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tj——在T时间内j声源工作时间，s。</w:t>
            </w:r>
          </w:p>
          <w:p w14:paraId="57205377">
            <w:pPr>
              <w:adjustRightInd w:val="0"/>
              <w:snapToGrid w:val="0"/>
              <w:spacing w:line="360" w:lineRule="auto"/>
              <w:ind w:firstLine="420" w:firstLineChars="200"/>
              <w:rPr>
                <w:rFonts w:hint="default" w:ascii="Times New Roman" w:hAnsi="Times New Roman" w:eastAsia="宋体" w:cs="Times New Roman"/>
                <w:color w:val="FF0000"/>
                <w:sz w:val="21"/>
                <w:szCs w:val="21"/>
              </w:rPr>
            </w:pPr>
            <w:r>
              <w:rPr>
                <w:rFonts w:hint="default" w:ascii="Times New Roman" w:hAnsi="Times New Roman" w:eastAsia="宋体" w:cs="Times New Roman"/>
                <w:snapToGrid w:val="0"/>
                <w:color w:val="000000" w:themeColor="text1"/>
                <w:kern w:val="0"/>
                <w:sz w:val="21"/>
                <w:szCs w:val="21"/>
                <w14:textFill>
                  <w14:solidFill>
                    <w14:schemeClr w14:val="tx1"/>
                  </w14:solidFill>
                </w14:textFill>
              </w:rPr>
              <w:t>考虑噪声距离衰减和隔声措施，本项目噪声源对厂界贡献值见表4-</w:t>
            </w: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16</w:t>
            </w:r>
            <w:r>
              <w:rPr>
                <w:rFonts w:hint="default" w:ascii="Times New Roman" w:hAnsi="Times New Roman" w:eastAsia="宋体" w:cs="Times New Roman"/>
                <w:snapToGrid w:val="0"/>
                <w:color w:val="000000" w:themeColor="text1"/>
                <w:kern w:val="0"/>
                <w:sz w:val="21"/>
                <w:szCs w:val="21"/>
                <w14:textFill>
                  <w14:solidFill>
                    <w14:schemeClr w14:val="tx1"/>
                  </w14:solidFill>
                </w14:textFill>
              </w:rPr>
              <w:t>。</w:t>
            </w:r>
          </w:p>
          <w:p w14:paraId="5437DC2D">
            <w:pPr>
              <w:spacing w:line="360" w:lineRule="auto"/>
              <w:ind w:firstLine="422" w:firstLineChars="200"/>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3.3噪声防治措施及投资表</w:t>
            </w:r>
          </w:p>
          <w:p w14:paraId="7E069139">
            <w:pPr>
              <w:pStyle w:val="13"/>
              <w:adjustRightInd w:val="0"/>
              <w:snapToGrid w:val="0"/>
              <w:spacing w:after="0"/>
              <w:ind w:left="0" w:leftChars="0" w:right="0" w:rightChars="0"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为减轻噪声影响，公司采取隔声降噪措施，具体噪声防治措施及投资情况详见表4-</w:t>
            </w:r>
            <w:r>
              <w:rPr>
                <w:rFonts w:hint="eastAsia" w:cs="Times New Roman"/>
                <w:color w:val="000000" w:themeColor="text1"/>
                <w:sz w:val="21"/>
                <w:szCs w:val="21"/>
                <w:lang w:val="en-US" w:eastAsia="zh-CN"/>
                <w14:textFill>
                  <w14:solidFill>
                    <w14:schemeClr w14:val="tx1"/>
                  </w14:solidFill>
                </w14:textFill>
              </w:rPr>
              <w:t>19</w:t>
            </w:r>
            <w:r>
              <w:rPr>
                <w:rFonts w:hint="default" w:ascii="Times New Roman" w:hAnsi="Times New Roman" w:eastAsia="宋体" w:cs="Times New Roman"/>
                <w:color w:val="000000" w:themeColor="text1"/>
                <w:sz w:val="21"/>
                <w:szCs w:val="21"/>
                <w14:textFill>
                  <w14:solidFill>
                    <w14:schemeClr w14:val="tx1"/>
                  </w14:solidFill>
                </w14:textFill>
              </w:rPr>
              <w:t>。</w:t>
            </w:r>
          </w:p>
          <w:p w14:paraId="5303698F">
            <w:pPr>
              <w:pStyle w:val="13"/>
              <w:adjustRightInd w:val="0"/>
              <w:snapToGrid w:val="0"/>
              <w:spacing w:after="0" w:line="360" w:lineRule="auto"/>
              <w:ind w:left="0" w:leftChars="0" w:right="0" w:rightChars="0" w:firstLine="422" w:firstLineChars="200"/>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b/>
                <w:bCs/>
                <w:color w:val="000000" w:themeColor="text1"/>
                <w:sz w:val="21"/>
                <w:szCs w:val="21"/>
                <w14:textFill>
                  <w14:solidFill>
                    <w14:schemeClr w14:val="tx1"/>
                  </w14:solidFill>
                </w14:textFill>
              </w:rPr>
              <w:t>4</w:t>
            </w:r>
            <w:r>
              <w:rPr>
                <w:b/>
                <w:bCs/>
                <w:color w:val="000000" w:themeColor="text1"/>
                <w:sz w:val="21"/>
                <w:szCs w:val="21"/>
                <w14:textFill>
                  <w14:solidFill>
                    <w14:schemeClr w14:val="tx1"/>
                  </w14:solidFill>
                </w14:textFill>
              </w:rPr>
              <w:t>噪声监测计划</w:t>
            </w:r>
          </w:p>
          <w:p w14:paraId="2B2B3BA0">
            <w:pPr>
              <w:pStyle w:val="13"/>
              <w:adjustRightInd w:val="0"/>
              <w:snapToGrid w:val="0"/>
              <w:spacing w:after="0" w:line="360" w:lineRule="auto"/>
              <w:ind w:left="0" w:leftChars="0" w:right="0" w:rightChars="0"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根据《排污单位自行监测技术指南 </w:t>
            </w:r>
            <w:r>
              <w:rPr>
                <w:rFonts w:hint="eastAsia" w:ascii="Times New Roman" w:hAnsi="Times New Roman" w:eastAsia="宋体" w:cs="Times New Roman"/>
                <w:color w:val="000000" w:themeColor="text1"/>
                <w:sz w:val="21"/>
                <w:szCs w:val="21"/>
                <w14:textFill>
                  <w14:solidFill>
                    <w14:schemeClr w14:val="tx1"/>
                  </w14:solidFill>
                </w14:textFill>
              </w:rPr>
              <w:t>橡胶与塑料制品</w:t>
            </w:r>
            <w:r>
              <w:rPr>
                <w:rFonts w:hint="default" w:ascii="Times New Roman" w:hAnsi="Times New Roman" w:eastAsia="宋体" w:cs="Times New Roman"/>
                <w:color w:val="000000" w:themeColor="text1"/>
                <w:sz w:val="21"/>
                <w:szCs w:val="21"/>
                <w14:textFill>
                  <w14:solidFill>
                    <w14:schemeClr w14:val="tx1"/>
                  </w14:solidFill>
                </w14:textFill>
              </w:rPr>
              <w:t>》（HJ1207-2021）“厂界环境噪声每季度至少开展一次</w:t>
            </w:r>
            <w:r>
              <w:rPr>
                <w:rFonts w:hint="eastAsia" w:ascii="Times New Roman" w:hAnsi="Times New Roman" w:eastAsia="宋体" w:cs="Times New Roman"/>
                <w:color w:val="000000" w:themeColor="text1"/>
                <w:sz w:val="21"/>
                <w:szCs w:val="21"/>
                <w14:textFill>
                  <w14:solidFill>
                    <w14:schemeClr w14:val="tx1"/>
                  </w14:solidFill>
                </w14:textFill>
              </w:rPr>
              <w:t>昼、夜间噪声监测</w:t>
            </w:r>
            <w:r>
              <w:rPr>
                <w:rFonts w:hint="default" w:ascii="Times New Roman" w:hAnsi="Times New Roman" w:eastAsia="宋体" w:cs="Times New Roman"/>
                <w:color w:val="000000" w:themeColor="text1"/>
                <w:sz w:val="21"/>
                <w:szCs w:val="21"/>
                <w14:textFill>
                  <w14:solidFill>
                    <w14:schemeClr w14:val="tx1"/>
                  </w14:solidFill>
                </w14:textFill>
              </w:rPr>
              <w:t>”，因此定期监测厂界四周噪声，共设置4个监测点位，监测频率为1次/季，并在噪声监测点附近醒目处设置环境保护图形标志牌</w:t>
            </w:r>
            <w:r>
              <w:rPr>
                <w:snapToGrid w:val="0"/>
                <w:color w:val="000000" w:themeColor="text1"/>
                <w:kern w:val="0"/>
                <w:szCs w:val="21"/>
                <w14:textFill>
                  <w14:solidFill>
                    <w14:schemeClr w14:val="tx1"/>
                  </w14:solidFill>
                </w14:textFill>
              </w:rPr>
              <w:t>。</w:t>
            </w:r>
          </w:p>
          <w:p w14:paraId="4A23D4EC">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textAlignment w:val="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4、固体废物</w:t>
            </w:r>
          </w:p>
          <w:p w14:paraId="5BAC3042">
            <w:pPr>
              <w:pStyle w:val="13"/>
              <w:adjustRightInd w:val="0"/>
              <w:snapToGrid w:val="0"/>
              <w:spacing w:after="0" w:line="360" w:lineRule="auto"/>
              <w:ind w:left="0" w:leftChars="0" w:right="0" w:rightChars="0" w:firstLine="420" w:firstLineChars="200"/>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根据工程分析，本项目固体废物主要为</w:t>
            </w:r>
            <w:r>
              <w:rPr>
                <w:rFonts w:hint="eastAsia"/>
                <w:color w:val="auto"/>
                <w:lang w:val="en-US" w:eastAsia="zh-CN"/>
              </w:rPr>
              <w:t>注塑成型产生的焦化塑料、废气处理设施产生的废布袋、废气处理处理产生的滤尘及废活性炭、</w:t>
            </w:r>
            <w:r>
              <w:rPr>
                <w:rFonts w:hint="eastAsia" w:ascii="Times New Roman" w:hAnsi="Times New Roman" w:eastAsia="宋体" w:cs="Times New Roman"/>
                <w:color w:val="000000" w:themeColor="text1"/>
                <w:sz w:val="21"/>
                <w:szCs w:val="21"/>
                <w14:textFill>
                  <w14:solidFill>
                    <w14:schemeClr w14:val="tx1"/>
                  </w14:solidFill>
                </w14:textFill>
              </w:rPr>
              <w:t>设备维护产生的废机油及废油桶、员工生活产生的生活垃圾。</w:t>
            </w:r>
          </w:p>
          <w:p w14:paraId="77C43B99">
            <w:pPr>
              <w:pStyle w:val="13"/>
              <w:adjustRightInd w:val="0"/>
              <w:snapToGrid w:val="0"/>
              <w:spacing w:after="0" w:line="360" w:lineRule="auto"/>
              <w:ind w:left="0" w:leftChars="0" w:right="0" w:rightChars="0"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（1）</w:t>
            </w:r>
            <w:r>
              <w:rPr>
                <w:rFonts w:hint="eastAsia"/>
                <w:color w:val="auto"/>
                <w:lang w:val="en-US" w:eastAsia="zh-CN"/>
              </w:rPr>
              <w:t>焦化塑料</w:t>
            </w:r>
            <w:r>
              <w:rPr>
                <w:rFonts w:hint="eastAsia" w:ascii="Times New Roman" w:hAnsi="Times New Roman" w:cs="Times New Roman"/>
                <w:color w:val="auto"/>
                <w:lang w:val="en-US" w:eastAsia="zh-CN"/>
              </w:rPr>
              <w:t>：根据物料平衡，</w:t>
            </w:r>
            <w:r>
              <w:rPr>
                <w:rFonts w:hint="eastAsia" w:cs="Times New Roman"/>
                <w:bCs/>
                <w:color w:val="auto"/>
                <w:sz w:val="21"/>
                <w:szCs w:val="21"/>
                <w:lang w:val="en-US" w:eastAsia="zh-CN"/>
              </w:rPr>
              <w:t>焦化塑料产生量约为</w:t>
            </w:r>
            <w:r>
              <w:rPr>
                <w:rFonts w:hint="eastAsia" w:cs="Times New Roman"/>
                <w:color w:val="auto"/>
                <w:sz w:val="21"/>
                <w:szCs w:val="21"/>
                <w:lang w:val="en-US" w:eastAsia="zh-CN"/>
              </w:rPr>
              <w:t>4.3844t/a</w:t>
            </w:r>
            <w:r>
              <w:rPr>
                <w:rFonts w:hint="eastAsia" w:ascii="Times New Roman" w:hAnsi="Times New Roman" w:cs="Times New Roman"/>
                <w:color w:val="auto"/>
                <w:lang w:val="en-US" w:eastAsia="zh-CN"/>
              </w:rPr>
              <w:t>。</w:t>
            </w:r>
          </w:p>
          <w:p w14:paraId="46BB44CC">
            <w:pPr>
              <w:pStyle w:val="13"/>
              <w:adjustRightInd w:val="0"/>
              <w:snapToGrid w:val="0"/>
              <w:spacing w:after="0" w:line="360" w:lineRule="auto"/>
              <w:ind w:left="0" w:leftChars="0" w:right="0" w:rightChars="0" w:firstLine="420" w:firstLineChars="200"/>
              <w:rPr>
                <w:rFonts w:hint="eastAsia"/>
                <w:color w:val="auto"/>
                <w:szCs w:val="21"/>
                <w:lang w:val="en-US" w:eastAsia="zh-CN"/>
              </w:rPr>
            </w:pPr>
            <w:r>
              <w:rPr>
                <w:rFonts w:hint="eastAsia" w:ascii="Times New Roman" w:hAnsi="Times New Roman" w:cs="Times New Roman"/>
                <w:color w:val="auto"/>
                <w:lang w:val="en-US" w:eastAsia="zh-CN"/>
              </w:rPr>
              <w:t>（2）</w:t>
            </w:r>
            <w:r>
              <w:rPr>
                <w:rFonts w:hint="eastAsia"/>
                <w:color w:val="auto"/>
                <w:lang w:val="en-US" w:eastAsia="zh-CN"/>
              </w:rPr>
              <w:t>废布袋：</w:t>
            </w:r>
            <w:r>
              <w:rPr>
                <w:rFonts w:hint="eastAsia"/>
                <w:color w:val="auto"/>
                <w:szCs w:val="21"/>
                <w:lang w:val="en-US" w:eastAsia="zh-CN"/>
              </w:rPr>
              <w:t>项目建成后，布袋定期更换，年产生废布袋约0.01t/a。</w:t>
            </w:r>
          </w:p>
          <w:p w14:paraId="5F646D79">
            <w:pPr>
              <w:pStyle w:val="13"/>
              <w:adjustRightInd w:val="0"/>
              <w:snapToGrid w:val="0"/>
              <w:spacing w:after="0" w:line="360" w:lineRule="auto"/>
              <w:ind w:left="0" w:leftChars="0" w:right="0" w:rightChars="0" w:firstLine="420" w:firstLineChars="200"/>
              <w:rPr>
                <w:rFonts w:hint="eastAsia"/>
                <w:color w:val="auto"/>
                <w:szCs w:val="21"/>
                <w:lang w:val="en-US" w:eastAsia="zh-CN"/>
              </w:rPr>
            </w:pPr>
            <w:r>
              <w:rPr>
                <w:rFonts w:hint="eastAsia"/>
                <w:color w:val="auto"/>
                <w:szCs w:val="21"/>
                <w:lang w:val="en-US" w:eastAsia="zh-CN"/>
              </w:rPr>
              <w:t>（3）</w:t>
            </w:r>
            <w:r>
              <w:rPr>
                <w:rFonts w:hint="eastAsia"/>
                <w:color w:val="auto"/>
                <w:lang w:val="en-US" w:eastAsia="zh-CN"/>
              </w:rPr>
              <w:t>滤尘：</w:t>
            </w:r>
            <w:r>
              <w:rPr>
                <w:rFonts w:hint="eastAsia" w:ascii="Times New Roman" w:hAnsi="Times New Roman" w:cs="Times New Roman"/>
                <w:color w:val="auto"/>
                <w:lang w:val="en-US" w:eastAsia="zh-CN"/>
              </w:rPr>
              <w:t>根据物料平衡，</w:t>
            </w:r>
            <w:r>
              <w:rPr>
                <w:rFonts w:hint="eastAsia"/>
                <w:color w:val="auto"/>
                <w:lang w:val="en-US" w:eastAsia="zh-CN"/>
              </w:rPr>
              <w:t>滤尘产生量约为0.086</w:t>
            </w:r>
            <w:r>
              <w:rPr>
                <w:rFonts w:hint="eastAsia"/>
                <w:color w:val="auto"/>
                <w:szCs w:val="21"/>
                <w:lang w:val="en-US" w:eastAsia="zh-CN"/>
              </w:rPr>
              <w:t>t/a。</w:t>
            </w:r>
          </w:p>
          <w:p w14:paraId="6B620A6E">
            <w:pPr>
              <w:pStyle w:val="13"/>
              <w:adjustRightInd w:val="0"/>
              <w:snapToGrid w:val="0"/>
              <w:spacing w:after="0" w:line="360" w:lineRule="auto"/>
              <w:ind w:left="0" w:leftChars="0" w:right="0" w:rightChars="0" w:firstLine="420" w:firstLineChars="200"/>
              <w:rPr>
                <w:rFonts w:hint="eastAsia" w:ascii="Times New Roman" w:hAnsi="Times New Roman" w:cs="Times New Roman"/>
                <w:color w:val="auto"/>
                <w:lang w:val="en-US" w:eastAsia="zh-CN"/>
              </w:rPr>
            </w:pPr>
            <w:r>
              <w:rPr>
                <w:rFonts w:hint="eastAsia" w:cs="Times New Roman"/>
                <w:color w:val="auto"/>
                <w:lang w:val="en-US" w:eastAsia="zh-CN"/>
              </w:rPr>
              <w:t>（4）</w:t>
            </w:r>
            <w:r>
              <w:rPr>
                <w:rFonts w:hint="eastAsia" w:ascii="Times New Roman" w:hAnsi="Times New Roman" w:eastAsia="宋体" w:cs="Times New Roman"/>
                <w:color w:val="auto"/>
                <w:lang w:val="en-US" w:eastAsia="zh-CN"/>
              </w:rPr>
              <w:t>边角料、不合格品：</w:t>
            </w:r>
            <w:r>
              <w:rPr>
                <w:rFonts w:hint="eastAsia" w:ascii="Times New Roman" w:hAnsi="Times New Roman" w:cs="Times New Roman"/>
                <w:color w:val="auto"/>
                <w:lang w:val="en-US" w:eastAsia="zh-CN"/>
              </w:rPr>
              <w:t>根据物料平衡，</w:t>
            </w:r>
            <w:r>
              <w:rPr>
                <w:rFonts w:hint="eastAsia"/>
                <w:color w:val="auto"/>
                <w:lang w:val="en-US" w:eastAsia="zh-CN"/>
              </w:rPr>
              <w:t>产生量约为</w:t>
            </w:r>
            <w:r>
              <w:rPr>
                <w:rFonts w:hint="default" w:ascii="Times New Roman" w:hAnsi="Times New Roman" w:eastAsia="宋体" w:cs="Times New Roman"/>
                <w:color w:val="auto"/>
                <w:kern w:val="2"/>
                <w:lang w:val="en-US" w:eastAsia="zh-CN"/>
              </w:rPr>
              <w:t>56.35</w:t>
            </w:r>
            <w:r>
              <w:rPr>
                <w:rFonts w:hint="eastAsia"/>
                <w:color w:val="auto"/>
                <w:lang w:val="en-US" w:eastAsia="zh-CN"/>
              </w:rPr>
              <w:t>6</w:t>
            </w:r>
            <w:r>
              <w:rPr>
                <w:rFonts w:hint="eastAsia"/>
                <w:color w:val="auto"/>
                <w:szCs w:val="21"/>
                <w:lang w:val="en-US" w:eastAsia="zh-CN"/>
              </w:rPr>
              <w:t>t/a。</w:t>
            </w:r>
          </w:p>
          <w:p w14:paraId="4CA524BA">
            <w:pPr>
              <w:pStyle w:val="13"/>
              <w:adjustRightInd w:val="0"/>
              <w:snapToGrid w:val="0"/>
              <w:spacing w:after="0" w:line="360" w:lineRule="auto"/>
              <w:ind w:left="0" w:leftChars="0" w:right="0" w:rightChars="0"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r>
              <w:rPr>
                <w:rFonts w:hint="eastAsia" w:cs="Times New Roman"/>
                <w:color w:val="auto"/>
                <w:lang w:val="en-US" w:eastAsia="zh-CN"/>
              </w:rPr>
              <w:t>5</w:t>
            </w:r>
            <w:r>
              <w:rPr>
                <w:rFonts w:hint="eastAsia" w:ascii="Times New Roman" w:hAnsi="Times New Roman" w:cs="Times New Roman"/>
                <w:color w:val="auto"/>
                <w:lang w:val="en-US" w:eastAsia="zh-CN"/>
              </w:rPr>
              <w:t>）废活性炭：本项目废气处理装置去除有机废气总量0.3018t/a。废活性炭的更换周期按《省生态环境厅关于将排污单位活性炭使用更换纳入排污许可管理的通知》中计算公式计算：</w:t>
            </w:r>
          </w:p>
          <w:p w14:paraId="429BAD08">
            <w:pPr>
              <w:adjustRightInd w:val="0"/>
              <w:snapToGrid w:val="0"/>
              <w:spacing w:line="360" w:lineRule="auto"/>
              <w:ind w:firstLine="420" w:firstLineChars="20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T=m×s÷（c×10</w:t>
            </w:r>
            <w:r>
              <w:rPr>
                <w:rFonts w:hint="default" w:ascii="Times New Roman" w:hAnsi="Times New Roman" w:eastAsia="宋体" w:cs="Times New Roman"/>
                <w:bCs/>
                <w:color w:val="auto"/>
                <w:kern w:val="0"/>
                <w:sz w:val="21"/>
                <w:szCs w:val="21"/>
                <w:vertAlign w:val="superscript"/>
              </w:rPr>
              <w:t>-6</w:t>
            </w:r>
            <w:r>
              <w:rPr>
                <w:rFonts w:hint="default" w:ascii="Times New Roman" w:hAnsi="Times New Roman" w:eastAsia="宋体" w:cs="Times New Roman"/>
                <w:bCs/>
                <w:color w:val="auto"/>
                <w:kern w:val="0"/>
                <w:sz w:val="21"/>
                <w:szCs w:val="21"/>
              </w:rPr>
              <w:t>×Q×t）</w:t>
            </w:r>
          </w:p>
          <w:p w14:paraId="7FCC0722">
            <w:pPr>
              <w:adjustRightInd w:val="0"/>
              <w:snapToGrid w:val="0"/>
              <w:spacing w:line="360" w:lineRule="auto"/>
              <w:ind w:firstLine="420" w:firstLineChars="200"/>
              <w:jc w:val="left"/>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式中：T—更换周期，天；</w:t>
            </w:r>
          </w:p>
          <w:p w14:paraId="2150AEC8">
            <w:pPr>
              <w:adjustRightInd w:val="0"/>
              <w:snapToGrid w:val="0"/>
              <w:spacing w:line="360" w:lineRule="auto"/>
              <w:ind w:firstLine="420" w:firstLineChars="200"/>
              <w:jc w:val="left"/>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m—活性炭的用量，kg；</w:t>
            </w:r>
          </w:p>
          <w:p w14:paraId="1BC2B3C4">
            <w:pPr>
              <w:adjustRightInd w:val="0"/>
              <w:snapToGrid w:val="0"/>
              <w:spacing w:line="360" w:lineRule="auto"/>
              <w:ind w:firstLine="420" w:firstLineChars="200"/>
              <w:jc w:val="left"/>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s—动态吸附量，%；（一般取值10%）</w:t>
            </w:r>
          </w:p>
          <w:p w14:paraId="0AD6D5BA">
            <w:pPr>
              <w:adjustRightInd w:val="0"/>
              <w:snapToGrid w:val="0"/>
              <w:spacing w:line="360" w:lineRule="auto"/>
              <w:ind w:firstLine="420" w:firstLineChars="200"/>
              <w:jc w:val="left"/>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c—活性炭削减的VOCs浓度，mg/m</w:t>
            </w:r>
            <w:r>
              <w:rPr>
                <w:rFonts w:hint="default" w:ascii="Times New Roman" w:hAnsi="Times New Roman" w:eastAsia="宋体" w:cs="Times New Roman"/>
                <w:bCs/>
                <w:color w:val="auto"/>
                <w:kern w:val="0"/>
                <w:sz w:val="21"/>
                <w:szCs w:val="21"/>
                <w:vertAlign w:val="superscript"/>
              </w:rPr>
              <w:t>3</w:t>
            </w:r>
            <w:r>
              <w:rPr>
                <w:rFonts w:hint="default" w:ascii="Times New Roman" w:hAnsi="Times New Roman" w:eastAsia="宋体" w:cs="Times New Roman"/>
                <w:bCs/>
                <w:color w:val="auto"/>
                <w:kern w:val="0"/>
                <w:sz w:val="21"/>
                <w:szCs w:val="21"/>
              </w:rPr>
              <w:t>；</w:t>
            </w:r>
          </w:p>
          <w:p w14:paraId="60DBBCE8">
            <w:pPr>
              <w:adjustRightInd w:val="0"/>
              <w:snapToGrid w:val="0"/>
              <w:spacing w:line="360" w:lineRule="auto"/>
              <w:ind w:firstLine="420" w:firstLineChars="200"/>
              <w:jc w:val="left"/>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Q—风量，单位m</w:t>
            </w:r>
            <w:r>
              <w:rPr>
                <w:rFonts w:hint="default" w:ascii="Times New Roman" w:hAnsi="Times New Roman" w:eastAsia="宋体" w:cs="Times New Roman"/>
                <w:bCs/>
                <w:color w:val="auto"/>
                <w:kern w:val="0"/>
                <w:sz w:val="21"/>
                <w:szCs w:val="21"/>
                <w:vertAlign w:val="superscript"/>
              </w:rPr>
              <w:t>3</w:t>
            </w:r>
            <w:r>
              <w:rPr>
                <w:rFonts w:hint="default" w:ascii="Times New Roman" w:hAnsi="Times New Roman" w:eastAsia="宋体" w:cs="Times New Roman"/>
                <w:bCs/>
                <w:color w:val="auto"/>
                <w:kern w:val="0"/>
                <w:sz w:val="21"/>
                <w:szCs w:val="21"/>
              </w:rPr>
              <w:t>/h；</w:t>
            </w:r>
          </w:p>
          <w:p w14:paraId="31C32CDF">
            <w:pPr>
              <w:adjustRightInd w:val="0"/>
              <w:snapToGrid w:val="0"/>
              <w:spacing w:line="360" w:lineRule="auto"/>
              <w:ind w:firstLine="420" w:firstLineChars="200"/>
              <w:jc w:val="left"/>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t—运行时间，单位h/d。</w:t>
            </w:r>
          </w:p>
          <w:p w14:paraId="4FEAEABB">
            <w:pPr>
              <w:adjustRightInd w:val="0"/>
              <w:snapToGrid w:val="0"/>
              <w:spacing w:line="360" w:lineRule="auto"/>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本项目活性炭吸附装置的活性炭更换周期计算结果如下表所示：</w:t>
            </w:r>
          </w:p>
          <w:p w14:paraId="20F61CD1">
            <w:pPr>
              <w:pStyle w:val="13"/>
              <w:adjustRightInd w:val="0"/>
              <w:snapToGrid w:val="0"/>
              <w:spacing w:after="0" w:line="360" w:lineRule="auto"/>
              <w:ind w:left="0" w:leftChars="0" w:right="0" w:rightChars="0"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r>
              <w:rPr>
                <w:rFonts w:hint="eastAsia" w:cs="Times New Roman"/>
                <w:color w:val="auto"/>
                <w:lang w:val="en-US" w:eastAsia="zh-CN"/>
              </w:rPr>
              <w:t>6</w:t>
            </w:r>
            <w:r>
              <w:rPr>
                <w:rFonts w:hint="eastAsia" w:ascii="Times New Roman" w:hAnsi="Times New Roman" w:cs="Times New Roman"/>
                <w:color w:val="auto"/>
                <w:lang w:val="en-US" w:eastAsia="zh-CN"/>
              </w:rPr>
              <w:t>）废机油：企业设备维护产生一定废机油，产生量约为0.1t/a。</w:t>
            </w:r>
          </w:p>
          <w:p w14:paraId="3AA96A6E">
            <w:pPr>
              <w:pStyle w:val="13"/>
              <w:adjustRightInd w:val="0"/>
              <w:snapToGrid w:val="0"/>
              <w:spacing w:after="0" w:line="360" w:lineRule="auto"/>
              <w:ind w:left="0" w:leftChars="0" w:right="0" w:rightChars="0"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r>
              <w:rPr>
                <w:rFonts w:hint="eastAsia" w:cs="Times New Roman"/>
                <w:color w:val="auto"/>
                <w:lang w:val="en-US" w:eastAsia="zh-CN"/>
              </w:rPr>
              <w:t>7</w:t>
            </w:r>
            <w:r>
              <w:rPr>
                <w:rFonts w:hint="eastAsia" w:ascii="Times New Roman" w:hAnsi="Times New Roman" w:cs="Times New Roman"/>
                <w:color w:val="auto"/>
                <w:lang w:val="en-US" w:eastAsia="zh-CN"/>
              </w:rPr>
              <w:t>）废油桶：企业设备维护产生一定废油桶，产生量约为0.008t/a。</w:t>
            </w:r>
          </w:p>
          <w:p w14:paraId="72323960">
            <w:pPr>
              <w:pStyle w:val="13"/>
              <w:adjustRightInd w:val="0"/>
              <w:snapToGrid w:val="0"/>
              <w:spacing w:after="0" w:line="360" w:lineRule="auto"/>
              <w:ind w:left="0" w:leftChars="0" w:right="0" w:rightChars="0"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r>
              <w:rPr>
                <w:rFonts w:hint="eastAsia" w:cs="Times New Roman"/>
                <w:color w:val="auto"/>
                <w:lang w:val="en-US" w:eastAsia="zh-CN"/>
              </w:rPr>
              <w:t>8</w:t>
            </w:r>
            <w:r>
              <w:rPr>
                <w:rFonts w:hint="eastAsia" w:ascii="Times New Roman" w:hAnsi="Times New Roman" w:cs="Times New Roman"/>
                <w:color w:val="auto"/>
                <w:lang w:val="en-US" w:eastAsia="zh-CN"/>
              </w:rPr>
              <w:t>）废模具：注塑成型工序模具更换产生一定废模具，产生量约为</w:t>
            </w:r>
            <w:r>
              <w:rPr>
                <w:rFonts w:hint="default" w:ascii="Times New Roman" w:hAnsi="Times New Roman" w:eastAsia="宋体" w:cs="Times New Roman"/>
                <w:bCs/>
                <w:color w:val="auto"/>
                <w:lang w:val="en-US" w:eastAsia="zh-CN"/>
              </w:rPr>
              <w:t>1</w:t>
            </w:r>
            <w:r>
              <w:rPr>
                <w:rFonts w:hint="eastAsia" w:ascii="Times New Roman" w:hAnsi="Times New Roman" w:cs="Times New Roman"/>
                <w:color w:val="auto"/>
                <w:lang w:val="en-US" w:eastAsia="zh-CN"/>
              </w:rPr>
              <w:t>t/a。</w:t>
            </w:r>
          </w:p>
          <w:p w14:paraId="26427F6B">
            <w:pPr>
              <w:pStyle w:val="135"/>
              <w:ind w:firstLine="496"/>
              <w:rPr>
                <w:color w:val="auto"/>
              </w:rPr>
            </w:pPr>
            <w:r>
              <w:rPr>
                <w:rFonts w:hint="eastAsia"/>
                <w:color w:val="auto"/>
              </w:rPr>
              <w:t>（</w:t>
            </w:r>
            <w:r>
              <w:rPr>
                <w:rFonts w:hint="eastAsia"/>
                <w:color w:val="auto"/>
                <w:lang w:val="en-US" w:eastAsia="zh-CN"/>
              </w:rPr>
              <w:t>9</w:t>
            </w:r>
            <w:r>
              <w:rPr>
                <w:rFonts w:hint="eastAsia"/>
                <w:color w:val="auto"/>
              </w:rPr>
              <w:t>）生活垃圾：根据《第一次全国污染源普查 城镇生活源产排污系数手册》（2008年3月）中“第一部分 城镇居民生活污水、生活垃圾”表1相关系数，本项目属于二区一类，生活垃圾产生量为0.68kg/人·天，本项目员工共有</w:t>
            </w:r>
            <w:r>
              <w:rPr>
                <w:rFonts w:hint="eastAsia"/>
                <w:color w:val="auto"/>
                <w:lang w:val="en-US" w:eastAsia="zh-CN"/>
              </w:rPr>
              <w:t>30</w:t>
            </w:r>
            <w:r>
              <w:rPr>
                <w:rFonts w:hint="eastAsia"/>
                <w:color w:val="auto"/>
              </w:rPr>
              <w:t>人，年有效工作时间3</w:t>
            </w:r>
            <w:r>
              <w:rPr>
                <w:color w:val="auto"/>
              </w:rPr>
              <w:t>00</w:t>
            </w:r>
            <w:r>
              <w:rPr>
                <w:rFonts w:hint="eastAsia"/>
                <w:color w:val="auto"/>
              </w:rPr>
              <w:t>天，产生的生活垃圾约为</w:t>
            </w:r>
            <w:r>
              <w:rPr>
                <w:rFonts w:hint="eastAsia"/>
                <w:color w:val="auto"/>
                <w:lang w:val="en-US" w:eastAsia="zh-CN"/>
              </w:rPr>
              <w:t>6.12</w:t>
            </w:r>
            <w:r>
              <w:rPr>
                <w:rFonts w:hint="eastAsia"/>
                <w:color w:val="auto"/>
              </w:rPr>
              <w:t>t/a。</w:t>
            </w:r>
          </w:p>
          <w:p w14:paraId="17F15BBD">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5、地下水、土壤</w:t>
            </w:r>
          </w:p>
          <w:p w14:paraId="2159185C">
            <w:pPr>
              <w:adjustRightInd w:val="0"/>
              <w:snapToGrid w:val="0"/>
              <w:spacing w:line="360" w:lineRule="auto"/>
              <w:ind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防渗处理是防止地下水污染的重要</w:t>
            </w:r>
            <w:r>
              <w:rPr>
                <w:rFonts w:hint="eastAsia" w:ascii="Times New Roman" w:hAnsi="Times New Roman" w:eastAsia="宋体" w:cs="Times New Roman"/>
                <w:color w:val="000000" w:themeColor="text1"/>
                <w:sz w:val="21"/>
                <w:szCs w:val="21"/>
                <w14:textFill>
                  <w14:solidFill>
                    <w14:schemeClr w14:val="tx1"/>
                  </w14:solidFill>
                </w14:textFill>
              </w:rPr>
              <w:t>环境</w:t>
            </w:r>
            <w:r>
              <w:rPr>
                <w:rFonts w:hint="default" w:ascii="Times New Roman" w:hAnsi="Times New Roman" w:eastAsia="宋体" w:cs="Times New Roman"/>
                <w:color w:val="000000" w:themeColor="text1"/>
                <w:sz w:val="21"/>
                <w:szCs w:val="21"/>
                <w14:textFill>
                  <w14:solidFill>
                    <w14:schemeClr w14:val="tx1"/>
                  </w14:solidFill>
                </w14:textFill>
              </w:rPr>
              <w:t>保护措施，也是杜绝地下水</w:t>
            </w:r>
            <w:r>
              <w:rPr>
                <w:rFonts w:hint="eastAsia" w:ascii="Times New Roman" w:hAnsi="Times New Roman" w:eastAsia="宋体" w:cs="Times New Roman"/>
                <w:color w:val="000000" w:themeColor="text1"/>
                <w:sz w:val="21"/>
                <w:szCs w:val="21"/>
                <w14:textFill>
                  <w14:solidFill>
                    <w14:schemeClr w14:val="tx1"/>
                  </w14:solidFill>
                </w14:textFill>
              </w:rPr>
              <w:t>、土壤</w:t>
            </w:r>
            <w:r>
              <w:rPr>
                <w:rFonts w:hint="default" w:ascii="Times New Roman" w:hAnsi="Times New Roman" w:eastAsia="宋体" w:cs="Times New Roman"/>
                <w:color w:val="000000" w:themeColor="text1"/>
                <w:sz w:val="21"/>
                <w:szCs w:val="21"/>
                <w14:textFill>
                  <w14:solidFill>
                    <w14:schemeClr w14:val="tx1"/>
                  </w14:solidFill>
                </w14:textFill>
              </w:rPr>
              <w:t>污染的最后一道防线，依据项目区域水文地质情况及项目特点，提出如下污染防治措施及防渗要求。</w:t>
            </w:r>
          </w:p>
          <w:p w14:paraId="72084BD3">
            <w:pPr>
              <w:adjustRightInd w:val="0"/>
              <w:snapToGrid w:val="0"/>
              <w:spacing w:line="360" w:lineRule="auto"/>
              <w:ind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本项目</w:t>
            </w:r>
            <w:r>
              <w:rPr>
                <w:rFonts w:hint="default" w:ascii="Times New Roman" w:hAnsi="Times New Roman" w:eastAsia="宋体" w:cs="Times New Roman"/>
                <w:color w:val="000000" w:themeColor="text1"/>
                <w:sz w:val="21"/>
                <w:szCs w:val="21"/>
                <w14:textFill>
                  <w14:solidFill>
                    <w14:schemeClr w14:val="tx1"/>
                  </w14:solidFill>
                </w14:textFill>
              </w:rPr>
              <w:t>厂区应划分为重点防渗区</w:t>
            </w:r>
            <w:r>
              <w:rPr>
                <w:rFonts w:hint="eastAsia"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一般防渗区</w:t>
            </w:r>
            <w:r>
              <w:rPr>
                <w:rFonts w:hint="eastAsia" w:ascii="Times New Roman" w:hAnsi="Times New Roman" w:eastAsia="宋体" w:cs="Times New Roman"/>
                <w:color w:val="000000" w:themeColor="text1"/>
                <w:sz w:val="21"/>
                <w:szCs w:val="21"/>
                <w14:textFill>
                  <w14:solidFill>
                    <w14:schemeClr w14:val="tx1"/>
                  </w14:solidFill>
                </w14:textFill>
              </w:rPr>
              <w:t>和简单防渗区</w:t>
            </w:r>
            <w:r>
              <w:rPr>
                <w:rFonts w:hint="default" w:ascii="Times New Roman" w:hAnsi="Times New Roman" w:eastAsia="宋体" w:cs="Times New Roman"/>
                <w:color w:val="000000" w:themeColor="text1"/>
                <w:sz w:val="21"/>
                <w:szCs w:val="21"/>
                <w14:textFill>
                  <w14:solidFill>
                    <w14:schemeClr w14:val="tx1"/>
                  </w14:solidFill>
                </w14:textFill>
              </w:rPr>
              <w:t>，不同的污染物区，采取不同等级的防渗措施，并确保其可靠性和有效性。防渗</w:t>
            </w:r>
            <w:r>
              <w:rPr>
                <w:rFonts w:hint="eastAsia" w:ascii="Times New Roman" w:hAnsi="Times New Roman" w:eastAsia="宋体" w:cs="Times New Roman"/>
                <w:color w:val="000000" w:themeColor="text1"/>
                <w:sz w:val="21"/>
                <w:szCs w:val="21"/>
                <w14:textFill>
                  <w14:solidFill>
                    <w14:schemeClr w14:val="tx1"/>
                  </w14:solidFill>
                </w14:textFill>
              </w:rPr>
              <w:t>技术参数</w:t>
            </w:r>
            <w:r>
              <w:rPr>
                <w:rFonts w:hint="default" w:ascii="Times New Roman" w:hAnsi="Times New Roman" w:eastAsia="宋体" w:cs="Times New Roman"/>
                <w:color w:val="000000" w:themeColor="text1"/>
                <w:sz w:val="21"/>
                <w:szCs w:val="21"/>
                <w14:textFill>
                  <w14:solidFill>
                    <w14:schemeClr w14:val="tx1"/>
                  </w14:solidFill>
                </w14:textFill>
              </w:rPr>
              <w:t>应满足</w:t>
            </w:r>
            <w:r>
              <w:rPr>
                <w:rFonts w:hint="eastAsia" w:ascii="Times New Roman" w:hAnsi="Times New Roman" w:eastAsia="宋体" w:cs="Times New Roman"/>
                <w:color w:val="000000" w:themeColor="text1"/>
                <w:sz w:val="21"/>
                <w:szCs w:val="21"/>
                <w14:textFill>
                  <w14:solidFill>
                    <w14:schemeClr w14:val="tx1"/>
                  </w14:solidFill>
                </w14:textFill>
              </w:rPr>
              <w:t>《环境影响评价技术导则 地下水环境》（H</w:t>
            </w:r>
            <w:r>
              <w:rPr>
                <w:rFonts w:hint="default" w:ascii="Times New Roman" w:hAnsi="Times New Roman" w:eastAsia="宋体" w:cs="Times New Roman"/>
                <w:color w:val="000000" w:themeColor="text1"/>
                <w:sz w:val="21"/>
                <w:szCs w:val="21"/>
                <w14:textFill>
                  <w14:solidFill>
                    <w14:schemeClr w14:val="tx1"/>
                  </w14:solidFill>
                </w14:textFill>
              </w:rPr>
              <w:t>J610-2016</w:t>
            </w:r>
            <w:r>
              <w:rPr>
                <w:rFonts w:hint="eastAsia" w:ascii="Times New Roman" w:hAnsi="Times New Roman" w:eastAsia="宋体" w:cs="Times New Roman"/>
                <w:color w:val="000000" w:themeColor="text1"/>
                <w:sz w:val="21"/>
                <w:szCs w:val="21"/>
                <w14:textFill>
                  <w14:solidFill>
                    <w14:schemeClr w14:val="tx1"/>
                  </w14:solidFill>
                </w14:textFill>
              </w:rPr>
              <w:t>）中表7要求</w:t>
            </w:r>
            <w:r>
              <w:rPr>
                <w:rFonts w:hint="default" w:ascii="Times New Roman" w:hAnsi="Times New Roman" w:eastAsia="宋体" w:cs="Times New Roman"/>
                <w:color w:val="000000" w:themeColor="text1"/>
                <w:sz w:val="21"/>
                <w:szCs w:val="21"/>
                <w14:textFill>
                  <w14:solidFill>
                    <w14:schemeClr w14:val="tx1"/>
                  </w14:solidFill>
                </w14:textFill>
              </w:rPr>
              <w:t>。</w:t>
            </w:r>
          </w:p>
          <w:p w14:paraId="48DFA74D">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textAlignment w:val="auto"/>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6、生态</w:t>
            </w:r>
          </w:p>
          <w:p w14:paraId="47220598">
            <w:pPr>
              <w:adjustRightInd w:val="0"/>
              <w:snapToGrid w:val="0"/>
              <w:spacing w:before="156" w:beforeLines="50" w:line="360" w:lineRule="auto"/>
              <w:ind w:firstLine="420" w:firstLineChars="200"/>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本项目不属于产业园区外新增用地项目，且用地范围内无生态环境保护目标，因此不涉及生态环境影响。</w:t>
            </w:r>
          </w:p>
          <w:p w14:paraId="7F3D8323">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textAlignment w:val="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7、环境风险</w:t>
            </w:r>
          </w:p>
          <w:p w14:paraId="75DCDDA2">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textAlignment w:val="auto"/>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7.1风险物质</w:t>
            </w:r>
          </w:p>
          <w:p w14:paraId="352F7CE0">
            <w:pPr>
              <w:adjustRightInd w:val="0"/>
              <w:snapToGrid w:val="0"/>
              <w:spacing w:before="156" w:beforeLines="50" w:line="360" w:lineRule="auto"/>
              <w:ind w:firstLine="420" w:firstLineChars="200"/>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根据《建设项目环境风险评价技术导则》（HJ169-2018）中附录C，计算本项目所涉及的每种危险物质在厂界内的最大存在总量与其在附录B中对应临界量的比值Q。当只涉及一种危险物质时，计算该物质的总量与其临界量比值，即为Q；当存在多种危险物质时，则按下式计算物质总量与其临界量比值（Q）；</w:t>
            </w:r>
          </w:p>
          <w:p w14:paraId="79D65BF0">
            <w:pPr>
              <w:adjustRightInd w:val="0"/>
              <w:snapToGrid w:val="0"/>
              <w:spacing w:line="360" w:lineRule="auto"/>
              <w:ind w:firstLine="420" w:firstLineChars="20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drawing>
                <wp:inline distT="0" distB="0" distL="114300" distR="114300">
                  <wp:extent cx="1958340" cy="624840"/>
                  <wp:effectExtent l="0" t="0" r="3810" b="3810"/>
                  <wp:docPr id="1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
                          <pic:cNvPicPr>
                            <a:picLocks noChangeAspect="1"/>
                          </pic:cNvPicPr>
                        </pic:nvPicPr>
                        <pic:blipFill>
                          <a:blip r:embed="rId24"/>
                          <a:stretch>
                            <a:fillRect/>
                          </a:stretch>
                        </pic:blipFill>
                        <pic:spPr>
                          <a:xfrm>
                            <a:off x="0" y="0"/>
                            <a:ext cx="1958340" cy="624840"/>
                          </a:xfrm>
                          <a:prstGeom prst="rect">
                            <a:avLst/>
                          </a:prstGeom>
                          <a:noFill/>
                          <a:ln>
                            <a:noFill/>
                          </a:ln>
                        </pic:spPr>
                      </pic:pic>
                    </a:graphicData>
                  </a:graphic>
                </wp:inline>
              </w:drawing>
            </w:r>
          </w:p>
          <w:p w14:paraId="2F91F9BA">
            <w:pPr>
              <w:adjustRightInd w:val="0"/>
              <w:snapToGrid w:val="0"/>
              <w:spacing w:line="360" w:lineRule="auto"/>
              <w:ind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式中：q1，q2，…，qn——每种危险物质的最大存在总量，t；</w:t>
            </w:r>
          </w:p>
          <w:p w14:paraId="0E263202">
            <w:pPr>
              <w:adjustRightInd w:val="0"/>
              <w:snapToGrid w:val="0"/>
              <w:spacing w:line="360" w:lineRule="auto"/>
              <w:ind w:firstLine="420" w:firstLineChars="20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Q1，Q2，…，Qn——每种危险物质的临界量，t。</w:t>
            </w:r>
          </w:p>
          <w:p w14:paraId="6A593D9B">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经筛选分析，本项目风险物质为废机油、</w:t>
            </w:r>
            <w:r>
              <w:rPr>
                <w:rFonts w:hint="default" w:ascii="Times New Roman" w:hAnsi="Times New Roman" w:eastAsia="宋体" w:cs="Times New Roman"/>
                <w:color w:val="000000" w:themeColor="text1"/>
                <w:sz w:val="21"/>
                <w:szCs w:val="21"/>
                <w:lang w:eastAsia="zh-CN"/>
                <w14:textFill>
                  <w14:solidFill>
                    <w14:schemeClr w14:val="tx1"/>
                  </w14:solidFill>
                </w14:textFill>
              </w:rPr>
              <w:t>清洗废液</w:t>
            </w:r>
            <w:r>
              <w:rPr>
                <w:rFonts w:hint="default" w:ascii="Times New Roman" w:hAnsi="Times New Roman" w:eastAsia="宋体" w:cs="Times New Roman"/>
                <w:color w:val="000000" w:themeColor="text1"/>
                <w:sz w:val="21"/>
                <w:szCs w:val="21"/>
                <w14:textFill>
                  <w14:solidFill>
                    <w14:schemeClr w14:val="tx1"/>
                  </w14:solidFill>
                </w14:textFill>
              </w:rPr>
              <w:t>、水性墨水、机油</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废活性炭</w:t>
            </w:r>
            <w:r>
              <w:rPr>
                <w:rFonts w:hint="default" w:ascii="Times New Roman" w:hAnsi="Times New Roman" w:eastAsia="宋体" w:cs="Times New Roman"/>
                <w:color w:val="000000" w:themeColor="text1"/>
                <w:sz w:val="21"/>
                <w:szCs w:val="21"/>
                <w14:textFill>
                  <w14:solidFill>
                    <w14:schemeClr w14:val="tx1"/>
                  </w14:solidFill>
                </w14:textFill>
              </w:rPr>
              <w:t>。</w:t>
            </w:r>
          </w:p>
          <w:p w14:paraId="57EDB786">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（1）对大气的污染</w:t>
            </w:r>
          </w:p>
          <w:p w14:paraId="55A66ADE">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建设项目运营中有非甲烷总烃产生，若</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二级活性炭</w:t>
            </w:r>
            <w:r>
              <w:rPr>
                <w:rFonts w:hint="default" w:ascii="Times New Roman" w:hAnsi="Times New Roman" w:eastAsia="宋体" w:cs="Times New Roman"/>
                <w:color w:val="000000" w:themeColor="text1"/>
                <w:sz w:val="21"/>
                <w:szCs w:val="21"/>
                <w14:textFill>
                  <w14:solidFill>
                    <w14:schemeClr w14:val="tx1"/>
                  </w14:solidFill>
                </w14:textFill>
              </w:rPr>
              <w:t>故障导致废气未经处理排放，将对周边大气环境造成污染；</w:t>
            </w:r>
            <w:r>
              <w:rPr>
                <w:rFonts w:hint="eastAsia" w:ascii="Times New Roman" w:hAnsi="Times New Roman" w:eastAsia="宋体" w:cs="Times New Roman"/>
                <w:color w:val="000000" w:themeColor="text1"/>
                <w:sz w:val="21"/>
                <w:szCs w:val="21"/>
                <w14:textFill>
                  <w14:solidFill>
                    <w14:schemeClr w14:val="tx1"/>
                  </w14:solidFill>
                </w14:textFill>
              </w:rPr>
              <w:t>废机油、</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废活性炭</w:t>
            </w:r>
            <w:r>
              <w:rPr>
                <w:rFonts w:hint="default" w:ascii="Times New Roman" w:hAnsi="Times New Roman" w:eastAsia="宋体" w:cs="Times New Roman"/>
                <w:color w:val="000000" w:themeColor="text1"/>
                <w:sz w:val="21"/>
                <w:szCs w:val="21"/>
                <w14:textFill>
                  <w14:solidFill>
                    <w14:schemeClr w14:val="tx1"/>
                  </w14:solidFill>
                </w14:textFill>
              </w:rPr>
              <w:t>水可能会引发火灾，产生次生/伴生污染物CO等，会导致局部空气恶化。</w:t>
            </w:r>
          </w:p>
          <w:p w14:paraId="6C5EA2A8">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（2）对水体的污染</w:t>
            </w:r>
          </w:p>
          <w:p w14:paraId="05930956">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燃烧后的物质因处理不当随污水流入就近河流或渗入地下，从而对水体和地下水体造成污染。燃烧后的物质较难分解，且在分级过程中易产生对环境有害的物质，并可能随水体进入生物链，产生生态影响。</w:t>
            </w:r>
          </w:p>
          <w:p w14:paraId="74D9D6EB">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（3）对土壤、地下水的污染</w:t>
            </w:r>
          </w:p>
          <w:p w14:paraId="1B1C9DB8">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泄漏液、火灾消防水渗入厂区绿化带，</w:t>
            </w:r>
            <w:r>
              <w:rPr>
                <w:rFonts w:hint="default" w:ascii="Times New Roman" w:hAnsi="Times New Roman" w:eastAsia="宋体" w:cs="Times New Roman"/>
                <w:color w:val="000000" w:themeColor="text1"/>
                <w:sz w:val="21"/>
                <w:szCs w:val="21"/>
                <w14:textFill>
                  <w14:solidFill>
                    <w14:schemeClr w14:val="tx1"/>
                  </w14:solidFill>
                </w14:textFill>
              </w:rPr>
              <w:t>会对土壤、地下水产生一定影响。</w:t>
            </w:r>
          </w:p>
          <w:p w14:paraId="60C66F7D">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7.3风险防范措施</w:t>
            </w:r>
          </w:p>
          <w:p w14:paraId="37AFF8F6">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本项目拟采取以下的风险防范措施：</w:t>
            </w:r>
          </w:p>
          <w:p w14:paraId="74EEB414">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（1）泄漏事故的防范措施</w:t>
            </w:r>
          </w:p>
          <w:p w14:paraId="047F64BF">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加强物品运输车辆的管理，严格遵守危险品运输管理规定，避免运输过程事故的发生。</w:t>
            </w:r>
          </w:p>
          <w:p w14:paraId="2648A212">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发生泄漏事故后，最早发现者应立即通知部门负责人，并根据召集应急救援小组，及时采取一切办法控制泄漏蔓延。采取措施尽快堵漏，然后对泄漏物进行收集和暂存，阻止泄漏物料进入外环境。将泄漏的废液收集至储存桶内暂存，地面残留废液采用惰性材料吸附，收集的泄漏物委托有资质单位处置。</w:t>
            </w:r>
          </w:p>
          <w:p w14:paraId="4B7E463C">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（2）安全生产管理系统</w:t>
            </w:r>
          </w:p>
          <w:p w14:paraId="46594064">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投产后，建设单位在安全生产方面制定一系列的安全生产管理制度。健全安全生产责任机制，建立各岗位的安全操作规程，技术规程，设置安全管理机构，成立企业安全生产领导小组和配备专职安全生产管理人员。制定规章制度的主要有：安全教育和培训制度、劳动防护用品和保健品发放管理制度、安全检修制度、安全设施和设备管理制度、安全检查和隐患管理制度、危险化学品安全管理制度、作业场所职业卫生管理制度、事故管理制度，并定期对职工进行体检，建立职工健康档案。</w:t>
            </w:r>
          </w:p>
          <w:p w14:paraId="690818F0">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（3）火灾事故风险防范措施</w:t>
            </w:r>
          </w:p>
          <w:p w14:paraId="76B19C81">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操作工或负责人及时进行判断，向全体工作人员和上司通报发生火灾的详细情况。</w:t>
            </w:r>
            <w:r>
              <w:rPr>
                <w:rFonts w:hint="eastAsia" w:ascii="Times New Roman" w:hAnsi="Times New Roman" w:eastAsia="宋体" w:cs="Times New Roman"/>
                <w:color w:val="000000" w:themeColor="text1"/>
                <w:sz w:val="21"/>
                <w:szCs w:val="21"/>
                <w14:textFill>
                  <w14:solidFill>
                    <w14:schemeClr w14:val="tx1"/>
                  </w14:solidFill>
                </w14:textFill>
              </w:rPr>
              <w:t>依据</w:t>
            </w:r>
            <w:r>
              <w:rPr>
                <w:rFonts w:hint="default" w:ascii="Times New Roman" w:hAnsi="Times New Roman" w:eastAsia="宋体" w:cs="Times New Roman"/>
                <w:color w:val="000000" w:themeColor="text1"/>
                <w:sz w:val="21"/>
                <w:szCs w:val="21"/>
                <w14:textFill>
                  <w14:solidFill>
                    <w14:schemeClr w14:val="tx1"/>
                  </w14:solidFill>
                </w14:textFill>
              </w:rPr>
              <w:t>《异常发生的处置操作规程》中止各工序的作业。</w:t>
            </w:r>
          </w:p>
          <w:p w14:paraId="16CE0198">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将抢救伤员放在首位，发现负伤者，将其向安全场所转移的同时，迅速向上司报告，寻求救护。</w:t>
            </w:r>
          </w:p>
          <w:p w14:paraId="781FDA17">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根据火灾情况，由当班负责人会同上司组成临时消防班，根据物料性质选择灭火方式：遇湿易燃物品禁用水。此活动要以救出人命和灭火为优先，并立即与上司进行联系，如判断有可能造成人身伤害和爆炸时，应立即撤离到安全的地区，同时由总务人事部门或安全负责人根据火灾状况向邻近消防队发出求援信息，必要时向邻近企业发出临时避难请求，使用二氧化碳灭火器的必须开门，防止缺氧。</w:t>
            </w:r>
          </w:p>
          <w:p w14:paraId="78FE9532">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在消防部门到达后，公司应急救援总指挥和现场总指挥及时向消防部门汇报情况，配合消防部门进行灭火工作，此时指挥权由消防部门担任，所有人员应服从消防部门的指挥。</w:t>
            </w:r>
          </w:p>
          <w:p w14:paraId="59AE8E48">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在灭火过程中建议：A、如有可能，转移未着火的容器。防止包装破损，引起环境污染。B、选择合适的事故废水收集和应急储存设施收容消防废水，防止流入雨水管网进入河流。</w:t>
            </w:r>
          </w:p>
          <w:p w14:paraId="18954862">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危险废物的环境风险防范措施</w:t>
            </w:r>
          </w:p>
          <w:p w14:paraId="3206A47B">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加强管理工作，设专人负责危险废物的安全贮存、厂区内运输以及使用。</w:t>
            </w:r>
          </w:p>
          <w:p w14:paraId="43E0C419">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）事故应急池</w:t>
            </w:r>
          </w:p>
          <w:p w14:paraId="20CFBC84">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根据《化工建设项目环境保护设计规范》（GB50483-2019），应急事故水池应考虑多种因素确定。</w:t>
            </w:r>
          </w:p>
          <w:p w14:paraId="5C7FC7BA">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应急事故废水最大量的确定采用公式法计算，具体算法如下：</w:t>
            </w:r>
          </w:p>
          <w:p w14:paraId="2D1E181E">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V总＝（V1＋V2-V3）max＋V4＋V5</w:t>
            </w:r>
          </w:p>
          <w:p w14:paraId="768FFFCD">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注：（V1＋V2-V3）max是指对收集系统范围内不同罐组或装置分别计算V1＋V2-V3，取其中最大值。</w:t>
            </w:r>
          </w:p>
          <w:p w14:paraId="0D555190">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V1——收集系统范围内发生事故的一个罐组或一套装置的物料量。本项目选取一桶</w:t>
            </w:r>
            <w:r>
              <w:rPr>
                <w:rFonts w:hint="eastAsia" w:ascii="Times New Roman" w:hAnsi="Times New Roman" w:cs="Times New Roman"/>
                <w:color w:val="000000" w:themeColor="text1"/>
                <w:sz w:val="21"/>
                <w:szCs w:val="21"/>
                <w:lang w:val="en-US" w:eastAsia="zh-CN"/>
                <w14:textFill>
                  <w14:solidFill>
                    <w14:schemeClr w14:val="tx1"/>
                  </w14:solidFill>
                </w14:textFill>
              </w:rPr>
              <w:t>机油</w:t>
            </w:r>
            <w:r>
              <w:rPr>
                <w:rFonts w:hint="default" w:ascii="Times New Roman" w:hAnsi="Times New Roman" w:eastAsia="宋体" w:cs="Times New Roman"/>
                <w:color w:val="000000" w:themeColor="text1"/>
                <w:sz w:val="21"/>
                <w:szCs w:val="21"/>
                <w14:textFill>
                  <w14:solidFill>
                    <w14:schemeClr w14:val="tx1"/>
                  </w14:solidFill>
                </w14:textFill>
              </w:rPr>
              <w:t>泄漏进行评价，V1=</w:t>
            </w:r>
            <w:r>
              <w:rPr>
                <w:rFonts w:hint="eastAsia" w:ascii="Times New Roman" w:hAnsi="Times New Roman" w:cs="Times New Roman"/>
                <w:color w:val="000000" w:themeColor="text1"/>
                <w:sz w:val="21"/>
                <w:szCs w:val="21"/>
                <w:lang w:val="en-US" w:eastAsia="zh-CN"/>
                <w14:textFill>
                  <w14:solidFill>
                    <w14:schemeClr w14:val="tx1"/>
                  </w14:solidFill>
                </w14:textFill>
              </w:rPr>
              <w:t>0.02</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p w14:paraId="1D26BEFB">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V2——发生事故时的消防水量，m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p w14:paraId="72796977">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object>
                <v:shape id="_x0000_i1031" o:spt="75" type="#_x0000_t75" style="height:21.1pt;width:69.5pt;" o:ole="t" filled="f" coordsize="21600,21600">
                  <v:path/>
                  <v:fill on="f" focussize="0,0"/>
                  <v:stroke/>
                  <v:imagedata r:id="rId26" o:title=""/>
                  <o:lock v:ext="edit" aspectratio="t"/>
                  <w10:wrap type="none"/>
                  <w10:anchorlock/>
                </v:shape>
                <o:OLEObject Type="Embed" ProgID="AutoCAD.Drawing.18" ShapeID="_x0000_i1031" DrawAspect="Content" ObjectID="_1468075731" r:id="rId25">
                  <o:LockedField>false</o:LockedField>
                </o:OLEObject>
              </w:object>
            </w:r>
          </w:p>
          <w:p w14:paraId="36CFE29B">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Q消——发生事故的储罐或装置同时使用的消防设施给水流量，m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/h；</w:t>
            </w:r>
          </w:p>
          <w:p w14:paraId="60352F32">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t消——消防设施对应的设计消防历时，h；</w:t>
            </w:r>
          </w:p>
          <w:p w14:paraId="736077AA">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根据《消防给水及消火栓系统技术规范》（GB50974-2014），项目消防用水量按1</w:t>
            </w:r>
            <w:r>
              <w:rPr>
                <w:rFonts w:hint="eastAsia" w:ascii="Times New Roman" w:hAnsi="Times New Roman" w:eastAsia="宋体" w:cs="Times New Roman"/>
                <w:color w:val="000000" w:themeColor="text1"/>
                <w:sz w:val="21"/>
                <w:szCs w:val="21"/>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L/s计，火灾持续时间按2h计，则消防水总用量为V2＝</w:t>
            </w:r>
            <w:r>
              <w:rPr>
                <w:rFonts w:hint="eastAsia" w:ascii="Times New Roman" w:hAnsi="Times New Roman" w:eastAsia="宋体" w:cs="Times New Roman"/>
                <w:color w:val="000000" w:themeColor="text1"/>
                <w:sz w:val="21"/>
                <w:szCs w:val="21"/>
                <w14:textFill>
                  <w14:solidFill>
                    <w14:schemeClr w14:val="tx1"/>
                  </w14:solidFill>
                </w14:textFill>
              </w:rPr>
              <w:t>108</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p w14:paraId="56DBA12E">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V3——发生事故时可以转输到其他储存或处理设施的物料量，m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，本项目V3=0。</w:t>
            </w:r>
          </w:p>
          <w:p w14:paraId="42C33542">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V4——发生事故时仍必须进入该收集系统的生产废水量，m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，本项目正常营运过程中生产废水产生量V4=0。</w:t>
            </w:r>
          </w:p>
          <w:p w14:paraId="55DEECC2">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V5——发生事故时可能进入该收集系统的降雨量，m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p w14:paraId="642DA8C3">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V5=10qF</w:t>
            </w:r>
          </w:p>
          <w:p w14:paraId="46B03C52">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q——降雨强度，mm；按平均日降雨量；</w:t>
            </w:r>
          </w:p>
          <w:p w14:paraId="7206FCD0">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q=qa/n</w:t>
            </w:r>
          </w:p>
          <w:p w14:paraId="111DAE67">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qa——年平均降雨量，mm；</w:t>
            </w:r>
          </w:p>
          <w:p w14:paraId="3AB85C31">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n——年平均降雨日数；</w:t>
            </w:r>
          </w:p>
          <w:p w14:paraId="4DB5952C">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F——必须进入事故废水收集系统的雨水汇水面积，ha；</w:t>
            </w:r>
          </w:p>
          <w:p w14:paraId="4A289CDD">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根据江阴气象资料，年平均降雨量为1025.6mm，年平均降雨日数124天，</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汇水面积0.0</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ha</w:t>
            </w:r>
            <w:r>
              <w:rPr>
                <w:rFonts w:hint="default" w:ascii="Times New Roman" w:hAnsi="Times New Roman" w:eastAsia="宋体" w:cs="Times New Roman"/>
                <w:color w:val="000000" w:themeColor="text1"/>
                <w:sz w:val="21"/>
                <w:szCs w:val="21"/>
                <w14:textFill>
                  <w14:solidFill>
                    <w14:schemeClr w14:val="tx1"/>
                  </w14:solidFill>
                </w14:textFill>
              </w:rPr>
              <w:t>，V5=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p w14:paraId="1316A8FF">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通过以上数据可计算得本项目应急事故废水最大量为：</w:t>
            </w:r>
          </w:p>
          <w:p w14:paraId="675E08E3">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V总＝（V1＋V2-V3）max＋V4＋V5＝（0.</w:t>
            </w:r>
            <w:r>
              <w:rPr>
                <w:rFonts w:hint="eastAsia" w:ascii="Times New Roman" w:hAnsi="Times New Roman" w:eastAsia="宋体" w:cs="Times New Roman"/>
                <w:color w:val="000000" w:themeColor="text1"/>
                <w:sz w:val="21"/>
                <w:szCs w:val="21"/>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108</w:t>
            </w:r>
            <w:r>
              <w:rPr>
                <w:rFonts w:hint="default"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112.12</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p w14:paraId="1D87ECE5">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企业需建设的容积为</w:t>
            </w:r>
            <w:r>
              <w:rPr>
                <w:rFonts w:hint="eastAsia"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事故应急池及管道、切换阀门对事故废水进行截留、收集，可满足本项目风险预防要求。</w:t>
            </w:r>
          </w:p>
          <w:p w14:paraId="0297CD69">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2" w:firstLineChars="200"/>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7.4</w:t>
            </w:r>
            <w:r>
              <w:rPr>
                <w:rFonts w:hint="eastAsia" w:ascii="Times New Roman" w:hAnsi="Times New Roman" w:eastAsia="宋体" w:cs="Times New Roman"/>
                <w:b/>
                <w:bCs/>
                <w:color w:val="000000" w:themeColor="text1"/>
                <w:sz w:val="21"/>
                <w:szCs w:val="21"/>
                <w14:textFill>
                  <w14:solidFill>
                    <w14:schemeClr w14:val="tx1"/>
                  </w14:solidFill>
                </w14:textFill>
              </w:rPr>
              <w:t>水污染三级防控体系</w:t>
            </w:r>
          </w:p>
          <w:p w14:paraId="512330AC">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（1）本项目环境风险三级防控体系情况</w:t>
            </w:r>
          </w:p>
          <w:p w14:paraId="71F35E5D">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本项目构筑环境风险三级（单元、厂区和园区）应急防范体系如下：</w:t>
            </w:r>
          </w:p>
          <w:p w14:paraId="3BAEA5C6">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①</w:t>
            </w:r>
            <w:r>
              <w:rPr>
                <w:rFonts w:hint="default" w:ascii="Times New Roman" w:hAnsi="Times New Roman" w:eastAsia="宋体" w:cs="Times New Roman"/>
                <w:color w:val="000000" w:themeColor="text1"/>
                <w:sz w:val="21"/>
                <w:szCs w:val="21"/>
                <w14:textFill>
                  <w14:solidFill>
                    <w14:schemeClr w14:val="tx1"/>
                  </w14:solidFill>
                </w14:textFill>
              </w:rPr>
              <w:t>第一级防控体系的功能主要是将事故废水控制在事故风险源所在区域单元，该体系主要是由收集沟和管道等配套基础设施组成，防止污染雨水和轻微事故泄漏造成的环境污染；本项目在</w:t>
            </w:r>
            <w:r>
              <w:rPr>
                <w:rFonts w:hint="eastAsia" w:ascii="Times New Roman" w:hAnsi="Times New Roman" w:eastAsia="宋体" w:cs="Times New Roman"/>
                <w:color w:val="000000" w:themeColor="text1"/>
                <w:sz w:val="21"/>
                <w:szCs w:val="21"/>
                <w14:textFill>
                  <w14:solidFill>
                    <w14:schemeClr w14:val="tx1"/>
                  </w14:solidFill>
                </w14:textFill>
              </w:rPr>
              <w:t>危废仓库</w:t>
            </w:r>
            <w:r>
              <w:rPr>
                <w:rFonts w:hint="default" w:ascii="Times New Roman" w:hAnsi="Times New Roman" w:eastAsia="宋体" w:cs="Times New Roman"/>
                <w:color w:val="000000" w:themeColor="text1"/>
                <w:sz w:val="21"/>
                <w:szCs w:val="21"/>
                <w14:textFill>
                  <w14:solidFill>
                    <w14:schemeClr w14:val="tx1"/>
                  </w14:solidFill>
                </w14:textFill>
              </w:rPr>
              <w:t>周边设置围堰及导流设施</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确保厂内个别单元处发生废水废液事故时，各污染物能够控制在围堰范围内，并通过导流设施将污染物收集。</w:t>
            </w:r>
          </w:p>
          <w:p w14:paraId="09FEF448">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②</w:t>
            </w:r>
            <w:r>
              <w:rPr>
                <w:rFonts w:hint="default" w:ascii="Times New Roman" w:hAnsi="Times New Roman" w:eastAsia="宋体" w:cs="Times New Roman"/>
                <w:color w:val="000000" w:themeColor="text1"/>
                <w:sz w:val="21"/>
                <w:szCs w:val="21"/>
                <w14:textFill>
                  <w14:solidFill>
                    <w14:schemeClr w14:val="tx1"/>
                  </w14:solidFill>
                </w14:textFill>
              </w:rPr>
              <w:t>第二级防控体系必须建设厂区应急事故水池、雨排口切断装置及其配套设施（如事故导排系统、强排系统）。应急事故池应在突发事故状态下拦截和收集厂区范围内的事故废水和消防尾水，避免其危害外部环境致使事故扩大化，因此应急事故池被视为企业的关键防控设施体系。本项目在厂区雨水口处设置截断阀；设置</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120</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的事故应急池，一旦厂区内发生泄露事故，应立刻关闭雨水阀门，确保污染物不会出厂区。打开应急池入口阀（闸），将污染物导流进入事故应急池。</w:t>
            </w:r>
          </w:p>
          <w:p w14:paraId="15E31627">
            <w:pPr>
              <w:pStyle w:val="140"/>
              <w:adjustRightInd w:val="0"/>
              <w:snapToGrid w:val="0"/>
              <w:spacing w:line="360" w:lineRule="auto"/>
              <w:ind w:firstLine="480"/>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③</w:t>
            </w:r>
            <w:r>
              <w:rPr>
                <w:rFonts w:hint="default" w:ascii="Times New Roman" w:hAnsi="Times New Roman" w:eastAsia="宋体" w:cs="Times New Roman"/>
                <w:color w:val="000000" w:themeColor="text1"/>
                <w:sz w:val="21"/>
                <w:szCs w:val="21"/>
                <w14:textFill>
                  <w14:solidFill>
                    <w14:schemeClr w14:val="tx1"/>
                  </w14:solidFill>
                </w14:textFill>
              </w:rPr>
              <w:t>第三级水环境风险防控体系是针对企业厂内防范能力有限而导致事故废水可能外溢出厂界的应急处理。本项目与园区设施衔接，园区河道设置闸门，一旦污染物溢出厂外，建设单位立刻联系当地人民政府，关闭闸门，将污染物控制在园区范围内。</w:t>
            </w:r>
          </w:p>
          <w:p w14:paraId="5877FD93">
            <w:pPr>
              <w:pStyle w:val="140"/>
              <w:adjustRightInd w:val="0"/>
              <w:snapToGrid w:val="0"/>
              <w:spacing w:line="360" w:lineRule="auto"/>
              <w:ind w:firstLine="480"/>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6" w:name="_GoBack"/>
            <w:bookmarkEnd w:id="6"/>
          </w:p>
        </w:tc>
      </w:tr>
    </w:tbl>
    <w:p w14:paraId="5DCB3880">
      <w:pPr>
        <w:spacing w:line="360" w:lineRule="auto"/>
        <w:jc w:val="center"/>
        <w:outlineLvl w:val="0"/>
        <w:rPr>
          <w:rFonts w:ascii="黑体" w:hAnsi="黑体" w:eastAsia="黑体"/>
          <w:snapToGrid w:val="0"/>
          <w:color w:val="000000" w:themeColor="text1"/>
          <w:sz w:val="30"/>
          <w:szCs w:val="30"/>
          <w:highlight w:val="yellow"/>
          <w14:textFill>
            <w14:solidFill>
              <w14:schemeClr w14:val="tx1"/>
            </w14:solidFill>
          </w14:textFill>
        </w:rPr>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A62646C">
      <w:pPr>
        <w:spacing w:line="360" w:lineRule="auto"/>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五、</w:t>
      </w:r>
      <w:bookmarkStart w:id="5" w:name="_Hlk54167917"/>
      <w:r>
        <w:rPr>
          <w:rFonts w:hint="eastAsia" w:ascii="黑体" w:hAnsi="黑体" w:eastAsia="黑体"/>
          <w:snapToGrid w:val="0"/>
          <w:color w:val="000000" w:themeColor="text1"/>
          <w:sz w:val="30"/>
          <w:szCs w:val="30"/>
          <w14:textFill>
            <w14:solidFill>
              <w14:schemeClr w14:val="tx1"/>
            </w14:solidFill>
          </w14:textFill>
        </w:rPr>
        <w:t>环境保护措施监督检查清单</w:t>
      </w:r>
      <w:bookmarkEnd w:id="5"/>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236"/>
        <w:gridCol w:w="1293"/>
        <w:gridCol w:w="1657"/>
        <w:gridCol w:w="3717"/>
      </w:tblGrid>
      <w:tr w14:paraId="5E2BC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40" w:type="dxa"/>
            <w:tcBorders>
              <w:tl2br w:val="single" w:color="auto" w:sz="4" w:space="0"/>
            </w:tcBorders>
            <w:noWrap w:val="0"/>
            <w:vAlign w:val="top"/>
          </w:tcPr>
          <w:p w14:paraId="249AFFD9">
            <w:pPr>
              <w:adjustRightInd w:val="0"/>
              <w:snapToGrid w:val="0"/>
              <w:jc w:val="righ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内容</w:t>
            </w:r>
          </w:p>
          <w:p w14:paraId="619C5312">
            <w:pPr>
              <w:adjustRightInd w:val="0"/>
              <w:snapToGrid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要素</w:t>
            </w:r>
          </w:p>
        </w:tc>
        <w:tc>
          <w:tcPr>
            <w:tcW w:w="1632" w:type="dxa"/>
            <w:noWrap w:val="0"/>
            <w:vAlign w:val="center"/>
          </w:tcPr>
          <w:p w14:paraId="07B25D69">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排放口(编号、名称)/污染源</w:t>
            </w:r>
          </w:p>
        </w:tc>
        <w:tc>
          <w:tcPr>
            <w:tcW w:w="0" w:type="auto"/>
            <w:noWrap w:val="0"/>
            <w:vAlign w:val="center"/>
          </w:tcPr>
          <w:p w14:paraId="163E88F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污染物项目</w:t>
            </w:r>
          </w:p>
        </w:tc>
        <w:tc>
          <w:tcPr>
            <w:tcW w:w="0" w:type="auto"/>
            <w:noWrap w:val="0"/>
            <w:vAlign w:val="center"/>
          </w:tcPr>
          <w:p w14:paraId="2F67D9B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环境保护措施</w:t>
            </w:r>
          </w:p>
        </w:tc>
        <w:tc>
          <w:tcPr>
            <w:tcW w:w="0" w:type="auto"/>
            <w:noWrap w:val="0"/>
            <w:vAlign w:val="center"/>
          </w:tcPr>
          <w:p w14:paraId="6100396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执行标准</w:t>
            </w:r>
          </w:p>
        </w:tc>
      </w:tr>
      <w:tr w14:paraId="1BF69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240" w:type="dxa"/>
            <w:vMerge w:val="restart"/>
            <w:noWrap w:val="0"/>
            <w:vAlign w:val="center"/>
          </w:tcPr>
          <w:p w14:paraId="0AE89DF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大气环境</w:t>
            </w:r>
          </w:p>
        </w:tc>
        <w:tc>
          <w:tcPr>
            <w:tcW w:w="1632" w:type="dxa"/>
            <w:noWrap w:val="0"/>
            <w:vAlign w:val="center"/>
          </w:tcPr>
          <w:p w14:paraId="48074625">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DA001</w:t>
            </w:r>
          </w:p>
        </w:tc>
        <w:tc>
          <w:tcPr>
            <w:tcW w:w="0" w:type="auto"/>
            <w:noWrap w:val="0"/>
            <w:vAlign w:val="center"/>
          </w:tcPr>
          <w:p w14:paraId="75DDC3A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w:t>
            </w:r>
          </w:p>
        </w:tc>
        <w:tc>
          <w:tcPr>
            <w:tcW w:w="0" w:type="auto"/>
            <w:noWrap w:val="0"/>
            <w:vAlign w:val="center"/>
          </w:tcPr>
          <w:p w14:paraId="103F142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产生的有机废气经集气罩收集汇入一套二级活性炭吸附装置处理，最后由1根15米高排气筒（</w:t>
            </w:r>
            <w:r>
              <w:rPr>
                <w:rFonts w:hint="eastAsia" w:cs="Times New Roman"/>
                <w:color w:val="auto"/>
                <w:sz w:val="21"/>
                <w:szCs w:val="21"/>
                <w:lang w:val="en-US" w:eastAsia="zh-CN"/>
              </w:rPr>
              <w:t>DA001</w:t>
            </w:r>
            <w:r>
              <w:rPr>
                <w:rFonts w:hint="default" w:ascii="Times New Roman" w:hAnsi="Times New Roman" w:eastAsia="宋体" w:cs="Times New Roman"/>
                <w:color w:val="auto"/>
                <w:sz w:val="21"/>
                <w:szCs w:val="21"/>
              </w:rPr>
              <w:t>）排放</w:t>
            </w:r>
          </w:p>
        </w:tc>
        <w:tc>
          <w:tcPr>
            <w:tcW w:w="0" w:type="auto"/>
            <w:noWrap w:val="0"/>
            <w:vAlign w:val="center"/>
          </w:tcPr>
          <w:p w14:paraId="796B648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满足GB31572-2015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含2024年修改单</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相关标准，浓度≤60mg/m</w:t>
            </w:r>
            <w:r>
              <w:rPr>
                <w:rFonts w:hint="default" w:ascii="Times New Roman" w:hAnsi="Times New Roman" w:eastAsia="宋体" w:cs="Times New Roman"/>
                <w:color w:val="auto"/>
                <w:sz w:val="21"/>
                <w:szCs w:val="21"/>
                <w:vertAlign w:val="superscript"/>
              </w:rPr>
              <w:t>3</w:t>
            </w:r>
          </w:p>
        </w:tc>
      </w:tr>
      <w:tr w14:paraId="179E8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240" w:type="dxa"/>
            <w:vMerge w:val="continue"/>
            <w:noWrap w:val="0"/>
            <w:vAlign w:val="center"/>
          </w:tcPr>
          <w:p w14:paraId="48A2E57B">
            <w:pPr>
              <w:adjustRightInd w:val="0"/>
              <w:snapToGrid w:val="0"/>
              <w:jc w:val="center"/>
              <w:rPr>
                <w:rFonts w:hint="default" w:ascii="Times New Roman" w:hAnsi="Times New Roman" w:eastAsia="宋体" w:cs="Times New Roman"/>
                <w:color w:val="auto"/>
                <w:sz w:val="21"/>
                <w:szCs w:val="21"/>
              </w:rPr>
            </w:pPr>
          </w:p>
        </w:tc>
        <w:tc>
          <w:tcPr>
            <w:tcW w:w="1632" w:type="dxa"/>
            <w:noWrap w:val="0"/>
            <w:vAlign w:val="center"/>
          </w:tcPr>
          <w:p w14:paraId="3DC359E9">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厂界</w:t>
            </w:r>
          </w:p>
        </w:tc>
        <w:tc>
          <w:tcPr>
            <w:tcW w:w="0" w:type="auto"/>
            <w:noWrap w:val="0"/>
            <w:vAlign w:val="center"/>
          </w:tcPr>
          <w:p w14:paraId="6DAE3EE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非甲烷总烃</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颗粒物</w:t>
            </w:r>
          </w:p>
        </w:tc>
        <w:tc>
          <w:tcPr>
            <w:tcW w:w="0" w:type="auto"/>
            <w:noWrap w:val="0"/>
            <w:vAlign w:val="center"/>
          </w:tcPr>
          <w:p w14:paraId="5DBE6C5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加强密闭</w:t>
            </w:r>
          </w:p>
        </w:tc>
        <w:tc>
          <w:tcPr>
            <w:tcW w:w="0" w:type="auto"/>
            <w:noWrap w:val="0"/>
            <w:vAlign w:val="center"/>
          </w:tcPr>
          <w:p w14:paraId="4E8BF0CB">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满足GB31572-2015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含2024年修改单</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相关标准，非甲烷总烃浓度≤</w:t>
            </w:r>
            <w:r>
              <w:rPr>
                <w:rFonts w:hint="default" w:ascii="Times New Roman" w:hAnsi="Times New Roman" w:eastAsia="宋体" w:cs="Times New Roman"/>
                <w:color w:val="auto"/>
                <w:sz w:val="21"/>
                <w:szCs w:val="21"/>
                <w:lang w:val="en-US" w:eastAsia="zh-CN"/>
              </w:rPr>
              <w:t>4.0</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lang w:val="en-US" w:eastAsia="zh-CN"/>
              </w:rPr>
              <w:t>颗粒物</w:t>
            </w:r>
            <w:r>
              <w:rPr>
                <w:rFonts w:hint="default" w:ascii="Times New Roman" w:hAnsi="Times New Roman" w:eastAsia="宋体" w:cs="Times New Roman"/>
                <w:color w:val="auto"/>
                <w:sz w:val="21"/>
                <w:szCs w:val="21"/>
              </w:rPr>
              <w:t>浓度≤</w:t>
            </w: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r w14:paraId="7C49D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240" w:type="dxa"/>
            <w:vMerge w:val="continue"/>
            <w:noWrap w:val="0"/>
            <w:vAlign w:val="center"/>
          </w:tcPr>
          <w:p w14:paraId="3D8EF553">
            <w:pPr>
              <w:adjustRightInd w:val="0"/>
              <w:snapToGrid w:val="0"/>
              <w:jc w:val="center"/>
              <w:rPr>
                <w:rFonts w:hint="default" w:ascii="Times New Roman" w:hAnsi="Times New Roman" w:eastAsia="宋体" w:cs="Times New Roman"/>
                <w:color w:val="auto"/>
                <w:sz w:val="21"/>
                <w:szCs w:val="21"/>
              </w:rPr>
            </w:pPr>
          </w:p>
        </w:tc>
        <w:tc>
          <w:tcPr>
            <w:tcW w:w="1632" w:type="dxa"/>
            <w:noWrap w:val="0"/>
            <w:vAlign w:val="center"/>
          </w:tcPr>
          <w:p w14:paraId="21AFE9F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厂区内</w:t>
            </w:r>
          </w:p>
        </w:tc>
        <w:tc>
          <w:tcPr>
            <w:tcW w:w="0" w:type="auto"/>
            <w:noWrap w:val="0"/>
            <w:vAlign w:val="center"/>
          </w:tcPr>
          <w:p w14:paraId="0F316D8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w:t>
            </w:r>
          </w:p>
        </w:tc>
        <w:tc>
          <w:tcPr>
            <w:tcW w:w="0" w:type="auto"/>
            <w:noWrap w:val="0"/>
            <w:vAlign w:val="center"/>
          </w:tcPr>
          <w:p w14:paraId="551AAF52">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加强密闭</w:t>
            </w:r>
          </w:p>
        </w:tc>
        <w:tc>
          <w:tcPr>
            <w:tcW w:w="0" w:type="auto"/>
            <w:noWrap w:val="0"/>
            <w:vAlign w:val="center"/>
          </w:tcPr>
          <w:p w14:paraId="1F00AA50">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满足江苏省地标《大气污染物综合排放标准》（DB32/4041-2021）表2标准</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监控点处1h平均浓度值≤6mg/m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rPr>
              <w:t>监控点处任意一次浓度值≤20mg/m</w:t>
            </w:r>
            <w:r>
              <w:rPr>
                <w:rFonts w:hint="default" w:ascii="Times New Roman" w:hAnsi="Times New Roman" w:eastAsia="宋体" w:cs="Times New Roman"/>
                <w:color w:val="auto"/>
                <w:sz w:val="21"/>
                <w:szCs w:val="21"/>
                <w:vertAlign w:val="superscript"/>
              </w:rPr>
              <w:t>3</w:t>
            </w:r>
          </w:p>
        </w:tc>
      </w:tr>
      <w:tr w14:paraId="5788D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40" w:type="dxa"/>
            <w:noWrap w:val="0"/>
            <w:vAlign w:val="center"/>
          </w:tcPr>
          <w:p w14:paraId="7DF5BDF4">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地表水环境</w:t>
            </w:r>
          </w:p>
        </w:tc>
        <w:tc>
          <w:tcPr>
            <w:tcW w:w="1632" w:type="dxa"/>
            <w:noWrap w:val="0"/>
            <w:vAlign w:val="center"/>
          </w:tcPr>
          <w:p w14:paraId="16D6F734">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bCs/>
                <w:color w:val="000000" w:themeColor="text1"/>
                <w:sz w:val="21"/>
                <w:szCs w:val="21"/>
                <w:lang w:val="en-US" w:eastAsia="zh-CN"/>
                <w14:textFill>
                  <w14:solidFill>
                    <w14:schemeClr w14:val="tx1"/>
                  </w14:solidFill>
                </w14:textFill>
              </w:rPr>
              <w:t>DW001</w:t>
            </w:r>
          </w:p>
        </w:tc>
        <w:tc>
          <w:tcPr>
            <w:tcW w:w="0" w:type="auto"/>
            <w:noWrap w:val="0"/>
            <w:vAlign w:val="center"/>
          </w:tcPr>
          <w:p w14:paraId="359B2176">
            <w:pPr>
              <w:jc w:val="center"/>
              <w:rPr>
                <w:rFonts w:hint="default" w:ascii="Times New Roman" w:hAnsi="Times New Roman" w:eastAsia="宋体" w:cs="Times New Roman"/>
                <w:color w:val="auto"/>
                <w:sz w:val="21"/>
                <w:szCs w:val="21"/>
              </w:rPr>
            </w:pPr>
            <w:r>
              <w:rPr>
                <w:bCs/>
                <w:color w:val="000000" w:themeColor="text1"/>
                <w:sz w:val="18"/>
                <w:szCs w:val="18"/>
                <w14:textFill>
                  <w14:solidFill>
                    <w14:schemeClr w14:val="tx1"/>
                  </w14:solidFill>
                </w14:textFill>
              </w:rPr>
              <w:t>pH</w:t>
            </w:r>
          </w:p>
          <w:p w14:paraId="19D7B7E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p w14:paraId="1B43BB2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SS</w:t>
            </w:r>
          </w:p>
          <w:p w14:paraId="60E5FC4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氨氮</w:t>
            </w:r>
          </w:p>
          <w:p w14:paraId="2761EBA5">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TN</w:t>
            </w:r>
          </w:p>
          <w:p w14:paraId="1B0064E1">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TP</w:t>
            </w:r>
          </w:p>
        </w:tc>
        <w:tc>
          <w:tcPr>
            <w:tcW w:w="0" w:type="auto"/>
            <w:noWrap w:val="0"/>
            <w:vAlign w:val="center"/>
          </w:tcPr>
          <w:p w14:paraId="74AA3E9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经化粪池预处理后接入</w:t>
            </w:r>
            <w:r>
              <w:rPr>
                <w:rFonts w:hint="default" w:ascii="Times New Roman" w:hAnsi="Times New Roman" w:eastAsia="宋体" w:cs="Times New Roman"/>
                <w:color w:val="auto"/>
                <w:sz w:val="21"/>
                <w:szCs w:val="21"/>
              </w:rPr>
              <w:t>江阴市月城综合污水处理有限公司集中处理</w:t>
            </w:r>
          </w:p>
        </w:tc>
        <w:tc>
          <w:tcPr>
            <w:tcW w:w="0" w:type="auto"/>
            <w:noWrap w:val="0"/>
            <w:vAlign w:val="center"/>
          </w:tcPr>
          <w:p w14:paraId="037C8B74">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接管标准执行GB/T31962-2015表1中B等级标准和GB8978-1996表4中的三级标准</w:t>
            </w:r>
          </w:p>
          <w:p w14:paraId="7AC10DD7">
            <w:pPr>
              <w:adjustRightInd w:val="0"/>
              <w:snapToGrid w:val="0"/>
              <w:jc w:val="center"/>
              <w:rPr>
                <w:rFonts w:hint="default" w:ascii="Times New Roman" w:hAnsi="Times New Roman" w:eastAsia="宋体" w:cs="Times New Roman"/>
                <w:color w:val="auto"/>
                <w:sz w:val="21"/>
                <w:szCs w:val="21"/>
              </w:rPr>
            </w:pPr>
            <w:r>
              <w:rPr>
                <w:bCs/>
                <w:color w:val="000000" w:themeColor="text1"/>
                <w:sz w:val="18"/>
                <w:szCs w:val="18"/>
                <w14:textFill>
                  <w14:solidFill>
                    <w14:schemeClr w14:val="tx1"/>
                  </w14:solidFill>
                </w14:textFill>
              </w:rPr>
              <w:t>pH</w:t>
            </w:r>
            <w:r>
              <w:rPr>
                <w:rFonts w:hint="default" w:ascii="Times New Roman" w:hAnsi="Times New Roman" w:eastAsia="宋体" w:cs="Times New Roman"/>
                <w:color w:val="auto"/>
                <w:sz w:val="21"/>
                <w:szCs w:val="21"/>
              </w:rPr>
              <w:t>：</w:t>
            </w:r>
            <w:r>
              <w:rPr>
                <w:bCs/>
                <w:color w:val="000000" w:themeColor="text1"/>
                <w:sz w:val="18"/>
                <w:szCs w:val="18"/>
                <w14:textFill>
                  <w14:solidFill>
                    <w14:schemeClr w14:val="tx1"/>
                  </w14:solidFill>
                </w14:textFill>
              </w:rPr>
              <w:t>6～9</w:t>
            </w:r>
          </w:p>
          <w:p w14:paraId="2C6B004B">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COD：500mg/L</w:t>
            </w:r>
          </w:p>
          <w:p w14:paraId="136DC9FB">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SS：400mg/L</w:t>
            </w:r>
          </w:p>
          <w:p w14:paraId="79B43479">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氨氮：45mg/L</w:t>
            </w:r>
          </w:p>
          <w:p w14:paraId="2FB3886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总磷：8mg/L</w:t>
            </w:r>
          </w:p>
          <w:p w14:paraId="32303709">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总氮：70mg/L</w:t>
            </w:r>
          </w:p>
        </w:tc>
      </w:tr>
      <w:tr w14:paraId="78432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40" w:type="dxa"/>
            <w:noWrap w:val="0"/>
            <w:vAlign w:val="center"/>
          </w:tcPr>
          <w:p w14:paraId="24FF5C7E">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3633" w:type="dxa"/>
            <w:gridSpan w:val="2"/>
            <w:noWrap w:val="0"/>
            <w:vAlign w:val="center"/>
          </w:tcPr>
          <w:p w14:paraId="2085FE5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本项目噪声源主要混料机</w:t>
            </w:r>
            <w:r>
              <w:rPr>
                <w:rFonts w:hint="eastAsia" w:ascii="Times New Roman" w:hAnsi="Times New Roman" w:cs="Times New Roman"/>
                <w:color w:val="000000" w:themeColor="text1"/>
                <w:kern w:val="0"/>
                <w:szCs w:val="21"/>
                <w14:textFill>
                  <w14:solidFill>
                    <w14:schemeClr w14:val="tx1"/>
                  </w14:solidFill>
                </w14:textFill>
              </w:rPr>
              <w:t>、</w:t>
            </w:r>
            <w:r>
              <w:rPr>
                <w:rFonts w:hint="default" w:ascii="Times New Roman" w:hAnsi="Times New Roman" w:eastAsia="宋体" w:cs="Times New Roman"/>
                <w:color w:val="auto"/>
                <w:sz w:val="21"/>
                <w:szCs w:val="21"/>
              </w:rPr>
              <w:t>注塑机</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bCs/>
                <w:color w:val="auto"/>
                <w:sz w:val="21"/>
                <w:szCs w:val="21"/>
              </w:rPr>
              <w:t>粉碎机</w:t>
            </w:r>
            <w:r>
              <w:rPr>
                <w:rFonts w:hint="eastAsia" w:ascii="Times New Roman" w:hAnsi="Times New Roman" w:cs="Times New Roman"/>
                <w:bCs/>
                <w:color w:val="auto"/>
                <w:sz w:val="21"/>
                <w:szCs w:val="21"/>
                <w:lang w:eastAsia="zh-CN"/>
              </w:rPr>
              <w:t>、</w:t>
            </w:r>
            <w:r>
              <w:rPr>
                <w:rFonts w:hint="default" w:ascii="Times New Roman" w:hAnsi="Times New Roman" w:eastAsia="宋体" w:cs="Times New Roman"/>
                <w:color w:val="auto"/>
                <w:sz w:val="21"/>
                <w:szCs w:val="21"/>
              </w:rPr>
              <w:t>空压机</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冷却塔</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风机</w:t>
            </w:r>
            <w:r>
              <w:rPr>
                <w:rFonts w:hint="default" w:ascii="Times New Roman" w:hAnsi="Times New Roman" w:eastAsia="宋体" w:cs="Times New Roman"/>
                <w:color w:val="auto"/>
                <w:sz w:val="21"/>
                <w:szCs w:val="21"/>
              </w:rPr>
              <w:t>等生产及辅助设备，单台噪声源强≤</w:t>
            </w:r>
            <w:r>
              <w:rPr>
                <w:rFonts w:hint="eastAsia" w:ascii="Times New Roman" w:hAnsi="Times New Roman" w:eastAsia="宋体" w:cs="Times New Roman"/>
                <w:color w:val="auto"/>
                <w:sz w:val="21"/>
                <w:szCs w:val="21"/>
                <w:lang w:val="en-US" w:eastAsia="zh-CN"/>
              </w:rPr>
              <w:t>90</w:t>
            </w:r>
            <w:r>
              <w:rPr>
                <w:rFonts w:hint="default" w:ascii="Times New Roman" w:hAnsi="Times New Roman" w:eastAsia="宋体" w:cs="Times New Roman"/>
                <w:color w:val="auto"/>
                <w:sz w:val="21"/>
                <w:szCs w:val="21"/>
              </w:rPr>
              <w:t>dB(A)。</w:t>
            </w:r>
          </w:p>
        </w:tc>
        <w:tc>
          <w:tcPr>
            <w:tcW w:w="0" w:type="auto"/>
            <w:noWrap w:val="0"/>
            <w:vAlign w:val="center"/>
          </w:tcPr>
          <w:p w14:paraId="3E395A03">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选用低噪声设备，设备设置于室内，车间厂房隔声，距离衰减</w:t>
            </w:r>
          </w:p>
        </w:tc>
        <w:tc>
          <w:tcPr>
            <w:tcW w:w="0" w:type="auto"/>
            <w:noWrap w:val="0"/>
            <w:vAlign w:val="center"/>
          </w:tcPr>
          <w:p w14:paraId="685226D5">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达GB12348-2008表1中3类标准</w:t>
            </w:r>
          </w:p>
          <w:p w14:paraId="773AE5D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昼间：65dB(A)</w:t>
            </w:r>
          </w:p>
          <w:p w14:paraId="33DFD8BD">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夜间：55dB(A)</w:t>
            </w:r>
          </w:p>
        </w:tc>
      </w:tr>
      <w:tr w14:paraId="579C9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40" w:type="dxa"/>
            <w:noWrap w:val="0"/>
            <w:vAlign w:val="center"/>
          </w:tcPr>
          <w:p w14:paraId="764A289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电磁辐射</w:t>
            </w:r>
          </w:p>
        </w:tc>
        <w:tc>
          <w:tcPr>
            <w:tcW w:w="1632" w:type="dxa"/>
            <w:noWrap w:val="0"/>
            <w:vAlign w:val="center"/>
          </w:tcPr>
          <w:p w14:paraId="7FBE0541">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0" w:type="auto"/>
            <w:noWrap w:val="0"/>
            <w:vAlign w:val="center"/>
          </w:tcPr>
          <w:p w14:paraId="120F1574">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0" w:type="auto"/>
            <w:noWrap w:val="0"/>
            <w:vAlign w:val="center"/>
          </w:tcPr>
          <w:p w14:paraId="5B3A82ED">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0" w:type="auto"/>
            <w:noWrap w:val="0"/>
            <w:vAlign w:val="center"/>
          </w:tcPr>
          <w:p w14:paraId="0B7464A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347D7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40" w:type="dxa"/>
            <w:vMerge w:val="restart"/>
            <w:noWrap w:val="0"/>
            <w:vAlign w:val="center"/>
          </w:tcPr>
          <w:p w14:paraId="1854EAB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1632" w:type="dxa"/>
            <w:noWrap w:val="0"/>
            <w:vAlign w:val="center"/>
          </w:tcPr>
          <w:p w14:paraId="438ACBB5">
            <w:pPr>
              <w:adjustRightInd w:val="0"/>
              <w:snapToGrid w:val="0"/>
              <w:spacing w:line="240" w:lineRule="auto"/>
              <w:jc w:val="center"/>
              <w:rPr>
                <w:rFonts w:hint="default" w:ascii="Times New Roman" w:hAnsi="Times New Roman" w:eastAsia="宋体" w:cs="Times New Roman"/>
                <w:color w:val="auto"/>
                <w:sz w:val="21"/>
                <w:szCs w:val="21"/>
              </w:rPr>
            </w:pPr>
            <w:r>
              <w:rPr>
                <w:rFonts w:hint="eastAsia"/>
                <w:color w:val="auto"/>
                <w:lang w:val="en-US" w:eastAsia="zh-CN"/>
              </w:rPr>
              <w:t>注塑成型</w:t>
            </w:r>
          </w:p>
        </w:tc>
        <w:tc>
          <w:tcPr>
            <w:tcW w:w="2001" w:type="dxa"/>
            <w:noWrap w:val="0"/>
            <w:vAlign w:val="center"/>
          </w:tcPr>
          <w:p w14:paraId="417295B5">
            <w:pPr>
              <w:adjustRightInd w:val="0"/>
              <w:snapToGrid w:val="0"/>
              <w:spacing w:line="240" w:lineRule="auto"/>
              <w:jc w:val="center"/>
              <w:rPr>
                <w:rFonts w:hint="default" w:ascii="Times New Roman" w:hAnsi="Times New Roman" w:eastAsia="宋体" w:cs="Times New Roman"/>
                <w:color w:val="auto"/>
                <w:sz w:val="21"/>
                <w:szCs w:val="21"/>
              </w:rPr>
            </w:pPr>
            <w:r>
              <w:rPr>
                <w:rFonts w:hint="eastAsia"/>
                <w:color w:val="auto"/>
                <w:lang w:val="en-US" w:eastAsia="zh-CN"/>
              </w:rPr>
              <w:t>焦化塑料</w:t>
            </w:r>
          </w:p>
        </w:tc>
        <w:tc>
          <w:tcPr>
            <w:tcW w:w="1514" w:type="dxa"/>
            <w:vMerge w:val="restart"/>
            <w:noWrap w:val="0"/>
            <w:vAlign w:val="center"/>
          </w:tcPr>
          <w:p w14:paraId="6773C331">
            <w:pPr>
              <w:adjustRightInd w:val="0"/>
              <w:snapToGrid w:val="0"/>
              <w:jc w:val="center"/>
              <w:rPr>
                <w:rFonts w:hint="default" w:ascii="Times New Roman" w:hAnsi="Times New Roman" w:eastAsia="宋体" w:cs="Times New Roman"/>
                <w:color w:val="auto"/>
                <w:sz w:val="21"/>
                <w:szCs w:val="21"/>
              </w:rPr>
            </w:pPr>
            <w:r>
              <w:rPr>
                <w:color w:val="auto"/>
              </w:rPr>
              <w:t>外售综合利用</w:t>
            </w:r>
          </w:p>
        </w:tc>
        <w:tc>
          <w:tcPr>
            <w:tcW w:w="0" w:type="auto"/>
            <w:vMerge w:val="restart"/>
            <w:noWrap w:val="0"/>
            <w:vAlign w:val="center"/>
          </w:tcPr>
          <w:p w14:paraId="478D7EAF">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综合利用或</w:t>
            </w:r>
          </w:p>
          <w:p w14:paraId="688A436C">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妥善处置，不外排</w:t>
            </w:r>
          </w:p>
        </w:tc>
      </w:tr>
      <w:tr w14:paraId="2E63C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240" w:type="dxa"/>
            <w:vMerge w:val="continue"/>
            <w:noWrap w:val="0"/>
            <w:vAlign w:val="center"/>
          </w:tcPr>
          <w:p w14:paraId="5AAB8A4E">
            <w:pPr>
              <w:adjustRightInd w:val="0"/>
              <w:snapToGrid w:val="0"/>
              <w:jc w:val="center"/>
              <w:rPr>
                <w:rFonts w:hint="default" w:ascii="Times New Roman" w:hAnsi="Times New Roman" w:eastAsia="宋体" w:cs="Times New Roman"/>
                <w:color w:val="auto"/>
                <w:sz w:val="21"/>
                <w:szCs w:val="21"/>
              </w:rPr>
            </w:pPr>
          </w:p>
        </w:tc>
        <w:tc>
          <w:tcPr>
            <w:tcW w:w="1632" w:type="dxa"/>
            <w:noWrap w:val="0"/>
            <w:vAlign w:val="center"/>
          </w:tcPr>
          <w:p w14:paraId="57E0B903">
            <w:pPr>
              <w:adjustRightInd w:val="0"/>
              <w:snapToGrid w:val="0"/>
              <w:spacing w:line="240" w:lineRule="auto"/>
              <w:jc w:val="center"/>
              <w:rPr>
                <w:rFonts w:hint="default" w:ascii="Times New Roman" w:hAnsi="Times New Roman" w:eastAsia="宋体" w:cs="Times New Roman"/>
                <w:color w:val="auto"/>
                <w:sz w:val="21"/>
                <w:szCs w:val="21"/>
              </w:rPr>
            </w:pPr>
            <w:r>
              <w:rPr>
                <w:color w:val="auto"/>
              </w:rPr>
              <w:t>原料使用</w:t>
            </w:r>
          </w:p>
        </w:tc>
        <w:tc>
          <w:tcPr>
            <w:tcW w:w="2001" w:type="dxa"/>
            <w:noWrap w:val="0"/>
            <w:vAlign w:val="center"/>
          </w:tcPr>
          <w:p w14:paraId="2758E92A">
            <w:pPr>
              <w:adjustRightInd w:val="0"/>
              <w:snapToGrid w:val="0"/>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000000" w:themeColor="text1"/>
                <w:szCs w:val="21"/>
                <w14:textFill>
                  <w14:solidFill>
                    <w14:schemeClr w14:val="tx1"/>
                  </w14:solidFill>
                </w14:textFill>
              </w:rPr>
              <w:t>废包装袋</w:t>
            </w:r>
          </w:p>
        </w:tc>
        <w:tc>
          <w:tcPr>
            <w:tcW w:w="1514" w:type="dxa"/>
            <w:vMerge w:val="continue"/>
            <w:noWrap w:val="0"/>
            <w:vAlign w:val="center"/>
          </w:tcPr>
          <w:p w14:paraId="59C1999F">
            <w:pPr>
              <w:adjustRightInd w:val="0"/>
              <w:snapToGrid w:val="0"/>
              <w:jc w:val="center"/>
              <w:rPr>
                <w:rFonts w:hint="default" w:ascii="Times New Roman" w:hAnsi="Times New Roman" w:eastAsia="宋体" w:cs="Times New Roman"/>
                <w:color w:val="auto"/>
                <w:sz w:val="21"/>
                <w:szCs w:val="21"/>
              </w:rPr>
            </w:pPr>
          </w:p>
        </w:tc>
        <w:tc>
          <w:tcPr>
            <w:tcW w:w="0" w:type="auto"/>
            <w:vMerge w:val="continue"/>
            <w:noWrap w:val="0"/>
            <w:vAlign w:val="center"/>
          </w:tcPr>
          <w:p w14:paraId="64D399EA">
            <w:pPr>
              <w:adjustRightInd w:val="0"/>
              <w:snapToGrid w:val="0"/>
              <w:jc w:val="center"/>
              <w:rPr>
                <w:rFonts w:hint="default" w:ascii="Times New Roman" w:hAnsi="Times New Roman" w:eastAsia="宋体" w:cs="Times New Roman"/>
                <w:color w:val="auto"/>
                <w:sz w:val="21"/>
                <w:szCs w:val="21"/>
              </w:rPr>
            </w:pPr>
          </w:p>
        </w:tc>
      </w:tr>
      <w:tr w14:paraId="60B93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240" w:type="dxa"/>
            <w:vMerge w:val="continue"/>
            <w:noWrap w:val="0"/>
            <w:vAlign w:val="center"/>
          </w:tcPr>
          <w:p w14:paraId="00C73D7D">
            <w:pPr>
              <w:adjustRightInd w:val="0"/>
              <w:snapToGrid w:val="0"/>
              <w:jc w:val="center"/>
              <w:rPr>
                <w:rFonts w:hint="default" w:ascii="Times New Roman" w:hAnsi="Times New Roman" w:eastAsia="宋体" w:cs="Times New Roman"/>
                <w:color w:val="auto"/>
                <w:sz w:val="21"/>
                <w:szCs w:val="21"/>
              </w:rPr>
            </w:pPr>
          </w:p>
        </w:tc>
        <w:tc>
          <w:tcPr>
            <w:tcW w:w="1632" w:type="dxa"/>
            <w:noWrap w:val="0"/>
            <w:vAlign w:val="center"/>
          </w:tcPr>
          <w:p w14:paraId="4218971D">
            <w:pPr>
              <w:adjustRightInd w:val="0"/>
              <w:snapToGrid w:val="0"/>
              <w:spacing w:line="240" w:lineRule="auto"/>
              <w:jc w:val="center"/>
              <w:rPr>
                <w:rFonts w:hint="default" w:ascii="Times New Roman" w:hAnsi="Times New Roman" w:eastAsia="宋体" w:cs="Times New Roman"/>
                <w:color w:val="auto"/>
                <w:sz w:val="21"/>
                <w:szCs w:val="21"/>
              </w:rPr>
            </w:pPr>
            <w:r>
              <w:rPr>
                <w:rFonts w:hint="eastAsia"/>
                <w:color w:val="auto"/>
                <w:lang w:val="en-US" w:eastAsia="zh-CN"/>
              </w:rPr>
              <w:t>废气处理</w:t>
            </w:r>
          </w:p>
        </w:tc>
        <w:tc>
          <w:tcPr>
            <w:tcW w:w="2001" w:type="dxa"/>
            <w:noWrap w:val="0"/>
            <w:vAlign w:val="center"/>
          </w:tcPr>
          <w:p w14:paraId="42685A00">
            <w:pPr>
              <w:adjustRightInd w:val="0"/>
              <w:snapToGrid w:val="0"/>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000000" w:themeColor="text1"/>
                <w:szCs w:val="21"/>
                <w14:textFill>
                  <w14:solidFill>
                    <w14:schemeClr w14:val="tx1"/>
                  </w14:solidFill>
                </w14:textFill>
              </w:rPr>
              <w:t>废布袋</w:t>
            </w:r>
          </w:p>
        </w:tc>
        <w:tc>
          <w:tcPr>
            <w:tcW w:w="1514" w:type="dxa"/>
            <w:vMerge w:val="continue"/>
            <w:noWrap w:val="0"/>
            <w:vAlign w:val="center"/>
          </w:tcPr>
          <w:p w14:paraId="17BB27A8">
            <w:pPr>
              <w:adjustRightInd w:val="0"/>
              <w:snapToGrid w:val="0"/>
              <w:jc w:val="center"/>
              <w:rPr>
                <w:rFonts w:hint="default" w:ascii="Times New Roman" w:hAnsi="Times New Roman" w:eastAsia="宋体" w:cs="Times New Roman"/>
                <w:color w:val="auto"/>
                <w:sz w:val="21"/>
                <w:szCs w:val="21"/>
              </w:rPr>
            </w:pPr>
          </w:p>
        </w:tc>
        <w:tc>
          <w:tcPr>
            <w:tcW w:w="0" w:type="auto"/>
            <w:vMerge w:val="continue"/>
            <w:noWrap w:val="0"/>
            <w:vAlign w:val="center"/>
          </w:tcPr>
          <w:p w14:paraId="28173240">
            <w:pPr>
              <w:adjustRightInd w:val="0"/>
              <w:snapToGrid w:val="0"/>
              <w:jc w:val="center"/>
              <w:rPr>
                <w:rFonts w:hint="default" w:ascii="Times New Roman" w:hAnsi="Times New Roman" w:eastAsia="宋体" w:cs="Times New Roman"/>
                <w:color w:val="auto"/>
                <w:sz w:val="21"/>
                <w:szCs w:val="21"/>
              </w:rPr>
            </w:pPr>
          </w:p>
        </w:tc>
      </w:tr>
      <w:tr w14:paraId="3A9D1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240" w:type="dxa"/>
            <w:vMerge w:val="continue"/>
            <w:noWrap w:val="0"/>
            <w:vAlign w:val="center"/>
          </w:tcPr>
          <w:p w14:paraId="56E3F810">
            <w:pPr>
              <w:adjustRightInd w:val="0"/>
              <w:snapToGrid w:val="0"/>
              <w:jc w:val="center"/>
              <w:rPr>
                <w:rFonts w:hint="default" w:ascii="Times New Roman" w:hAnsi="Times New Roman" w:eastAsia="宋体" w:cs="Times New Roman"/>
                <w:color w:val="auto"/>
                <w:sz w:val="21"/>
                <w:szCs w:val="21"/>
              </w:rPr>
            </w:pPr>
          </w:p>
        </w:tc>
        <w:tc>
          <w:tcPr>
            <w:tcW w:w="1632" w:type="dxa"/>
            <w:noWrap w:val="0"/>
            <w:vAlign w:val="center"/>
          </w:tcPr>
          <w:p w14:paraId="157E3EDC">
            <w:pPr>
              <w:adjustRightInd w:val="0"/>
              <w:snapToGrid w:val="0"/>
              <w:spacing w:line="240" w:lineRule="auto"/>
              <w:jc w:val="center"/>
              <w:rPr>
                <w:rFonts w:hint="default" w:ascii="Times New Roman" w:hAnsi="Times New Roman" w:eastAsia="宋体" w:cs="Times New Roman"/>
                <w:color w:val="auto"/>
                <w:sz w:val="21"/>
                <w:szCs w:val="21"/>
              </w:rPr>
            </w:pPr>
            <w:r>
              <w:rPr>
                <w:rFonts w:hint="eastAsia"/>
                <w:color w:val="auto"/>
                <w:lang w:val="en-US" w:eastAsia="zh-CN"/>
              </w:rPr>
              <w:t>废气处理</w:t>
            </w:r>
          </w:p>
        </w:tc>
        <w:tc>
          <w:tcPr>
            <w:tcW w:w="2001" w:type="dxa"/>
            <w:noWrap w:val="0"/>
            <w:vAlign w:val="center"/>
          </w:tcPr>
          <w:p w14:paraId="30BE2C52">
            <w:pPr>
              <w:adjustRightInd w:val="0"/>
              <w:snapToGrid w:val="0"/>
              <w:spacing w:line="240" w:lineRule="auto"/>
              <w:jc w:val="center"/>
              <w:rPr>
                <w:rFonts w:hint="default" w:ascii="Times New Roman" w:hAnsi="Times New Roman" w:eastAsia="宋体" w:cs="Times New Roman"/>
                <w:color w:val="auto"/>
                <w:sz w:val="21"/>
                <w:szCs w:val="21"/>
              </w:rPr>
            </w:pPr>
            <w:r>
              <w:rPr>
                <w:rFonts w:hint="eastAsia"/>
                <w:color w:val="auto"/>
                <w:lang w:val="en-US" w:eastAsia="zh-CN"/>
              </w:rPr>
              <w:t>滤尘</w:t>
            </w:r>
          </w:p>
        </w:tc>
        <w:tc>
          <w:tcPr>
            <w:tcW w:w="1514" w:type="dxa"/>
            <w:vMerge w:val="continue"/>
            <w:noWrap w:val="0"/>
            <w:vAlign w:val="center"/>
          </w:tcPr>
          <w:p w14:paraId="466D8F10">
            <w:pPr>
              <w:adjustRightInd w:val="0"/>
              <w:snapToGrid w:val="0"/>
              <w:jc w:val="center"/>
              <w:rPr>
                <w:rFonts w:hint="default" w:ascii="Times New Roman" w:hAnsi="Times New Roman" w:eastAsia="宋体" w:cs="Times New Roman"/>
                <w:color w:val="auto"/>
                <w:sz w:val="21"/>
                <w:szCs w:val="21"/>
              </w:rPr>
            </w:pPr>
          </w:p>
        </w:tc>
        <w:tc>
          <w:tcPr>
            <w:tcW w:w="0" w:type="auto"/>
            <w:vMerge w:val="continue"/>
            <w:noWrap w:val="0"/>
            <w:vAlign w:val="center"/>
          </w:tcPr>
          <w:p w14:paraId="4A0E1746">
            <w:pPr>
              <w:adjustRightInd w:val="0"/>
              <w:snapToGrid w:val="0"/>
              <w:jc w:val="center"/>
              <w:rPr>
                <w:rFonts w:hint="default" w:ascii="Times New Roman" w:hAnsi="Times New Roman" w:eastAsia="宋体" w:cs="Times New Roman"/>
                <w:color w:val="auto"/>
                <w:sz w:val="21"/>
                <w:szCs w:val="21"/>
              </w:rPr>
            </w:pPr>
          </w:p>
        </w:tc>
      </w:tr>
      <w:tr w14:paraId="59F19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40" w:type="dxa"/>
            <w:vMerge w:val="continue"/>
            <w:noWrap w:val="0"/>
            <w:vAlign w:val="center"/>
          </w:tcPr>
          <w:p w14:paraId="09D54857">
            <w:pPr>
              <w:adjustRightInd w:val="0"/>
              <w:snapToGrid w:val="0"/>
              <w:jc w:val="center"/>
              <w:rPr>
                <w:rFonts w:hint="default" w:ascii="Times New Roman" w:hAnsi="Times New Roman" w:eastAsia="宋体" w:cs="Times New Roman"/>
                <w:color w:val="auto"/>
                <w:sz w:val="21"/>
                <w:szCs w:val="21"/>
              </w:rPr>
            </w:pPr>
          </w:p>
        </w:tc>
        <w:tc>
          <w:tcPr>
            <w:tcW w:w="1632" w:type="dxa"/>
            <w:noWrap w:val="0"/>
            <w:vAlign w:val="center"/>
          </w:tcPr>
          <w:p w14:paraId="581960B2">
            <w:pPr>
              <w:adjustRightInd w:val="0"/>
              <w:snapToGrid w:val="0"/>
              <w:spacing w:line="240" w:lineRule="auto"/>
              <w:jc w:val="center"/>
              <w:rPr>
                <w:rFonts w:hint="default" w:ascii="Times New Roman" w:hAnsi="Times New Roman" w:eastAsia="宋体" w:cs="Times New Roman"/>
                <w:color w:val="auto"/>
                <w:sz w:val="21"/>
                <w:szCs w:val="21"/>
              </w:rPr>
            </w:pPr>
            <w:r>
              <w:rPr>
                <w:rFonts w:hint="eastAsia"/>
                <w:color w:val="auto"/>
                <w:lang w:val="en-US" w:eastAsia="zh-CN"/>
              </w:rPr>
              <w:t>注塑成型</w:t>
            </w:r>
          </w:p>
        </w:tc>
        <w:tc>
          <w:tcPr>
            <w:tcW w:w="1361" w:type="dxa"/>
            <w:noWrap w:val="0"/>
            <w:vAlign w:val="center"/>
          </w:tcPr>
          <w:p w14:paraId="0DD39992">
            <w:pPr>
              <w:adjustRightInd w:val="0"/>
              <w:snapToGrid w:val="0"/>
              <w:spacing w:line="240" w:lineRule="auto"/>
              <w:jc w:val="center"/>
              <w:rPr>
                <w:rFonts w:hint="default" w:ascii="Times New Roman" w:hAnsi="Times New Roman" w:eastAsia="宋体" w:cs="Times New Roman"/>
                <w:color w:val="auto"/>
                <w:sz w:val="21"/>
                <w:szCs w:val="21"/>
              </w:rPr>
            </w:pPr>
            <w:r>
              <w:rPr>
                <w:rFonts w:hint="eastAsia"/>
                <w:color w:val="auto"/>
                <w:lang w:val="en-US" w:eastAsia="zh-CN"/>
              </w:rPr>
              <w:t>模具</w:t>
            </w:r>
          </w:p>
        </w:tc>
        <w:tc>
          <w:tcPr>
            <w:tcW w:w="0" w:type="auto"/>
            <w:noWrap w:val="0"/>
            <w:vAlign w:val="center"/>
          </w:tcPr>
          <w:p w14:paraId="34D27DFD">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委托有资质单位处置</w:t>
            </w:r>
          </w:p>
        </w:tc>
        <w:tc>
          <w:tcPr>
            <w:tcW w:w="0" w:type="auto"/>
            <w:vMerge w:val="continue"/>
            <w:noWrap w:val="0"/>
            <w:vAlign w:val="center"/>
          </w:tcPr>
          <w:p w14:paraId="1CF30AAD">
            <w:pPr>
              <w:adjustRightInd w:val="0"/>
              <w:snapToGrid w:val="0"/>
              <w:jc w:val="center"/>
              <w:rPr>
                <w:rFonts w:hint="default" w:ascii="Times New Roman" w:hAnsi="Times New Roman" w:eastAsia="宋体" w:cs="Times New Roman"/>
                <w:color w:val="auto"/>
                <w:sz w:val="21"/>
                <w:szCs w:val="21"/>
              </w:rPr>
            </w:pPr>
          </w:p>
        </w:tc>
      </w:tr>
      <w:tr w14:paraId="69F0E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40" w:type="dxa"/>
            <w:vMerge w:val="continue"/>
            <w:noWrap w:val="0"/>
            <w:vAlign w:val="center"/>
          </w:tcPr>
          <w:p w14:paraId="497E82B8">
            <w:pPr>
              <w:adjustRightInd w:val="0"/>
              <w:snapToGrid w:val="0"/>
              <w:jc w:val="center"/>
              <w:rPr>
                <w:rFonts w:hint="default" w:ascii="Times New Roman" w:hAnsi="Times New Roman" w:eastAsia="宋体" w:cs="Times New Roman"/>
                <w:color w:val="auto"/>
                <w:sz w:val="21"/>
                <w:szCs w:val="21"/>
              </w:rPr>
            </w:pPr>
          </w:p>
        </w:tc>
        <w:tc>
          <w:tcPr>
            <w:tcW w:w="1632" w:type="dxa"/>
            <w:noWrap w:val="0"/>
            <w:vAlign w:val="center"/>
          </w:tcPr>
          <w:p w14:paraId="6514B3B2">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olor w:val="auto"/>
                <w:lang w:val="en-US" w:eastAsia="zh-CN"/>
              </w:rPr>
              <w:t>废气处理</w:t>
            </w:r>
          </w:p>
        </w:tc>
        <w:tc>
          <w:tcPr>
            <w:tcW w:w="1361" w:type="dxa"/>
            <w:noWrap w:val="0"/>
            <w:vAlign w:val="center"/>
          </w:tcPr>
          <w:p w14:paraId="376FF6BB">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olor w:val="auto"/>
                <w:lang w:val="en-US" w:eastAsia="zh-CN"/>
              </w:rPr>
              <w:t>废活性炭</w:t>
            </w:r>
          </w:p>
        </w:tc>
        <w:tc>
          <w:tcPr>
            <w:tcW w:w="0" w:type="auto"/>
            <w:noWrap w:val="0"/>
            <w:vAlign w:val="center"/>
          </w:tcPr>
          <w:p w14:paraId="1F579C4C">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委托有资质单位处置</w:t>
            </w:r>
          </w:p>
        </w:tc>
        <w:tc>
          <w:tcPr>
            <w:tcW w:w="0" w:type="auto"/>
            <w:vMerge w:val="continue"/>
            <w:noWrap w:val="0"/>
            <w:vAlign w:val="center"/>
          </w:tcPr>
          <w:p w14:paraId="49F8E8E2">
            <w:pPr>
              <w:adjustRightInd w:val="0"/>
              <w:snapToGrid w:val="0"/>
              <w:jc w:val="center"/>
              <w:rPr>
                <w:rFonts w:hint="default" w:ascii="Times New Roman" w:hAnsi="Times New Roman" w:eastAsia="宋体" w:cs="Times New Roman"/>
                <w:color w:val="auto"/>
                <w:sz w:val="21"/>
                <w:szCs w:val="21"/>
              </w:rPr>
            </w:pPr>
          </w:p>
        </w:tc>
      </w:tr>
      <w:tr w14:paraId="3B39E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40" w:type="dxa"/>
            <w:vMerge w:val="continue"/>
            <w:noWrap w:val="0"/>
            <w:vAlign w:val="center"/>
          </w:tcPr>
          <w:p w14:paraId="668886FC">
            <w:pPr>
              <w:adjustRightInd w:val="0"/>
              <w:snapToGrid w:val="0"/>
              <w:jc w:val="center"/>
              <w:rPr>
                <w:rFonts w:hint="default" w:ascii="Times New Roman" w:hAnsi="Times New Roman" w:eastAsia="宋体" w:cs="Times New Roman"/>
                <w:color w:val="auto"/>
                <w:sz w:val="21"/>
                <w:szCs w:val="21"/>
              </w:rPr>
            </w:pPr>
          </w:p>
        </w:tc>
        <w:tc>
          <w:tcPr>
            <w:tcW w:w="1632" w:type="dxa"/>
            <w:noWrap w:val="0"/>
            <w:vAlign w:val="center"/>
          </w:tcPr>
          <w:p w14:paraId="4BA36767">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olor w:val="auto"/>
                <w:lang w:val="en-US" w:eastAsia="zh-CN"/>
              </w:rPr>
              <w:t>设备维护</w:t>
            </w:r>
          </w:p>
        </w:tc>
        <w:tc>
          <w:tcPr>
            <w:tcW w:w="1361" w:type="dxa"/>
            <w:noWrap w:val="0"/>
            <w:vAlign w:val="center"/>
          </w:tcPr>
          <w:p w14:paraId="4466665E">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themeColor="text1"/>
                <w:szCs w:val="21"/>
                <w14:textFill>
                  <w14:solidFill>
                    <w14:schemeClr w14:val="tx1"/>
                  </w14:solidFill>
                </w14:textFill>
              </w:rPr>
              <w:t>废机油</w:t>
            </w:r>
          </w:p>
        </w:tc>
        <w:tc>
          <w:tcPr>
            <w:tcW w:w="0" w:type="auto"/>
            <w:noWrap w:val="0"/>
            <w:vAlign w:val="center"/>
          </w:tcPr>
          <w:p w14:paraId="50DE176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委托有资质单位处置</w:t>
            </w:r>
          </w:p>
        </w:tc>
        <w:tc>
          <w:tcPr>
            <w:tcW w:w="0" w:type="auto"/>
            <w:vMerge w:val="continue"/>
            <w:noWrap w:val="0"/>
            <w:vAlign w:val="center"/>
          </w:tcPr>
          <w:p w14:paraId="5CD2B2EC">
            <w:pPr>
              <w:adjustRightInd w:val="0"/>
              <w:snapToGrid w:val="0"/>
              <w:jc w:val="center"/>
              <w:rPr>
                <w:rFonts w:hint="default" w:ascii="Times New Roman" w:hAnsi="Times New Roman" w:eastAsia="宋体" w:cs="Times New Roman"/>
                <w:color w:val="auto"/>
                <w:sz w:val="21"/>
                <w:szCs w:val="21"/>
              </w:rPr>
            </w:pPr>
          </w:p>
        </w:tc>
      </w:tr>
      <w:tr w14:paraId="4DE03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240" w:type="dxa"/>
            <w:vMerge w:val="continue"/>
            <w:noWrap w:val="0"/>
            <w:vAlign w:val="center"/>
          </w:tcPr>
          <w:p w14:paraId="5371DCF8">
            <w:pPr>
              <w:adjustRightInd w:val="0"/>
              <w:snapToGrid w:val="0"/>
              <w:jc w:val="center"/>
              <w:rPr>
                <w:rFonts w:hint="default" w:ascii="Times New Roman" w:hAnsi="Times New Roman" w:eastAsia="宋体" w:cs="Times New Roman"/>
                <w:color w:val="auto"/>
                <w:sz w:val="21"/>
                <w:szCs w:val="21"/>
              </w:rPr>
            </w:pPr>
          </w:p>
        </w:tc>
        <w:tc>
          <w:tcPr>
            <w:tcW w:w="1632" w:type="dxa"/>
            <w:noWrap w:val="0"/>
            <w:vAlign w:val="center"/>
          </w:tcPr>
          <w:p w14:paraId="1C5BDAD3">
            <w:pPr>
              <w:adjustRightInd w:val="0"/>
              <w:snapToGrid w:val="0"/>
              <w:spacing w:line="240" w:lineRule="auto"/>
              <w:jc w:val="center"/>
              <w:rPr>
                <w:rFonts w:hint="default" w:ascii="Times New Roman" w:hAnsi="Times New Roman" w:eastAsia="宋体" w:cs="Times New Roman"/>
                <w:color w:val="auto"/>
                <w:sz w:val="21"/>
                <w:szCs w:val="21"/>
              </w:rPr>
            </w:pPr>
            <w:r>
              <w:rPr>
                <w:color w:val="auto"/>
              </w:rPr>
              <w:t>员工生活</w:t>
            </w:r>
          </w:p>
        </w:tc>
        <w:tc>
          <w:tcPr>
            <w:tcW w:w="1361" w:type="dxa"/>
            <w:noWrap w:val="0"/>
            <w:vAlign w:val="center"/>
          </w:tcPr>
          <w:p w14:paraId="1A9B76C5">
            <w:pPr>
              <w:adjustRightInd w:val="0"/>
              <w:snapToGrid w:val="0"/>
              <w:spacing w:line="240" w:lineRule="auto"/>
              <w:jc w:val="center"/>
              <w:rPr>
                <w:rFonts w:hint="default" w:ascii="Times New Roman" w:hAnsi="Times New Roman" w:eastAsia="宋体" w:cs="Times New Roman"/>
                <w:color w:val="auto"/>
                <w:sz w:val="21"/>
                <w:szCs w:val="21"/>
              </w:rPr>
            </w:pPr>
            <w:r>
              <w:rPr>
                <w:color w:val="auto"/>
              </w:rPr>
              <w:t>生活垃圾</w:t>
            </w:r>
          </w:p>
        </w:tc>
        <w:tc>
          <w:tcPr>
            <w:tcW w:w="0" w:type="auto"/>
            <w:noWrap w:val="0"/>
            <w:vAlign w:val="center"/>
          </w:tcPr>
          <w:p w14:paraId="607F0F34">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环卫定期清运</w:t>
            </w:r>
          </w:p>
        </w:tc>
        <w:tc>
          <w:tcPr>
            <w:tcW w:w="0" w:type="auto"/>
            <w:vMerge w:val="continue"/>
            <w:noWrap w:val="0"/>
            <w:vAlign w:val="center"/>
          </w:tcPr>
          <w:p w14:paraId="34CC3C51">
            <w:pPr>
              <w:adjustRightInd w:val="0"/>
              <w:snapToGrid w:val="0"/>
              <w:jc w:val="center"/>
              <w:rPr>
                <w:rFonts w:hint="default" w:ascii="Times New Roman" w:hAnsi="Times New Roman" w:eastAsia="宋体" w:cs="Times New Roman"/>
                <w:color w:val="auto"/>
                <w:sz w:val="21"/>
                <w:szCs w:val="21"/>
              </w:rPr>
            </w:pPr>
          </w:p>
        </w:tc>
      </w:tr>
      <w:tr w14:paraId="4EA83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240" w:type="dxa"/>
            <w:noWrap w:val="0"/>
            <w:vAlign w:val="center"/>
          </w:tcPr>
          <w:p w14:paraId="1A7EA089">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土壤及地下水、污染防治措施</w:t>
            </w:r>
          </w:p>
        </w:tc>
        <w:tc>
          <w:tcPr>
            <w:tcW w:w="7820" w:type="dxa"/>
            <w:gridSpan w:val="4"/>
            <w:noWrap w:val="0"/>
            <w:vAlign w:val="center"/>
          </w:tcPr>
          <w:p w14:paraId="34A87E9B">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企业厂区内地面已全部硬化，厂内污水管网等管线以地下铺设为主，地下管线为抗渗防腐的管材铺设，化粪池采用玻璃钢成品化粪池，建立有效的事故废水收集系统。</w:t>
            </w:r>
          </w:p>
        </w:tc>
      </w:tr>
      <w:tr w14:paraId="3E7133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1240" w:type="dxa"/>
            <w:noWrap w:val="0"/>
            <w:vAlign w:val="center"/>
          </w:tcPr>
          <w:p w14:paraId="57DAAB7D">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生态保护措施</w:t>
            </w:r>
          </w:p>
        </w:tc>
        <w:tc>
          <w:tcPr>
            <w:tcW w:w="7820" w:type="dxa"/>
            <w:gridSpan w:val="4"/>
            <w:noWrap w:val="0"/>
            <w:vAlign w:val="center"/>
          </w:tcPr>
          <w:p w14:paraId="2D4D6365">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本项目不属于产业园区外新增用地，用地范围内不含生态环境保护目标，因此对周围生态环境影响较小。</w:t>
            </w:r>
          </w:p>
        </w:tc>
      </w:tr>
      <w:tr w14:paraId="567C0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noWrap w:val="0"/>
            <w:vAlign w:val="center"/>
          </w:tcPr>
          <w:p w14:paraId="1C3288B5">
            <w:pPr>
              <w:adjustRightInd w:val="0"/>
              <w:snapToGrid w:val="0"/>
              <w:jc w:val="center"/>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环境风险防范措施</w:t>
            </w:r>
          </w:p>
        </w:tc>
        <w:tc>
          <w:tcPr>
            <w:tcW w:w="7820" w:type="dxa"/>
            <w:gridSpan w:val="4"/>
            <w:noWrap w:val="0"/>
            <w:vAlign w:val="center"/>
          </w:tcPr>
          <w:p w14:paraId="600AD5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包括原料贮运安全防范措施、泄漏事故的防范措施、安全生产管理系统、火灾事故应急处置措施、危险废物的环境风险防范措施，制定应急预案等。</w:t>
            </w:r>
          </w:p>
          <w:p w14:paraId="0A2F502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 w:val="21"/>
                <w:szCs w:val="21"/>
              </w:rPr>
            </w:pPr>
            <w:r>
              <w:rPr>
                <w:rFonts w:hint="eastAsia"/>
                <w:color w:val="auto"/>
                <w:szCs w:val="21"/>
              </w:rPr>
              <w:t>本项目完成建设后建设单位应按照《关于做好生态环境和应急管理部门联动工作的意见》（苏环办[2020]101号）</w:t>
            </w:r>
            <w:r>
              <w:rPr>
                <w:rFonts w:hint="eastAsia"/>
                <w:color w:val="auto"/>
                <w:szCs w:val="21"/>
                <w:lang w:eastAsia="zh-CN"/>
              </w:rPr>
              <w:t>、省生态环境厅关于印发&lt;&lt;江苏省突发环境事件应急预案管理办法&gt;&gt;的通知（苏环发[2023]7号）</w:t>
            </w:r>
            <w:r>
              <w:rPr>
                <w:rFonts w:hint="eastAsia"/>
                <w:color w:val="auto"/>
                <w:szCs w:val="21"/>
              </w:rPr>
              <w:t>相关文件要求，企业需对6类环境治理设施开展安全风险辨识，健全设施运行管理制度，新改扩建设施需经安全论证、正规设计施工，确保安全环保双达标</w:t>
            </w:r>
            <w:r>
              <w:rPr>
                <w:rFonts w:hint="eastAsia"/>
                <w:color w:val="auto"/>
                <w:szCs w:val="21"/>
                <w:lang w:eastAsia="zh-CN"/>
              </w:rPr>
              <w:t>；</w:t>
            </w:r>
            <w:r>
              <w:rPr>
                <w:rFonts w:hint="eastAsia"/>
                <w:color w:val="auto"/>
                <w:szCs w:val="21"/>
              </w:rPr>
              <w:t>涉及环境风险物质、环评有要求、曾发生突发环境事件的企事业单位/工业园区必须编制预案</w:t>
            </w:r>
            <w:r>
              <w:rPr>
                <w:rFonts w:hint="eastAsia"/>
                <w:color w:val="auto"/>
                <w:szCs w:val="21"/>
                <w:lang w:eastAsia="zh-CN"/>
              </w:rPr>
              <w:t>；</w:t>
            </w:r>
            <w:r>
              <w:rPr>
                <w:rFonts w:hint="eastAsia"/>
                <w:color w:val="auto"/>
                <w:szCs w:val="21"/>
              </w:rPr>
              <w:t>按“一图两单两卡”完善内容，新改扩建设施需经安全论证与正规设计，确保预案与实际相符</w:t>
            </w:r>
            <w:r>
              <w:rPr>
                <w:rFonts w:hint="eastAsia"/>
                <w:color w:val="auto"/>
                <w:szCs w:val="21"/>
                <w:lang w:eastAsia="zh-CN"/>
              </w:rPr>
              <w:t>；</w:t>
            </w:r>
            <w:r>
              <w:rPr>
                <w:rFonts w:hint="eastAsia"/>
                <w:color w:val="auto"/>
                <w:szCs w:val="21"/>
              </w:rPr>
              <w:t>投产前完成备案，备案信息与排污许可证、“三同时”验收文件衔接一致</w:t>
            </w:r>
            <w:r>
              <w:rPr>
                <w:rFonts w:hint="eastAsia"/>
                <w:color w:val="auto"/>
                <w:szCs w:val="21"/>
                <w:lang w:eastAsia="zh-CN"/>
              </w:rPr>
              <w:t>；</w:t>
            </w:r>
            <w:r>
              <w:rPr>
                <w:rFonts w:hint="eastAsia"/>
                <w:color w:val="auto"/>
                <w:szCs w:val="21"/>
              </w:rPr>
              <w:t>每年至少1次演练，每3年评估并根据风险变化、演练结果修订预案。</w:t>
            </w:r>
          </w:p>
        </w:tc>
      </w:tr>
      <w:tr w14:paraId="0071B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1" w:hRule="exact"/>
          <w:jc w:val="center"/>
        </w:trPr>
        <w:tc>
          <w:tcPr>
            <w:tcW w:w="1240" w:type="dxa"/>
            <w:noWrap w:val="0"/>
            <w:vAlign w:val="center"/>
          </w:tcPr>
          <w:p w14:paraId="72F2950E">
            <w:pPr>
              <w:adjustRightInd w:val="0"/>
              <w:snapToGrid w:val="0"/>
              <w:jc w:val="center"/>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其他环境</w:t>
            </w:r>
          </w:p>
          <w:p w14:paraId="3BB48D8C">
            <w:pPr>
              <w:adjustRightInd w:val="0"/>
              <w:snapToGrid w:val="0"/>
              <w:jc w:val="center"/>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管理要求</w:t>
            </w:r>
          </w:p>
        </w:tc>
        <w:tc>
          <w:tcPr>
            <w:tcW w:w="7820" w:type="dxa"/>
            <w:gridSpan w:val="4"/>
            <w:noWrap w:val="0"/>
            <w:vAlign w:val="top"/>
          </w:tcPr>
          <w:p w14:paraId="3A1FA5F5">
            <w:pPr>
              <w:adjustRightInd w:val="0"/>
              <w:snapToGrid w:val="0"/>
              <w:spacing w:line="360" w:lineRule="auto"/>
              <w:ind w:firstLine="420" w:firstLineChars="200"/>
              <w:rPr>
                <w:color w:val="auto"/>
                <w:szCs w:val="21"/>
              </w:rPr>
            </w:pPr>
            <w:r>
              <w:rPr>
                <w:rFonts w:hint="default" w:ascii="Times New Roman" w:hAnsi="Times New Roman" w:eastAsia="宋体" w:cs="Times New Roman"/>
                <w:color w:val="auto"/>
                <w:sz w:val="21"/>
                <w:szCs w:val="21"/>
              </w:rPr>
              <w:t>根据《固定污染源排污许可分类管理名录》（2019年版），本项目属于“二十四、橡胶和塑料制品业29塑料制品业292，本项目不属于年产1万吨及以上涉及改性的塑料零件及其他塑料制品制造2929，因此属于登记管理</w:t>
            </w:r>
            <w:r>
              <w:rPr>
                <w:rFonts w:hint="eastAsia" w:cs="Times New Roman"/>
                <w:color w:val="auto"/>
                <w:sz w:val="21"/>
                <w:szCs w:val="21"/>
                <w:lang w:eastAsia="zh-CN"/>
              </w:rPr>
              <w:t>，</w:t>
            </w:r>
            <w:r>
              <w:rPr>
                <w:rFonts w:hint="eastAsia" w:cs="Times New Roman"/>
                <w:color w:val="auto"/>
                <w:sz w:val="21"/>
                <w:szCs w:val="21"/>
                <w:lang w:val="en-US" w:eastAsia="zh-CN"/>
              </w:rPr>
              <w:t>本项目为搬迁项目，搬迁完成后重新申领排污证登记管理</w:t>
            </w:r>
            <w:r>
              <w:rPr>
                <w:rFonts w:hint="default" w:ascii="Times New Roman" w:hAnsi="Times New Roman" w:eastAsia="宋体" w:cs="Times New Roman"/>
                <w:color w:val="auto"/>
                <w:sz w:val="21"/>
                <w:szCs w:val="21"/>
              </w:rPr>
              <w:t>。</w:t>
            </w:r>
          </w:p>
          <w:p w14:paraId="258D72F0">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雨排口规范化建设，雨水排放口前端设置明渠（排放井）和初期雨水收集池，便于日常检查、采样检测，排放口安装截止阀，受污染的初期雨水需经处理达标后方可接入雨水管网。</w:t>
            </w:r>
          </w:p>
          <w:p w14:paraId="2DAD397D">
            <w:pPr>
              <w:adjustRightInd w:val="0"/>
              <w:snapToGrid w:val="0"/>
              <w:spacing w:line="360" w:lineRule="auto"/>
              <w:ind w:firstLine="420" w:firstLineChars="200"/>
              <w:rPr>
                <w:rFonts w:hint="default" w:ascii="Times New Roman" w:hAnsi="Times New Roman" w:eastAsia="宋体" w:cs="Times New Roman"/>
                <w:color w:val="auto"/>
                <w:sz w:val="21"/>
                <w:szCs w:val="21"/>
              </w:rPr>
            </w:pPr>
          </w:p>
          <w:p w14:paraId="14912A2A">
            <w:pPr>
              <w:adjustRightInd w:val="0"/>
              <w:snapToGrid w:val="0"/>
              <w:spacing w:line="360" w:lineRule="auto"/>
              <w:ind w:firstLine="420" w:firstLineChars="200"/>
              <w:rPr>
                <w:rFonts w:hint="default" w:ascii="Times New Roman" w:hAnsi="Times New Roman" w:eastAsia="宋体" w:cs="Times New Roman"/>
                <w:color w:val="auto"/>
                <w:sz w:val="21"/>
                <w:szCs w:val="21"/>
              </w:rPr>
            </w:pPr>
          </w:p>
          <w:p w14:paraId="12AF09F5">
            <w:pPr>
              <w:adjustRightInd w:val="0"/>
              <w:snapToGrid w:val="0"/>
              <w:spacing w:line="360" w:lineRule="auto"/>
              <w:ind w:firstLine="420" w:firstLineChars="200"/>
              <w:rPr>
                <w:rFonts w:hint="default" w:ascii="Times New Roman" w:hAnsi="Times New Roman" w:eastAsia="宋体" w:cs="Times New Roman"/>
                <w:color w:val="auto"/>
                <w:sz w:val="21"/>
                <w:szCs w:val="21"/>
              </w:rPr>
            </w:pPr>
          </w:p>
          <w:p w14:paraId="6D449472">
            <w:pPr>
              <w:adjustRightInd w:val="0"/>
              <w:snapToGrid w:val="0"/>
              <w:spacing w:line="360" w:lineRule="auto"/>
              <w:ind w:firstLine="420" w:firstLineChars="200"/>
              <w:rPr>
                <w:rFonts w:hint="default" w:ascii="Times New Roman" w:hAnsi="Times New Roman" w:eastAsia="宋体" w:cs="Times New Roman"/>
                <w:color w:val="auto"/>
                <w:sz w:val="21"/>
                <w:szCs w:val="21"/>
              </w:rPr>
            </w:pPr>
          </w:p>
          <w:p w14:paraId="04D537C8">
            <w:pPr>
              <w:adjustRightInd w:val="0"/>
              <w:snapToGrid w:val="0"/>
              <w:spacing w:line="360" w:lineRule="auto"/>
              <w:ind w:firstLine="420" w:firstLineChars="200"/>
              <w:rPr>
                <w:rFonts w:hint="default" w:ascii="Times New Roman" w:hAnsi="Times New Roman" w:eastAsia="宋体" w:cs="Times New Roman"/>
                <w:color w:val="auto"/>
                <w:sz w:val="21"/>
                <w:szCs w:val="21"/>
              </w:rPr>
            </w:pPr>
          </w:p>
          <w:p w14:paraId="6197185D">
            <w:pPr>
              <w:adjustRightInd w:val="0"/>
              <w:snapToGrid w:val="0"/>
              <w:spacing w:line="360" w:lineRule="auto"/>
              <w:ind w:firstLine="420" w:firstLineChars="200"/>
              <w:rPr>
                <w:rFonts w:hint="default" w:ascii="Times New Roman" w:hAnsi="Times New Roman" w:eastAsia="宋体" w:cs="Times New Roman"/>
                <w:color w:val="auto"/>
                <w:sz w:val="21"/>
                <w:szCs w:val="21"/>
              </w:rPr>
            </w:pPr>
          </w:p>
          <w:p w14:paraId="157561FD">
            <w:pPr>
              <w:adjustRightInd w:val="0"/>
              <w:snapToGrid w:val="0"/>
              <w:spacing w:line="360" w:lineRule="auto"/>
              <w:ind w:firstLine="420" w:firstLineChars="200"/>
              <w:rPr>
                <w:rFonts w:hint="default" w:ascii="Times New Roman" w:hAnsi="Times New Roman" w:eastAsia="宋体" w:cs="Times New Roman"/>
                <w:color w:val="auto"/>
                <w:sz w:val="21"/>
                <w:szCs w:val="21"/>
              </w:rPr>
            </w:pPr>
          </w:p>
          <w:p w14:paraId="68F38A53">
            <w:pPr>
              <w:adjustRightInd w:val="0"/>
              <w:snapToGrid w:val="0"/>
              <w:spacing w:line="360" w:lineRule="auto"/>
              <w:ind w:firstLine="420" w:firstLineChars="200"/>
              <w:rPr>
                <w:rFonts w:hint="default" w:ascii="Times New Roman" w:hAnsi="Times New Roman" w:eastAsia="宋体" w:cs="Times New Roman"/>
                <w:color w:val="auto"/>
                <w:sz w:val="21"/>
                <w:szCs w:val="21"/>
              </w:rPr>
            </w:pPr>
          </w:p>
        </w:tc>
      </w:tr>
    </w:tbl>
    <w:p w14:paraId="1BD73925">
      <w:pPr>
        <w:pStyle w:val="36"/>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D741E5F">
      <w:pPr>
        <w:spacing w:line="360" w:lineRule="auto"/>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六、结论</w:t>
      </w:r>
    </w:p>
    <w:tbl>
      <w:tblPr>
        <w:tblStyle w:val="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34"/>
      </w:tblGrid>
      <w:tr w14:paraId="6B129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34" w:type="dxa"/>
          </w:tcPr>
          <w:p w14:paraId="7ABE0CAF">
            <w:pPr>
              <w:spacing w:line="360" w:lineRule="auto"/>
              <w:ind w:firstLine="420" w:firstLineChars="20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本项目符合国家及地方现行产业政策，地址选择符合用地规划要求；项目生产过程中产生的污染在采取有效的治理措施之后，对周围环境影响较小，不会改变当地环境质量现状；同时本项目对周边环境产生的影响较小，事故风险水平可被接受。因此，从环保的角度出发，该项目在坚持环保“三同时”原则并按照本报告中提出的各项环保措施治理后对环境影响是可接受的。</w:t>
            </w:r>
          </w:p>
          <w:p w14:paraId="67F97E2C">
            <w:pPr>
              <w:rPr>
                <w:rFonts w:ascii="宋体"/>
                <w:color w:val="000000" w:themeColor="text1"/>
                <w14:textFill>
                  <w14:solidFill>
                    <w14:schemeClr w14:val="tx1"/>
                  </w14:solidFill>
                </w14:textFill>
              </w:rPr>
            </w:pPr>
          </w:p>
          <w:p w14:paraId="696A4DB3">
            <w:pPr>
              <w:rPr>
                <w:rFonts w:ascii="宋体"/>
                <w:color w:val="000000" w:themeColor="text1"/>
                <w14:textFill>
                  <w14:solidFill>
                    <w14:schemeClr w14:val="tx1"/>
                  </w14:solidFill>
                </w14:textFill>
              </w:rPr>
            </w:pPr>
          </w:p>
          <w:p w14:paraId="2E33C590">
            <w:pPr>
              <w:rPr>
                <w:rFonts w:ascii="宋体"/>
                <w:color w:val="000000" w:themeColor="text1"/>
                <w14:textFill>
                  <w14:solidFill>
                    <w14:schemeClr w14:val="tx1"/>
                  </w14:solidFill>
                </w14:textFill>
              </w:rPr>
            </w:pPr>
          </w:p>
          <w:p w14:paraId="132EF09E">
            <w:pPr>
              <w:rPr>
                <w:rFonts w:ascii="宋体"/>
                <w:color w:val="000000" w:themeColor="text1"/>
                <w14:textFill>
                  <w14:solidFill>
                    <w14:schemeClr w14:val="tx1"/>
                  </w14:solidFill>
                </w14:textFill>
              </w:rPr>
            </w:pPr>
          </w:p>
          <w:p w14:paraId="0AD1A5EF">
            <w:pPr>
              <w:rPr>
                <w:rFonts w:ascii="宋体"/>
                <w:color w:val="000000" w:themeColor="text1"/>
                <w14:textFill>
                  <w14:solidFill>
                    <w14:schemeClr w14:val="tx1"/>
                  </w14:solidFill>
                </w14:textFill>
              </w:rPr>
            </w:pPr>
          </w:p>
          <w:p w14:paraId="27D76EB5">
            <w:pPr>
              <w:rPr>
                <w:rFonts w:ascii="宋体"/>
                <w:color w:val="000000" w:themeColor="text1"/>
                <w14:textFill>
                  <w14:solidFill>
                    <w14:schemeClr w14:val="tx1"/>
                  </w14:solidFill>
                </w14:textFill>
              </w:rPr>
            </w:pPr>
          </w:p>
          <w:p w14:paraId="0EBEE807">
            <w:pPr>
              <w:rPr>
                <w:rFonts w:ascii="宋体"/>
                <w:color w:val="000000" w:themeColor="text1"/>
                <w14:textFill>
                  <w14:solidFill>
                    <w14:schemeClr w14:val="tx1"/>
                  </w14:solidFill>
                </w14:textFill>
              </w:rPr>
            </w:pPr>
          </w:p>
          <w:p w14:paraId="4CD818F4">
            <w:pPr>
              <w:rPr>
                <w:rFonts w:ascii="宋体"/>
                <w:color w:val="000000" w:themeColor="text1"/>
                <w14:textFill>
                  <w14:solidFill>
                    <w14:schemeClr w14:val="tx1"/>
                  </w14:solidFill>
                </w14:textFill>
              </w:rPr>
            </w:pPr>
          </w:p>
          <w:p w14:paraId="19421C43">
            <w:pPr>
              <w:rPr>
                <w:rFonts w:ascii="宋体"/>
                <w:color w:val="000000" w:themeColor="text1"/>
                <w14:textFill>
                  <w14:solidFill>
                    <w14:schemeClr w14:val="tx1"/>
                  </w14:solidFill>
                </w14:textFill>
              </w:rPr>
            </w:pPr>
          </w:p>
          <w:p w14:paraId="18430518">
            <w:pPr>
              <w:rPr>
                <w:rFonts w:ascii="宋体"/>
                <w:color w:val="000000" w:themeColor="text1"/>
                <w14:textFill>
                  <w14:solidFill>
                    <w14:schemeClr w14:val="tx1"/>
                  </w14:solidFill>
                </w14:textFill>
              </w:rPr>
            </w:pPr>
          </w:p>
          <w:p w14:paraId="5E271986">
            <w:pPr>
              <w:rPr>
                <w:rFonts w:ascii="宋体"/>
                <w:color w:val="000000" w:themeColor="text1"/>
                <w14:textFill>
                  <w14:solidFill>
                    <w14:schemeClr w14:val="tx1"/>
                  </w14:solidFill>
                </w14:textFill>
              </w:rPr>
            </w:pPr>
          </w:p>
          <w:p w14:paraId="1D0AFF2D">
            <w:pPr>
              <w:rPr>
                <w:rFonts w:ascii="宋体"/>
                <w:color w:val="000000" w:themeColor="text1"/>
                <w14:textFill>
                  <w14:solidFill>
                    <w14:schemeClr w14:val="tx1"/>
                  </w14:solidFill>
                </w14:textFill>
              </w:rPr>
            </w:pPr>
          </w:p>
          <w:p w14:paraId="49EC1E7D">
            <w:pPr>
              <w:rPr>
                <w:rFonts w:ascii="宋体"/>
                <w:color w:val="000000" w:themeColor="text1"/>
                <w14:textFill>
                  <w14:solidFill>
                    <w14:schemeClr w14:val="tx1"/>
                  </w14:solidFill>
                </w14:textFill>
              </w:rPr>
            </w:pPr>
          </w:p>
          <w:p w14:paraId="025A83A5">
            <w:pPr>
              <w:rPr>
                <w:rFonts w:ascii="宋体"/>
                <w:color w:val="000000" w:themeColor="text1"/>
                <w14:textFill>
                  <w14:solidFill>
                    <w14:schemeClr w14:val="tx1"/>
                  </w14:solidFill>
                </w14:textFill>
              </w:rPr>
            </w:pPr>
          </w:p>
          <w:p w14:paraId="6579096F">
            <w:pPr>
              <w:rPr>
                <w:rFonts w:ascii="宋体"/>
                <w:color w:val="000000" w:themeColor="text1"/>
                <w14:textFill>
                  <w14:solidFill>
                    <w14:schemeClr w14:val="tx1"/>
                  </w14:solidFill>
                </w14:textFill>
              </w:rPr>
            </w:pPr>
          </w:p>
          <w:p w14:paraId="6F6BE5E1">
            <w:pPr>
              <w:rPr>
                <w:rFonts w:ascii="宋体"/>
                <w:color w:val="000000" w:themeColor="text1"/>
                <w14:textFill>
                  <w14:solidFill>
                    <w14:schemeClr w14:val="tx1"/>
                  </w14:solidFill>
                </w14:textFill>
              </w:rPr>
            </w:pPr>
          </w:p>
          <w:p w14:paraId="195ED191">
            <w:pPr>
              <w:rPr>
                <w:rFonts w:ascii="宋体"/>
                <w:color w:val="000000" w:themeColor="text1"/>
                <w14:textFill>
                  <w14:solidFill>
                    <w14:schemeClr w14:val="tx1"/>
                  </w14:solidFill>
                </w14:textFill>
              </w:rPr>
            </w:pPr>
          </w:p>
          <w:p w14:paraId="659A5FA5">
            <w:pPr>
              <w:rPr>
                <w:rFonts w:ascii="宋体"/>
                <w:color w:val="000000" w:themeColor="text1"/>
                <w14:textFill>
                  <w14:solidFill>
                    <w14:schemeClr w14:val="tx1"/>
                  </w14:solidFill>
                </w14:textFill>
              </w:rPr>
            </w:pPr>
          </w:p>
          <w:p w14:paraId="6E543114">
            <w:pPr>
              <w:rPr>
                <w:rFonts w:ascii="宋体"/>
                <w:color w:val="000000" w:themeColor="text1"/>
                <w14:textFill>
                  <w14:solidFill>
                    <w14:schemeClr w14:val="tx1"/>
                  </w14:solidFill>
                </w14:textFill>
              </w:rPr>
            </w:pPr>
          </w:p>
          <w:p w14:paraId="2EEBBAF0">
            <w:pPr>
              <w:rPr>
                <w:rFonts w:ascii="宋体"/>
                <w:color w:val="000000" w:themeColor="text1"/>
                <w14:textFill>
                  <w14:solidFill>
                    <w14:schemeClr w14:val="tx1"/>
                  </w14:solidFill>
                </w14:textFill>
              </w:rPr>
            </w:pPr>
          </w:p>
          <w:p w14:paraId="246F479B">
            <w:pPr>
              <w:rPr>
                <w:rFonts w:ascii="宋体"/>
                <w:color w:val="000000" w:themeColor="text1"/>
                <w14:textFill>
                  <w14:solidFill>
                    <w14:schemeClr w14:val="tx1"/>
                  </w14:solidFill>
                </w14:textFill>
              </w:rPr>
            </w:pPr>
          </w:p>
          <w:p w14:paraId="5C1AC48C">
            <w:pPr>
              <w:rPr>
                <w:rFonts w:ascii="宋体"/>
                <w:color w:val="000000" w:themeColor="text1"/>
                <w14:textFill>
                  <w14:solidFill>
                    <w14:schemeClr w14:val="tx1"/>
                  </w14:solidFill>
                </w14:textFill>
              </w:rPr>
            </w:pPr>
          </w:p>
          <w:p w14:paraId="09F31464">
            <w:pPr>
              <w:rPr>
                <w:rFonts w:ascii="宋体"/>
                <w:color w:val="000000" w:themeColor="text1"/>
                <w14:textFill>
                  <w14:solidFill>
                    <w14:schemeClr w14:val="tx1"/>
                  </w14:solidFill>
                </w14:textFill>
              </w:rPr>
            </w:pPr>
          </w:p>
          <w:p w14:paraId="4D61F886">
            <w:pPr>
              <w:rPr>
                <w:rFonts w:ascii="宋体"/>
                <w:color w:val="000000" w:themeColor="text1"/>
                <w14:textFill>
                  <w14:solidFill>
                    <w14:schemeClr w14:val="tx1"/>
                  </w14:solidFill>
                </w14:textFill>
              </w:rPr>
            </w:pPr>
          </w:p>
          <w:p w14:paraId="42880F5C">
            <w:pPr>
              <w:rPr>
                <w:rFonts w:ascii="宋体"/>
                <w:color w:val="000000" w:themeColor="text1"/>
                <w14:textFill>
                  <w14:solidFill>
                    <w14:schemeClr w14:val="tx1"/>
                  </w14:solidFill>
                </w14:textFill>
              </w:rPr>
            </w:pPr>
          </w:p>
          <w:p w14:paraId="78C21EBA">
            <w:pPr>
              <w:rPr>
                <w:rFonts w:ascii="宋体"/>
                <w:color w:val="000000" w:themeColor="text1"/>
                <w14:textFill>
                  <w14:solidFill>
                    <w14:schemeClr w14:val="tx1"/>
                  </w14:solidFill>
                </w14:textFill>
              </w:rPr>
            </w:pPr>
          </w:p>
          <w:p w14:paraId="4A21AB66">
            <w:pPr>
              <w:rPr>
                <w:rFonts w:ascii="宋体"/>
                <w:color w:val="000000" w:themeColor="text1"/>
                <w14:textFill>
                  <w14:solidFill>
                    <w14:schemeClr w14:val="tx1"/>
                  </w14:solidFill>
                </w14:textFill>
              </w:rPr>
            </w:pPr>
          </w:p>
          <w:p w14:paraId="08B93C34">
            <w:pPr>
              <w:rPr>
                <w:rFonts w:ascii="宋体"/>
                <w:color w:val="000000" w:themeColor="text1"/>
                <w14:textFill>
                  <w14:solidFill>
                    <w14:schemeClr w14:val="tx1"/>
                  </w14:solidFill>
                </w14:textFill>
              </w:rPr>
            </w:pPr>
          </w:p>
          <w:p w14:paraId="454749B1">
            <w:pPr>
              <w:rPr>
                <w:rFonts w:ascii="宋体"/>
                <w:color w:val="000000" w:themeColor="text1"/>
                <w14:textFill>
                  <w14:solidFill>
                    <w14:schemeClr w14:val="tx1"/>
                  </w14:solidFill>
                </w14:textFill>
              </w:rPr>
            </w:pPr>
          </w:p>
          <w:p w14:paraId="5AE2EAFC">
            <w:pPr>
              <w:rPr>
                <w:rFonts w:ascii="宋体"/>
                <w:color w:val="000000" w:themeColor="text1"/>
                <w14:textFill>
                  <w14:solidFill>
                    <w14:schemeClr w14:val="tx1"/>
                  </w14:solidFill>
                </w14:textFill>
              </w:rPr>
            </w:pPr>
          </w:p>
          <w:p w14:paraId="4E5D9DA9">
            <w:pPr>
              <w:rPr>
                <w:rFonts w:ascii="宋体"/>
                <w:color w:val="000000" w:themeColor="text1"/>
                <w14:textFill>
                  <w14:solidFill>
                    <w14:schemeClr w14:val="tx1"/>
                  </w14:solidFill>
                </w14:textFill>
              </w:rPr>
            </w:pPr>
          </w:p>
          <w:p w14:paraId="78764D9C">
            <w:pPr>
              <w:rPr>
                <w:rFonts w:ascii="宋体"/>
                <w:color w:val="000000" w:themeColor="text1"/>
                <w14:textFill>
                  <w14:solidFill>
                    <w14:schemeClr w14:val="tx1"/>
                  </w14:solidFill>
                </w14:textFill>
              </w:rPr>
            </w:pPr>
          </w:p>
          <w:p w14:paraId="6D8C451E">
            <w:pPr>
              <w:rPr>
                <w:rFonts w:ascii="宋体"/>
                <w:color w:val="000000" w:themeColor="text1"/>
                <w14:textFill>
                  <w14:solidFill>
                    <w14:schemeClr w14:val="tx1"/>
                  </w14:solidFill>
                </w14:textFill>
              </w:rPr>
            </w:pPr>
          </w:p>
          <w:p w14:paraId="39447C05">
            <w:pPr>
              <w:rPr>
                <w:rFonts w:ascii="宋体"/>
                <w:color w:val="000000" w:themeColor="text1"/>
                <w14:textFill>
                  <w14:solidFill>
                    <w14:schemeClr w14:val="tx1"/>
                  </w14:solidFill>
                </w14:textFill>
              </w:rPr>
            </w:pPr>
          </w:p>
          <w:p w14:paraId="1356A9DB">
            <w:pPr>
              <w:rPr>
                <w:rFonts w:ascii="宋体"/>
                <w:color w:val="000000" w:themeColor="text1"/>
                <w14:textFill>
                  <w14:solidFill>
                    <w14:schemeClr w14:val="tx1"/>
                  </w14:solidFill>
                </w14:textFill>
              </w:rPr>
            </w:pPr>
          </w:p>
          <w:p w14:paraId="7EBEE875">
            <w:pPr>
              <w:rPr>
                <w:rFonts w:ascii="宋体"/>
                <w:color w:val="000000" w:themeColor="text1"/>
                <w14:textFill>
                  <w14:solidFill>
                    <w14:schemeClr w14:val="tx1"/>
                  </w14:solidFill>
                </w14:textFill>
              </w:rPr>
            </w:pPr>
          </w:p>
          <w:p w14:paraId="7CE8CFA7">
            <w:pPr>
              <w:rPr>
                <w:rFonts w:ascii="宋体"/>
                <w:color w:val="000000" w:themeColor="text1"/>
                <w14:textFill>
                  <w14:solidFill>
                    <w14:schemeClr w14:val="tx1"/>
                  </w14:solidFill>
                </w14:textFill>
              </w:rPr>
            </w:pPr>
          </w:p>
          <w:p w14:paraId="0A734351">
            <w:pPr>
              <w:rPr>
                <w:rFonts w:ascii="宋体"/>
                <w:color w:val="000000" w:themeColor="text1"/>
                <w14:textFill>
                  <w14:solidFill>
                    <w14:schemeClr w14:val="tx1"/>
                  </w14:solidFill>
                </w14:textFill>
              </w:rPr>
            </w:pPr>
          </w:p>
          <w:p w14:paraId="02EA2178">
            <w:pPr>
              <w:rPr>
                <w:rFonts w:ascii="宋体"/>
                <w:color w:val="000000" w:themeColor="text1"/>
                <w14:textFill>
                  <w14:solidFill>
                    <w14:schemeClr w14:val="tx1"/>
                  </w14:solidFill>
                </w14:textFill>
              </w:rPr>
            </w:pPr>
          </w:p>
        </w:tc>
      </w:tr>
    </w:tbl>
    <w:p w14:paraId="44467866">
      <w:pPr>
        <w:adjustRightInd w:val="0"/>
        <w:snapToGrid w:val="0"/>
        <w:spacing w:line="360" w:lineRule="auto"/>
        <w:outlineLvl w:val="0"/>
        <w:rPr>
          <w:rFonts w:ascii="黑体" w:hAnsi="黑体" w:eastAsia="黑体"/>
          <w:snapToGrid w:val="0"/>
          <w:color w:val="000000" w:themeColor="text1"/>
          <w:sz w:val="32"/>
          <w:szCs w:val="32"/>
          <w:highlight w:val="yellow"/>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E85AE74">
      <w:pPr>
        <w:adjustRightInd w:val="0"/>
        <w:snapToGrid w:val="0"/>
        <w:spacing w:line="360" w:lineRule="auto"/>
        <w:outlineLvl w:val="0"/>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附表</w:t>
      </w:r>
    </w:p>
    <w:p w14:paraId="49828A55">
      <w:pPr>
        <w:jc w:val="center"/>
        <w:rPr>
          <w:b/>
          <w:bCs/>
          <w:snapToGrid w:val="0"/>
          <w:color w:val="000000" w:themeColor="text1"/>
          <w:szCs w:val="21"/>
          <w14:textFill>
            <w14:solidFill>
              <w14:schemeClr w14:val="tx1"/>
            </w14:solidFill>
          </w14:textFill>
        </w:rPr>
      </w:pPr>
      <w:r>
        <w:rPr>
          <w:b/>
          <w:bCs/>
          <w:snapToGrid w:val="0"/>
          <w:color w:val="000000" w:themeColor="text1"/>
          <w:szCs w:val="21"/>
          <w14:textFill>
            <w14:solidFill>
              <w14:schemeClr w14:val="tx1"/>
            </w14:solidFill>
          </w14:textFill>
        </w:rPr>
        <w:t>建设项目污染物排放量汇总表（单位：t/a）</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381"/>
        <w:gridCol w:w="1378"/>
        <w:gridCol w:w="1417"/>
        <w:gridCol w:w="1654"/>
        <w:gridCol w:w="1517"/>
        <w:gridCol w:w="1712"/>
        <w:gridCol w:w="1697"/>
        <w:gridCol w:w="1014"/>
      </w:tblGrid>
      <w:tr w14:paraId="0AE3C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tcBorders>
              <w:top w:val="single" w:color="auto" w:sz="8" w:space="0"/>
              <w:bottom w:val="single" w:color="auto" w:sz="4" w:space="0"/>
              <w:tl2br w:val="single" w:color="auto" w:sz="4" w:space="0"/>
            </w:tcBorders>
            <w:tcMar>
              <w:left w:w="28" w:type="dxa"/>
              <w:right w:w="28" w:type="dxa"/>
            </w:tcMar>
            <w:vAlign w:val="center"/>
          </w:tcPr>
          <w:p w14:paraId="3104EE0C">
            <w:pPr>
              <w:pStyle w:val="56"/>
              <w:adjustRightInd w:val="0"/>
              <w:snapToGrid w:val="0"/>
              <w:spacing w:before="0"/>
              <w:jc w:val="right"/>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项目</w:t>
            </w:r>
          </w:p>
          <w:p w14:paraId="59C3FEFA">
            <w:pPr>
              <w:pStyle w:val="56"/>
              <w:adjustRightInd w:val="0"/>
              <w:snapToGrid w:val="0"/>
              <w:spacing w:before="0"/>
              <w:jc w:val="left"/>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分类</w:t>
            </w:r>
          </w:p>
        </w:tc>
        <w:tc>
          <w:tcPr>
            <w:tcW w:w="1389" w:type="dxa"/>
            <w:tcBorders>
              <w:top w:val="single" w:color="auto" w:sz="8" w:space="0"/>
              <w:bottom w:val="single" w:color="auto" w:sz="4" w:space="0"/>
            </w:tcBorders>
            <w:tcMar>
              <w:left w:w="28" w:type="dxa"/>
              <w:right w:w="28" w:type="dxa"/>
            </w:tcMar>
            <w:vAlign w:val="center"/>
          </w:tcPr>
          <w:p w14:paraId="3591692B">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污染物名称</w:t>
            </w:r>
          </w:p>
        </w:tc>
        <w:tc>
          <w:tcPr>
            <w:tcW w:w="1386" w:type="dxa"/>
            <w:tcBorders>
              <w:top w:val="single" w:color="auto" w:sz="8" w:space="0"/>
              <w:bottom w:val="single" w:color="auto" w:sz="4" w:space="0"/>
            </w:tcBorders>
            <w:tcMar>
              <w:left w:w="28" w:type="dxa"/>
              <w:right w:w="28" w:type="dxa"/>
            </w:tcMar>
            <w:vAlign w:val="center"/>
          </w:tcPr>
          <w:p w14:paraId="7349ABA0">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现有工程</w:t>
            </w:r>
          </w:p>
          <w:p w14:paraId="7090A74F">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排放量（固体废物产生量）</w:t>
            </w:r>
            <w:r>
              <w:rPr>
                <w:snapToGrid w:val="0"/>
                <w:color w:val="000000" w:themeColor="text1"/>
                <w:spacing w:val="-6"/>
                <w:kern w:val="21"/>
                <w:sz w:val="18"/>
                <w:szCs w:val="18"/>
                <w14:textFill>
                  <w14:solidFill>
                    <w14:schemeClr w14:val="tx1"/>
                  </w14:solidFill>
                </w14:textFill>
              </w:rPr>
              <w:fldChar w:fldCharType="begin"/>
            </w:r>
            <w:r>
              <w:rPr>
                <w:snapToGrid w:val="0"/>
                <w:color w:val="000000" w:themeColor="text1"/>
                <w:spacing w:val="-6"/>
                <w:kern w:val="21"/>
                <w:sz w:val="18"/>
                <w:szCs w:val="18"/>
                <w14:textFill>
                  <w14:solidFill>
                    <w14:schemeClr w14:val="tx1"/>
                  </w14:solidFill>
                </w14:textFill>
              </w:rPr>
              <w:instrText xml:space="preserve"> = 1 \* GB3 \* MERGEFORMAT </w:instrText>
            </w:r>
            <w:r>
              <w:rPr>
                <w:snapToGrid w:val="0"/>
                <w:color w:val="000000" w:themeColor="text1"/>
                <w:spacing w:val="-6"/>
                <w:kern w:val="2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①</w:t>
            </w:r>
            <w:r>
              <w:rPr>
                <w:snapToGrid w:val="0"/>
                <w:color w:val="000000" w:themeColor="text1"/>
                <w:spacing w:val="-6"/>
                <w:kern w:val="21"/>
                <w:sz w:val="18"/>
                <w:szCs w:val="18"/>
                <w14:textFill>
                  <w14:solidFill>
                    <w14:schemeClr w14:val="tx1"/>
                  </w14:solidFill>
                </w14:textFill>
              </w:rPr>
              <w:fldChar w:fldCharType="end"/>
            </w:r>
          </w:p>
        </w:tc>
        <w:tc>
          <w:tcPr>
            <w:tcW w:w="1425" w:type="dxa"/>
            <w:tcBorders>
              <w:top w:val="single" w:color="auto" w:sz="8" w:space="0"/>
              <w:bottom w:val="single" w:color="auto" w:sz="4" w:space="0"/>
            </w:tcBorders>
            <w:tcMar>
              <w:left w:w="28" w:type="dxa"/>
              <w:right w:w="28" w:type="dxa"/>
            </w:tcMar>
            <w:vAlign w:val="center"/>
          </w:tcPr>
          <w:p w14:paraId="6266A6A9">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现有工程</w:t>
            </w:r>
          </w:p>
          <w:p w14:paraId="2F13BA33">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许可排放量</w:t>
            </w:r>
          </w:p>
          <w:p w14:paraId="6F2B3C01">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fldChar w:fldCharType="begin"/>
            </w:r>
            <w:r>
              <w:rPr>
                <w:snapToGrid w:val="0"/>
                <w:color w:val="000000" w:themeColor="text1"/>
                <w:spacing w:val="-6"/>
                <w:kern w:val="21"/>
                <w:sz w:val="18"/>
                <w:szCs w:val="18"/>
                <w14:textFill>
                  <w14:solidFill>
                    <w14:schemeClr w14:val="tx1"/>
                  </w14:solidFill>
                </w14:textFill>
              </w:rPr>
              <w:instrText xml:space="preserve"> = 2 \* GB3 \* MERGEFORMAT </w:instrText>
            </w:r>
            <w:r>
              <w:rPr>
                <w:snapToGrid w:val="0"/>
                <w:color w:val="000000" w:themeColor="text1"/>
                <w:spacing w:val="-6"/>
                <w:kern w:val="21"/>
                <w:sz w:val="18"/>
                <w:szCs w:val="18"/>
                <w14:textFill>
                  <w14:solidFill>
                    <w14:schemeClr w14:val="tx1"/>
                  </w14:solidFill>
                </w14:textFill>
              </w:rPr>
              <w:fldChar w:fldCharType="separate"/>
            </w:r>
            <w:r>
              <w:rPr>
                <w:rFonts w:hint="eastAsia" w:ascii="宋体" w:hAnsi="宋体" w:cs="宋体"/>
                <w:snapToGrid w:val="0"/>
                <w:color w:val="000000" w:themeColor="text1"/>
                <w:spacing w:val="-6"/>
                <w:kern w:val="21"/>
                <w:sz w:val="18"/>
                <w:szCs w:val="18"/>
                <w14:textFill>
                  <w14:solidFill>
                    <w14:schemeClr w14:val="tx1"/>
                  </w14:solidFill>
                </w14:textFill>
              </w:rPr>
              <w:t>②</w:t>
            </w:r>
            <w:r>
              <w:rPr>
                <w:snapToGrid w:val="0"/>
                <w:color w:val="000000" w:themeColor="text1"/>
                <w:spacing w:val="-6"/>
                <w:kern w:val="21"/>
                <w:sz w:val="18"/>
                <w:szCs w:val="18"/>
                <w14:textFill>
                  <w14:solidFill>
                    <w14:schemeClr w14:val="tx1"/>
                  </w14:solidFill>
                </w14:textFill>
              </w:rPr>
              <w:fldChar w:fldCharType="end"/>
            </w:r>
          </w:p>
        </w:tc>
        <w:tc>
          <w:tcPr>
            <w:tcW w:w="1663" w:type="dxa"/>
            <w:tcBorders>
              <w:top w:val="single" w:color="auto" w:sz="8" w:space="0"/>
              <w:bottom w:val="single" w:color="auto" w:sz="4" w:space="0"/>
            </w:tcBorders>
            <w:tcMar>
              <w:left w:w="28" w:type="dxa"/>
              <w:right w:w="28" w:type="dxa"/>
            </w:tcMar>
            <w:vAlign w:val="center"/>
          </w:tcPr>
          <w:p w14:paraId="6FFFD7C3">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在建工程</w:t>
            </w:r>
          </w:p>
          <w:p w14:paraId="24C22987">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排放量（固体废物产生量）</w:t>
            </w:r>
            <w:r>
              <w:rPr>
                <w:snapToGrid w:val="0"/>
                <w:color w:val="000000" w:themeColor="text1"/>
                <w:spacing w:val="-6"/>
                <w:kern w:val="21"/>
                <w:sz w:val="18"/>
                <w:szCs w:val="18"/>
                <w14:textFill>
                  <w14:solidFill>
                    <w14:schemeClr w14:val="tx1"/>
                  </w14:solidFill>
                </w14:textFill>
              </w:rPr>
              <w:fldChar w:fldCharType="begin"/>
            </w:r>
            <w:r>
              <w:rPr>
                <w:snapToGrid w:val="0"/>
                <w:color w:val="000000" w:themeColor="text1"/>
                <w:spacing w:val="-6"/>
                <w:kern w:val="21"/>
                <w:sz w:val="18"/>
                <w:szCs w:val="18"/>
                <w14:textFill>
                  <w14:solidFill>
                    <w14:schemeClr w14:val="tx1"/>
                  </w14:solidFill>
                </w14:textFill>
              </w:rPr>
              <w:instrText xml:space="preserve"> = 3 \* GB3 \* MERGEFORMAT </w:instrText>
            </w:r>
            <w:r>
              <w:rPr>
                <w:snapToGrid w:val="0"/>
                <w:color w:val="000000" w:themeColor="text1"/>
                <w:spacing w:val="-6"/>
                <w:kern w:val="2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③</w:t>
            </w:r>
            <w:r>
              <w:rPr>
                <w:snapToGrid w:val="0"/>
                <w:color w:val="000000" w:themeColor="text1"/>
                <w:spacing w:val="-6"/>
                <w:kern w:val="21"/>
                <w:sz w:val="18"/>
                <w:szCs w:val="18"/>
                <w14:textFill>
                  <w14:solidFill>
                    <w14:schemeClr w14:val="tx1"/>
                  </w14:solidFill>
                </w14:textFill>
              </w:rPr>
              <w:fldChar w:fldCharType="end"/>
            </w:r>
          </w:p>
        </w:tc>
        <w:tc>
          <w:tcPr>
            <w:tcW w:w="1526" w:type="dxa"/>
            <w:tcBorders>
              <w:top w:val="single" w:color="auto" w:sz="8" w:space="0"/>
              <w:bottom w:val="single" w:color="auto" w:sz="4" w:space="0"/>
            </w:tcBorders>
            <w:tcMar>
              <w:left w:w="28" w:type="dxa"/>
              <w:right w:w="28" w:type="dxa"/>
            </w:tcMar>
            <w:vAlign w:val="center"/>
          </w:tcPr>
          <w:p w14:paraId="42EF3B44">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本项目</w:t>
            </w:r>
          </w:p>
          <w:p w14:paraId="0DAD8691">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排放量（固体废物产生量）</w:t>
            </w:r>
            <w:r>
              <w:rPr>
                <w:snapToGrid w:val="0"/>
                <w:color w:val="000000" w:themeColor="text1"/>
                <w:spacing w:val="-6"/>
                <w:kern w:val="21"/>
                <w:sz w:val="18"/>
                <w:szCs w:val="18"/>
                <w14:textFill>
                  <w14:solidFill>
                    <w14:schemeClr w14:val="tx1"/>
                  </w14:solidFill>
                </w14:textFill>
              </w:rPr>
              <w:fldChar w:fldCharType="begin"/>
            </w:r>
            <w:r>
              <w:rPr>
                <w:snapToGrid w:val="0"/>
                <w:color w:val="000000" w:themeColor="text1"/>
                <w:spacing w:val="-6"/>
                <w:kern w:val="21"/>
                <w:sz w:val="18"/>
                <w:szCs w:val="18"/>
                <w14:textFill>
                  <w14:solidFill>
                    <w14:schemeClr w14:val="tx1"/>
                  </w14:solidFill>
                </w14:textFill>
              </w:rPr>
              <w:instrText xml:space="preserve"> = 4 \* GB3 \* MERGEFORMAT </w:instrText>
            </w:r>
            <w:r>
              <w:rPr>
                <w:snapToGrid w:val="0"/>
                <w:color w:val="000000" w:themeColor="text1"/>
                <w:spacing w:val="-6"/>
                <w:kern w:val="2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④</w:t>
            </w:r>
            <w:r>
              <w:rPr>
                <w:snapToGrid w:val="0"/>
                <w:color w:val="000000" w:themeColor="text1"/>
                <w:spacing w:val="-6"/>
                <w:kern w:val="21"/>
                <w:sz w:val="18"/>
                <w:szCs w:val="18"/>
                <w14:textFill>
                  <w14:solidFill>
                    <w14:schemeClr w14:val="tx1"/>
                  </w14:solidFill>
                </w14:textFill>
              </w:rPr>
              <w:fldChar w:fldCharType="end"/>
            </w:r>
          </w:p>
        </w:tc>
        <w:tc>
          <w:tcPr>
            <w:tcW w:w="1722" w:type="dxa"/>
            <w:tcBorders>
              <w:top w:val="single" w:color="auto" w:sz="8" w:space="0"/>
              <w:bottom w:val="single" w:color="auto" w:sz="4" w:space="0"/>
            </w:tcBorders>
            <w:tcMar>
              <w:left w:w="28" w:type="dxa"/>
              <w:right w:w="28" w:type="dxa"/>
            </w:tcMar>
            <w:vAlign w:val="center"/>
          </w:tcPr>
          <w:p w14:paraId="05B429D0">
            <w:pPr>
              <w:pStyle w:val="56"/>
              <w:adjustRightInd w:val="0"/>
              <w:snapToGrid w:val="0"/>
              <w:spacing w:before="0"/>
              <w:rPr>
                <w:snapToGrid w:val="0"/>
                <w:color w:val="000000" w:themeColor="text1"/>
                <w:spacing w:val="-16"/>
                <w:kern w:val="21"/>
                <w:sz w:val="18"/>
                <w:szCs w:val="18"/>
                <w14:textFill>
                  <w14:solidFill>
                    <w14:schemeClr w14:val="tx1"/>
                  </w14:solidFill>
                </w14:textFill>
              </w:rPr>
            </w:pPr>
            <w:r>
              <w:rPr>
                <w:snapToGrid w:val="0"/>
                <w:color w:val="000000" w:themeColor="text1"/>
                <w:spacing w:val="-16"/>
                <w:kern w:val="21"/>
                <w:sz w:val="18"/>
                <w:szCs w:val="18"/>
                <w14:textFill>
                  <w14:solidFill>
                    <w14:schemeClr w14:val="tx1"/>
                  </w14:solidFill>
                </w14:textFill>
              </w:rPr>
              <w:t>以新带老削减量</w:t>
            </w:r>
          </w:p>
          <w:p w14:paraId="6EF8C138">
            <w:pPr>
              <w:pStyle w:val="56"/>
              <w:adjustRightInd w:val="0"/>
              <w:snapToGrid w:val="0"/>
              <w:spacing w:before="0"/>
              <w:rPr>
                <w:snapToGrid w:val="0"/>
                <w:color w:val="000000" w:themeColor="text1"/>
                <w:spacing w:val="-16"/>
                <w:kern w:val="21"/>
                <w:sz w:val="18"/>
                <w:szCs w:val="18"/>
                <w14:textFill>
                  <w14:solidFill>
                    <w14:schemeClr w14:val="tx1"/>
                  </w14:solidFill>
                </w14:textFill>
              </w:rPr>
            </w:pPr>
            <w:r>
              <w:rPr>
                <w:snapToGrid w:val="0"/>
                <w:color w:val="000000" w:themeColor="text1"/>
                <w:spacing w:val="-16"/>
                <w:kern w:val="21"/>
                <w:sz w:val="18"/>
                <w:szCs w:val="18"/>
                <w14:textFill>
                  <w14:solidFill>
                    <w14:schemeClr w14:val="tx1"/>
                  </w14:solidFill>
                </w14:textFill>
              </w:rPr>
              <w:t>（新建项目不填）</w:t>
            </w:r>
            <w:r>
              <w:rPr>
                <w:snapToGrid w:val="0"/>
                <w:color w:val="000000" w:themeColor="text1"/>
                <w:spacing w:val="-16"/>
                <w:kern w:val="21"/>
                <w:sz w:val="18"/>
                <w:szCs w:val="18"/>
                <w14:textFill>
                  <w14:solidFill>
                    <w14:schemeClr w14:val="tx1"/>
                  </w14:solidFill>
                </w14:textFill>
              </w:rPr>
              <w:fldChar w:fldCharType="begin"/>
            </w:r>
            <w:r>
              <w:rPr>
                <w:snapToGrid w:val="0"/>
                <w:color w:val="000000" w:themeColor="text1"/>
                <w:spacing w:val="-16"/>
                <w:kern w:val="21"/>
                <w:sz w:val="18"/>
                <w:szCs w:val="18"/>
                <w14:textFill>
                  <w14:solidFill>
                    <w14:schemeClr w14:val="tx1"/>
                  </w14:solidFill>
                </w14:textFill>
              </w:rPr>
              <w:instrText xml:space="preserve"> = 5 \* GB3 \* MERGEFORMAT </w:instrText>
            </w:r>
            <w:r>
              <w:rPr>
                <w:snapToGrid w:val="0"/>
                <w:color w:val="000000" w:themeColor="text1"/>
                <w:spacing w:val="-16"/>
                <w:kern w:val="2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⑤</w:t>
            </w:r>
            <w:r>
              <w:rPr>
                <w:snapToGrid w:val="0"/>
                <w:color w:val="000000" w:themeColor="text1"/>
                <w:spacing w:val="-16"/>
                <w:kern w:val="21"/>
                <w:sz w:val="18"/>
                <w:szCs w:val="18"/>
                <w14:textFill>
                  <w14:solidFill>
                    <w14:schemeClr w14:val="tx1"/>
                  </w14:solidFill>
                </w14:textFill>
              </w:rPr>
              <w:fldChar w:fldCharType="end"/>
            </w:r>
          </w:p>
        </w:tc>
        <w:tc>
          <w:tcPr>
            <w:tcW w:w="1707" w:type="dxa"/>
            <w:tcBorders>
              <w:top w:val="single" w:color="auto" w:sz="8" w:space="0"/>
              <w:bottom w:val="single" w:color="auto" w:sz="4" w:space="0"/>
            </w:tcBorders>
            <w:tcMar>
              <w:left w:w="28" w:type="dxa"/>
              <w:right w:w="28" w:type="dxa"/>
            </w:tcMar>
            <w:vAlign w:val="center"/>
          </w:tcPr>
          <w:p w14:paraId="2CBD98D6">
            <w:pPr>
              <w:pStyle w:val="56"/>
              <w:adjustRightInd w:val="0"/>
              <w:snapToGrid w:val="0"/>
              <w:spacing w:before="0"/>
              <w:rPr>
                <w:snapToGrid w:val="0"/>
                <w:color w:val="000000" w:themeColor="text1"/>
                <w:spacing w:val="-16"/>
                <w:kern w:val="21"/>
                <w:sz w:val="18"/>
                <w:szCs w:val="18"/>
                <w14:textFill>
                  <w14:solidFill>
                    <w14:schemeClr w14:val="tx1"/>
                  </w14:solidFill>
                </w14:textFill>
              </w:rPr>
            </w:pPr>
            <w:r>
              <w:rPr>
                <w:snapToGrid w:val="0"/>
                <w:color w:val="000000" w:themeColor="text1"/>
                <w:spacing w:val="-16"/>
                <w:kern w:val="21"/>
                <w:sz w:val="18"/>
                <w:szCs w:val="18"/>
                <w14:textFill>
                  <w14:solidFill>
                    <w14:schemeClr w14:val="tx1"/>
                  </w14:solidFill>
                </w14:textFill>
              </w:rPr>
              <w:t>本项目建成后</w:t>
            </w:r>
          </w:p>
          <w:p w14:paraId="4362CB99">
            <w:pPr>
              <w:pStyle w:val="56"/>
              <w:adjustRightInd w:val="0"/>
              <w:snapToGrid w:val="0"/>
              <w:spacing w:before="0"/>
              <w:rPr>
                <w:snapToGrid w:val="0"/>
                <w:color w:val="000000" w:themeColor="text1"/>
                <w:spacing w:val="-16"/>
                <w:kern w:val="21"/>
                <w:sz w:val="18"/>
                <w:szCs w:val="18"/>
                <w14:textFill>
                  <w14:solidFill>
                    <w14:schemeClr w14:val="tx1"/>
                  </w14:solidFill>
                </w14:textFill>
              </w:rPr>
            </w:pPr>
            <w:r>
              <w:rPr>
                <w:snapToGrid w:val="0"/>
                <w:color w:val="000000" w:themeColor="text1"/>
                <w:spacing w:val="-16"/>
                <w:kern w:val="21"/>
                <w:sz w:val="18"/>
                <w:szCs w:val="18"/>
                <w14:textFill>
                  <w14:solidFill>
                    <w14:schemeClr w14:val="tx1"/>
                  </w14:solidFill>
                </w14:textFill>
              </w:rPr>
              <w:t>全厂排放量（固体废物产生量）</w:t>
            </w:r>
            <w:r>
              <w:rPr>
                <w:snapToGrid w:val="0"/>
                <w:color w:val="000000" w:themeColor="text1"/>
                <w:spacing w:val="-16"/>
                <w:kern w:val="21"/>
                <w:sz w:val="18"/>
                <w:szCs w:val="18"/>
                <w14:textFill>
                  <w14:solidFill>
                    <w14:schemeClr w14:val="tx1"/>
                  </w14:solidFill>
                </w14:textFill>
              </w:rPr>
              <w:fldChar w:fldCharType="begin"/>
            </w:r>
            <w:r>
              <w:rPr>
                <w:snapToGrid w:val="0"/>
                <w:color w:val="000000" w:themeColor="text1"/>
                <w:spacing w:val="-16"/>
                <w:kern w:val="21"/>
                <w:sz w:val="18"/>
                <w:szCs w:val="18"/>
                <w14:textFill>
                  <w14:solidFill>
                    <w14:schemeClr w14:val="tx1"/>
                  </w14:solidFill>
                </w14:textFill>
              </w:rPr>
              <w:instrText xml:space="preserve"> = 6 \* GB3 \* MERGEFORMAT </w:instrText>
            </w:r>
            <w:r>
              <w:rPr>
                <w:snapToGrid w:val="0"/>
                <w:color w:val="000000" w:themeColor="text1"/>
                <w:spacing w:val="-16"/>
                <w:kern w:val="2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⑥</w:t>
            </w:r>
            <w:r>
              <w:rPr>
                <w:snapToGrid w:val="0"/>
                <w:color w:val="000000" w:themeColor="text1"/>
                <w:spacing w:val="-16"/>
                <w:kern w:val="21"/>
                <w:sz w:val="18"/>
                <w:szCs w:val="18"/>
                <w14:textFill>
                  <w14:solidFill>
                    <w14:schemeClr w14:val="tx1"/>
                  </w14:solidFill>
                </w14:textFill>
              </w:rPr>
              <w:fldChar w:fldCharType="end"/>
            </w:r>
          </w:p>
        </w:tc>
        <w:tc>
          <w:tcPr>
            <w:tcW w:w="1020" w:type="dxa"/>
            <w:tcBorders>
              <w:top w:val="single" w:color="auto" w:sz="8" w:space="0"/>
              <w:bottom w:val="single" w:color="auto" w:sz="4" w:space="0"/>
            </w:tcBorders>
            <w:tcMar>
              <w:left w:w="28" w:type="dxa"/>
              <w:right w:w="28" w:type="dxa"/>
            </w:tcMar>
            <w:vAlign w:val="center"/>
          </w:tcPr>
          <w:p w14:paraId="59927989">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t>变化量</w:t>
            </w:r>
          </w:p>
          <w:p w14:paraId="79114D8E">
            <w:pPr>
              <w:pStyle w:val="56"/>
              <w:adjustRightInd w:val="0"/>
              <w:snapToGrid w:val="0"/>
              <w:spacing w:before="0"/>
              <w:rPr>
                <w:snapToGrid w:val="0"/>
                <w:color w:val="000000" w:themeColor="text1"/>
                <w:spacing w:val="-6"/>
                <w:kern w:val="21"/>
                <w:sz w:val="18"/>
                <w:szCs w:val="18"/>
                <w14:textFill>
                  <w14:solidFill>
                    <w14:schemeClr w14:val="tx1"/>
                  </w14:solidFill>
                </w14:textFill>
              </w:rPr>
            </w:pPr>
            <w:r>
              <w:rPr>
                <w:snapToGrid w:val="0"/>
                <w:color w:val="000000" w:themeColor="text1"/>
                <w:spacing w:val="-6"/>
                <w:kern w:val="21"/>
                <w:sz w:val="18"/>
                <w:szCs w:val="18"/>
                <w14:textFill>
                  <w14:solidFill>
                    <w14:schemeClr w14:val="tx1"/>
                  </w14:solidFill>
                </w14:textFill>
              </w:rPr>
              <w:fldChar w:fldCharType="begin"/>
            </w:r>
            <w:r>
              <w:rPr>
                <w:snapToGrid w:val="0"/>
                <w:color w:val="000000" w:themeColor="text1"/>
                <w:spacing w:val="-6"/>
                <w:kern w:val="21"/>
                <w:sz w:val="18"/>
                <w:szCs w:val="18"/>
                <w14:textFill>
                  <w14:solidFill>
                    <w14:schemeClr w14:val="tx1"/>
                  </w14:solidFill>
                </w14:textFill>
              </w:rPr>
              <w:instrText xml:space="preserve"> = 7 \* GB3 \* MERGEFORMAT </w:instrText>
            </w:r>
            <w:r>
              <w:rPr>
                <w:snapToGrid w:val="0"/>
                <w:color w:val="000000" w:themeColor="text1"/>
                <w:spacing w:val="-6"/>
                <w:kern w:val="21"/>
                <w:sz w:val="18"/>
                <w:szCs w:val="18"/>
                <w14:textFill>
                  <w14:solidFill>
                    <w14:schemeClr w14:val="tx1"/>
                  </w14:solidFill>
                </w14:textFill>
              </w:rPr>
              <w:fldChar w:fldCharType="separate"/>
            </w:r>
            <w:r>
              <w:rPr>
                <w:rFonts w:hint="eastAsia" w:ascii="宋体" w:hAnsi="宋体" w:cs="宋体"/>
                <w:color w:val="000000" w:themeColor="text1"/>
                <w:sz w:val="18"/>
                <w:szCs w:val="18"/>
                <w14:textFill>
                  <w14:solidFill>
                    <w14:schemeClr w14:val="tx1"/>
                  </w14:solidFill>
                </w14:textFill>
              </w:rPr>
              <w:t>⑦</w:t>
            </w:r>
            <w:r>
              <w:rPr>
                <w:snapToGrid w:val="0"/>
                <w:color w:val="000000" w:themeColor="text1"/>
                <w:spacing w:val="-6"/>
                <w:kern w:val="21"/>
                <w:sz w:val="18"/>
                <w:szCs w:val="18"/>
                <w14:textFill>
                  <w14:solidFill>
                    <w14:schemeClr w14:val="tx1"/>
                  </w14:solidFill>
                </w14:textFill>
              </w:rPr>
              <w:fldChar w:fldCharType="end"/>
            </w:r>
          </w:p>
        </w:tc>
      </w:tr>
      <w:tr w14:paraId="6DA42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restart"/>
            <w:vAlign w:val="center"/>
          </w:tcPr>
          <w:p w14:paraId="682D7258">
            <w:pPr>
              <w:pStyle w:val="56"/>
              <w:adjustRightInd w:val="0"/>
              <w:snapToGrid w:val="0"/>
              <w:spacing w:before="0"/>
              <w:rPr>
                <w:rFonts w:hint="eastAsia" w:ascii="Times New Roman" w:hAnsi="Times New Roman" w:eastAsia="宋体" w:cs="Times New Roman"/>
                <w:b w:val="0"/>
                <w:bCs/>
                <w:snapToGrid w:val="0"/>
                <w:color w:val="000000" w:themeColor="text1"/>
                <w:kern w:val="21"/>
                <w:sz w:val="21"/>
                <w:szCs w:val="21"/>
                <w14:textFill>
                  <w14:solidFill>
                    <w14:schemeClr w14:val="tx1"/>
                  </w14:solidFill>
                </w14:textFill>
              </w:rPr>
            </w:pPr>
            <w:r>
              <w:rPr>
                <w:rFonts w:hint="eastAsia" w:ascii="Times New Roman" w:hAnsi="Times New Roman" w:eastAsia="宋体" w:cs="Times New Roman"/>
                <w:b w:val="0"/>
                <w:bCs/>
                <w:snapToGrid w:val="0"/>
                <w:color w:val="000000" w:themeColor="text1"/>
                <w:kern w:val="21"/>
                <w:sz w:val="21"/>
                <w:szCs w:val="21"/>
                <w:lang w:val="en-US" w:eastAsia="zh-CN"/>
                <w14:textFill>
                  <w14:solidFill>
                    <w14:schemeClr w14:val="tx1"/>
                  </w14:solidFill>
                </w14:textFill>
              </w:rPr>
              <w:t>废气</w:t>
            </w:r>
          </w:p>
        </w:tc>
        <w:tc>
          <w:tcPr>
            <w:tcW w:w="1389" w:type="dxa"/>
            <w:tcBorders>
              <w:top w:val="single" w:color="auto" w:sz="4" w:space="0"/>
              <w:bottom w:val="single" w:color="auto" w:sz="4" w:space="0"/>
            </w:tcBorders>
            <w:shd w:val="clear" w:color="auto" w:fill="auto"/>
            <w:vAlign w:val="center"/>
          </w:tcPr>
          <w:p w14:paraId="2C10FA42">
            <w:pPr>
              <w:pStyle w:val="56"/>
              <w:adjustRightInd w:val="0"/>
              <w:snapToGrid w:val="0"/>
              <w:spacing w:before="0"/>
              <w:rPr>
                <w:rFonts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b w:val="0"/>
                <w:bCs/>
                <w:color w:val="000000" w:themeColor="text1"/>
                <w:sz w:val="21"/>
                <w:szCs w:val="21"/>
                <w14:textFill>
                  <w14:solidFill>
                    <w14:schemeClr w14:val="tx1"/>
                  </w14:solidFill>
                </w14:textFill>
              </w:rPr>
              <w:t>颗粒物</w:t>
            </w:r>
          </w:p>
        </w:tc>
        <w:tc>
          <w:tcPr>
            <w:tcW w:w="1386" w:type="dxa"/>
            <w:tcBorders>
              <w:top w:val="single" w:color="auto" w:sz="4" w:space="0"/>
              <w:bottom w:val="single" w:color="auto" w:sz="4" w:space="0"/>
            </w:tcBorders>
            <w:shd w:val="clear" w:color="auto" w:fill="auto"/>
            <w:vAlign w:val="center"/>
          </w:tcPr>
          <w:p w14:paraId="272A442A">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1425" w:type="dxa"/>
            <w:tcBorders>
              <w:top w:val="single" w:color="auto" w:sz="4" w:space="0"/>
              <w:bottom w:val="single" w:color="auto" w:sz="4" w:space="0"/>
            </w:tcBorders>
            <w:shd w:val="clear" w:color="auto" w:fill="auto"/>
            <w:vAlign w:val="center"/>
          </w:tcPr>
          <w:p w14:paraId="1E4DD6D5">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663" w:type="dxa"/>
            <w:tcBorders>
              <w:top w:val="single" w:color="auto" w:sz="4" w:space="0"/>
              <w:bottom w:val="single" w:color="auto" w:sz="4" w:space="0"/>
            </w:tcBorders>
            <w:vAlign w:val="center"/>
          </w:tcPr>
          <w:p w14:paraId="66755E2F">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145DDC36">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0.0025</w:t>
            </w:r>
          </w:p>
        </w:tc>
        <w:tc>
          <w:tcPr>
            <w:tcW w:w="1722" w:type="dxa"/>
            <w:tcBorders>
              <w:top w:val="single" w:color="auto" w:sz="4" w:space="0"/>
              <w:bottom w:val="single" w:color="auto" w:sz="4" w:space="0"/>
            </w:tcBorders>
            <w:shd w:val="clear" w:color="auto" w:fill="auto"/>
            <w:vAlign w:val="center"/>
          </w:tcPr>
          <w:p w14:paraId="5BB567FB">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707" w:type="dxa"/>
            <w:tcBorders>
              <w:top w:val="single" w:color="auto" w:sz="4" w:space="0"/>
              <w:bottom w:val="single" w:color="auto" w:sz="4" w:space="0"/>
            </w:tcBorders>
            <w:shd w:val="clear" w:color="auto" w:fill="auto"/>
            <w:vAlign w:val="center"/>
          </w:tcPr>
          <w:p w14:paraId="2D8AEC26">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0.0025</w:t>
            </w:r>
          </w:p>
        </w:tc>
        <w:tc>
          <w:tcPr>
            <w:tcW w:w="1020" w:type="dxa"/>
            <w:tcBorders>
              <w:top w:val="single" w:color="auto" w:sz="4" w:space="0"/>
              <w:bottom w:val="single" w:color="auto" w:sz="4" w:space="0"/>
            </w:tcBorders>
            <w:shd w:val="clear" w:color="auto" w:fill="auto"/>
            <w:vAlign w:val="center"/>
          </w:tcPr>
          <w:p w14:paraId="64BA78DF">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+0.0025</w:t>
            </w:r>
          </w:p>
        </w:tc>
      </w:tr>
      <w:tr w14:paraId="06A07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tcBorders>
              <w:bottom w:val="single" w:color="auto" w:sz="4" w:space="0"/>
            </w:tcBorders>
            <w:vAlign w:val="center"/>
          </w:tcPr>
          <w:p w14:paraId="7926BD0A">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shd w:val="clear" w:color="auto" w:fill="auto"/>
            <w:vAlign w:val="center"/>
          </w:tcPr>
          <w:p w14:paraId="30DA4093">
            <w:pPr>
              <w:pStyle w:val="56"/>
              <w:adjustRightInd w:val="0"/>
              <w:snapToGrid w:val="0"/>
              <w:spacing w:before="0"/>
              <w:rPr>
                <w:rFonts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b w:val="0"/>
                <w:bCs/>
                <w:color w:val="000000" w:themeColor="text1"/>
                <w:sz w:val="21"/>
                <w:szCs w:val="21"/>
                <w14:textFill>
                  <w14:solidFill>
                    <w14:schemeClr w14:val="tx1"/>
                  </w14:solidFill>
                </w14:textFill>
              </w:rPr>
              <w:t>非甲烷总烃</w:t>
            </w:r>
          </w:p>
        </w:tc>
        <w:tc>
          <w:tcPr>
            <w:tcW w:w="1386" w:type="dxa"/>
            <w:tcBorders>
              <w:top w:val="single" w:color="auto" w:sz="4" w:space="0"/>
              <w:bottom w:val="single" w:color="auto" w:sz="4" w:space="0"/>
            </w:tcBorders>
            <w:shd w:val="clear" w:color="auto" w:fill="auto"/>
            <w:vAlign w:val="center"/>
          </w:tcPr>
          <w:p w14:paraId="05AA0ED4">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0.0022</w:t>
            </w:r>
          </w:p>
        </w:tc>
        <w:tc>
          <w:tcPr>
            <w:tcW w:w="1425" w:type="dxa"/>
            <w:tcBorders>
              <w:top w:val="single" w:color="auto" w:sz="4" w:space="0"/>
              <w:bottom w:val="single" w:color="auto" w:sz="4" w:space="0"/>
            </w:tcBorders>
            <w:shd w:val="clear" w:color="auto" w:fill="auto"/>
            <w:vAlign w:val="center"/>
          </w:tcPr>
          <w:p w14:paraId="6ACE7077">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0.055</w:t>
            </w:r>
          </w:p>
        </w:tc>
        <w:tc>
          <w:tcPr>
            <w:tcW w:w="1663" w:type="dxa"/>
            <w:tcBorders>
              <w:top w:val="single" w:color="auto" w:sz="4" w:space="0"/>
              <w:bottom w:val="single" w:color="auto" w:sz="4" w:space="0"/>
            </w:tcBorders>
            <w:vAlign w:val="center"/>
          </w:tcPr>
          <w:p w14:paraId="3894ED16">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04A062F9">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0.0928</w:t>
            </w:r>
          </w:p>
        </w:tc>
        <w:tc>
          <w:tcPr>
            <w:tcW w:w="1722" w:type="dxa"/>
            <w:tcBorders>
              <w:top w:val="single" w:color="auto" w:sz="4" w:space="0"/>
              <w:bottom w:val="single" w:color="auto" w:sz="4" w:space="0"/>
            </w:tcBorders>
            <w:shd w:val="clear" w:color="auto" w:fill="auto"/>
            <w:vAlign w:val="center"/>
          </w:tcPr>
          <w:p w14:paraId="31A428FC">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0.0022</w:t>
            </w:r>
          </w:p>
        </w:tc>
        <w:tc>
          <w:tcPr>
            <w:tcW w:w="1707" w:type="dxa"/>
            <w:tcBorders>
              <w:top w:val="single" w:color="auto" w:sz="4" w:space="0"/>
              <w:bottom w:val="single" w:color="auto" w:sz="4" w:space="0"/>
            </w:tcBorders>
            <w:shd w:val="clear" w:color="auto" w:fill="auto"/>
            <w:vAlign w:val="center"/>
          </w:tcPr>
          <w:p w14:paraId="3ECFCEB6">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0.0928</w:t>
            </w:r>
          </w:p>
        </w:tc>
        <w:tc>
          <w:tcPr>
            <w:tcW w:w="1020" w:type="dxa"/>
            <w:tcBorders>
              <w:top w:val="single" w:color="auto" w:sz="4" w:space="0"/>
              <w:bottom w:val="single" w:color="auto" w:sz="4" w:space="0"/>
            </w:tcBorders>
            <w:shd w:val="clear" w:color="auto" w:fill="auto"/>
            <w:vAlign w:val="center"/>
          </w:tcPr>
          <w:p w14:paraId="30B7A4DB">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+0.0906</w:t>
            </w:r>
          </w:p>
        </w:tc>
      </w:tr>
      <w:tr w14:paraId="75E7F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restart"/>
            <w:tcBorders>
              <w:top w:val="single" w:color="auto" w:sz="4" w:space="0"/>
              <w:bottom w:val="single" w:color="auto" w:sz="4" w:space="0"/>
            </w:tcBorders>
            <w:vAlign w:val="center"/>
          </w:tcPr>
          <w:p w14:paraId="2952A000">
            <w:pPr>
              <w:pStyle w:val="56"/>
              <w:adjustRightInd w:val="0"/>
              <w:snapToGrid w:val="0"/>
              <w:spacing w:before="0"/>
              <w:rPr>
                <w:b w:val="0"/>
                <w:bCs/>
                <w:snapToGrid w:val="0"/>
                <w:color w:val="000000" w:themeColor="text1"/>
                <w:kern w:val="21"/>
                <w:sz w:val="21"/>
                <w:szCs w:val="21"/>
                <w14:textFill>
                  <w14:solidFill>
                    <w14:schemeClr w14:val="tx1"/>
                  </w14:solidFill>
                </w14:textFill>
              </w:rPr>
            </w:pPr>
            <w:r>
              <w:rPr>
                <w:b w:val="0"/>
                <w:bCs/>
                <w:snapToGrid w:val="0"/>
                <w:color w:val="000000" w:themeColor="text1"/>
                <w:kern w:val="21"/>
                <w:sz w:val="21"/>
                <w:szCs w:val="21"/>
                <w14:textFill>
                  <w14:solidFill>
                    <w14:schemeClr w14:val="tx1"/>
                  </w14:solidFill>
                </w14:textFill>
              </w:rPr>
              <w:t>废水</w:t>
            </w:r>
          </w:p>
        </w:tc>
        <w:tc>
          <w:tcPr>
            <w:tcW w:w="1389" w:type="dxa"/>
            <w:tcBorders>
              <w:top w:val="single" w:color="auto" w:sz="4" w:space="0"/>
              <w:bottom w:val="single" w:color="auto" w:sz="4" w:space="0"/>
            </w:tcBorders>
            <w:vAlign w:val="center"/>
          </w:tcPr>
          <w:p w14:paraId="25CD0F8C">
            <w:pPr>
              <w:pStyle w:val="56"/>
              <w:adjustRightInd w:val="0"/>
              <w:snapToGrid w:val="0"/>
              <w:spacing w:before="0"/>
              <w:rPr>
                <w:b w:val="0"/>
                <w:bCs/>
                <w:snapToGrid w:val="0"/>
                <w:color w:val="000000" w:themeColor="text1"/>
                <w:kern w:val="21"/>
                <w:sz w:val="21"/>
                <w:szCs w:val="21"/>
                <w14:textFill>
                  <w14:solidFill>
                    <w14:schemeClr w14:val="tx1"/>
                  </w14:solidFill>
                </w14:textFill>
              </w:rPr>
            </w:pPr>
            <w:r>
              <w:rPr>
                <w:b w:val="0"/>
                <w:bCs/>
                <w:snapToGrid w:val="0"/>
                <w:color w:val="000000" w:themeColor="text1"/>
                <w:kern w:val="21"/>
                <w:sz w:val="21"/>
                <w:szCs w:val="21"/>
                <w14:textFill>
                  <w14:solidFill>
                    <w14:schemeClr w14:val="tx1"/>
                  </w14:solidFill>
                </w14:textFill>
              </w:rPr>
              <w:t>废水量</w:t>
            </w:r>
          </w:p>
        </w:tc>
        <w:tc>
          <w:tcPr>
            <w:tcW w:w="1386" w:type="dxa"/>
            <w:tcBorders>
              <w:top w:val="single" w:color="auto" w:sz="4" w:space="0"/>
              <w:bottom w:val="single" w:color="auto" w:sz="4" w:space="0"/>
            </w:tcBorders>
            <w:shd w:val="clear" w:color="auto" w:fill="auto"/>
            <w:vAlign w:val="center"/>
          </w:tcPr>
          <w:p w14:paraId="4AA0CB4C">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360</w:t>
            </w:r>
          </w:p>
        </w:tc>
        <w:tc>
          <w:tcPr>
            <w:tcW w:w="1425" w:type="dxa"/>
            <w:tcBorders>
              <w:top w:val="single" w:color="auto" w:sz="4" w:space="0"/>
              <w:bottom w:val="single" w:color="auto" w:sz="4" w:space="0"/>
            </w:tcBorders>
            <w:shd w:val="clear" w:color="auto" w:fill="auto"/>
            <w:vAlign w:val="center"/>
          </w:tcPr>
          <w:p w14:paraId="715832BC">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360</w:t>
            </w:r>
          </w:p>
        </w:tc>
        <w:tc>
          <w:tcPr>
            <w:tcW w:w="1663" w:type="dxa"/>
            <w:tcBorders>
              <w:top w:val="single" w:color="auto" w:sz="4" w:space="0"/>
              <w:bottom w:val="single" w:color="auto" w:sz="4" w:space="0"/>
            </w:tcBorders>
            <w:vAlign w:val="center"/>
          </w:tcPr>
          <w:p w14:paraId="126ABAD8">
            <w:pPr>
              <w:adjustRightInd w:val="0"/>
              <w:snapToGrid w:val="0"/>
              <w:spacing w:before="0"/>
              <w:jc w:val="center"/>
              <w:rPr>
                <w:b w:val="0"/>
                <w:bCs/>
                <w:snapToGrid w:val="0"/>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4A720726">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360</w:t>
            </w:r>
          </w:p>
        </w:tc>
        <w:tc>
          <w:tcPr>
            <w:tcW w:w="1722" w:type="dxa"/>
            <w:tcBorders>
              <w:top w:val="single" w:color="auto" w:sz="4" w:space="0"/>
              <w:bottom w:val="single" w:color="auto" w:sz="4" w:space="0"/>
            </w:tcBorders>
            <w:vAlign w:val="center"/>
          </w:tcPr>
          <w:p w14:paraId="3AAD7428">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360</w:t>
            </w:r>
          </w:p>
        </w:tc>
        <w:tc>
          <w:tcPr>
            <w:tcW w:w="1707" w:type="dxa"/>
            <w:tcBorders>
              <w:top w:val="single" w:color="auto" w:sz="4" w:space="0"/>
              <w:bottom w:val="single" w:color="auto" w:sz="4" w:space="0"/>
            </w:tcBorders>
            <w:vAlign w:val="center"/>
          </w:tcPr>
          <w:p w14:paraId="627F3AC5">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360</w:t>
            </w:r>
          </w:p>
        </w:tc>
        <w:tc>
          <w:tcPr>
            <w:tcW w:w="1020" w:type="dxa"/>
            <w:tcBorders>
              <w:top w:val="single" w:color="auto" w:sz="4" w:space="0"/>
              <w:bottom w:val="single" w:color="auto" w:sz="4" w:space="0"/>
            </w:tcBorders>
            <w:vAlign w:val="center"/>
          </w:tcPr>
          <w:p w14:paraId="29CA98FB">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r>
      <w:tr w14:paraId="2745D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tcBorders>
              <w:top w:val="single" w:color="auto" w:sz="4" w:space="0"/>
              <w:bottom w:val="single" w:color="auto" w:sz="4" w:space="0"/>
            </w:tcBorders>
            <w:vAlign w:val="center"/>
          </w:tcPr>
          <w:p w14:paraId="15155CE5">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vAlign w:val="center"/>
          </w:tcPr>
          <w:p w14:paraId="54087EC5">
            <w:pPr>
              <w:pStyle w:val="56"/>
              <w:adjustRightInd w:val="0"/>
              <w:snapToGrid w:val="0"/>
              <w:spacing w:before="0"/>
              <w:rPr>
                <w:b w:val="0"/>
                <w:bCs/>
                <w:snapToGrid w:val="0"/>
                <w:color w:val="000000" w:themeColor="text1"/>
                <w:kern w:val="21"/>
                <w:sz w:val="21"/>
                <w:szCs w:val="21"/>
                <w14:textFill>
                  <w14:solidFill>
                    <w14:schemeClr w14:val="tx1"/>
                  </w14:solidFill>
                </w14:textFill>
              </w:rPr>
            </w:pPr>
            <w:r>
              <w:rPr>
                <w:b w:val="0"/>
                <w:bCs/>
                <w:snapToGrid w:val="0"/>
                <w:color w:val="000000" w:themeColor="text1"/>
                <w:kern w:val="21"/>
                <w:sz w:val="21"/>
                <w:szCs w:val="21"/>
                <w14:textFill>
                  <w14:solidFill>
                    <w14:schemeClr w14:val="tx1"/>
                  </w14:solidFill>
                </w14:textFill>
              </w:rPr>
              <w:t>COD</w:t>
            </w:r>
          </w:p>
        </w:tc>
        <w:tc>
          <w:tcPr>
            <w:tcW w:w="1386" w:type="dxa"/>
            <w:tcBorders>
              <w:top w:val="single" w:color="auto" w:sz="4" w:space="0"/>
              <w:bottom w:val="single" w:color="auto" w:sz="4" w:space="0"/>
            </w:tcBorders>
            <w:shd w:val="clear" w:color="auto" w:fill="auto"/>
            <w:vAlign w:val="center"/>
          </w:tcPr>
          <w:p w14:paraId="135D6831">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0.0025</w:t>
            </w:r>
          </w:p>
        </w:tc>
        <w:tc>
          <w:tcPr>
            <w:tcW w:w="1425" w:type="dxa"/>
            <w:tcBorders>
              <w:top w:val="single" w:color="auto" w:sz="4" w:space="0"/>
              <w:bottom w:val="single" w:color="auto" w:sz="4" w:space="0"/>
            </w:tcBorders>
            <w:shd w:val="clear" w:color="auto" w:fill="auto"/>
            <w:vAlign w:val="center"/>
          </w:tcPr>
          <w:p w14:paraId="6AC931C7">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0.018</w:t>
            </w:r>
          </w:p>
        </w:tc>
        <w:tc>
          <w:tcPr>
            <w:tcW w:w="1663" w:type="dxa"/>
            <w:tcBorders>
              <w:top w:val="single" w:color="auto" w:sz="4" w:space="0"/>
              <w:bottom w:val="single" w:color="auto" w:sz="4" w:space="0"/>
            </w:tcBorders>
            <w:vAlign w:val="center"/>
          </w:tcPr>
          <w:p w14:paraId="52D73D04">
            <w:pPr>
              <w:adjustRightInd w:val="0"/>
              <w:snapToGrid w:val="0"/>
              <w:spacing w:before="0"/>
              <w:jc w:val="center"/>
              <w:rPr>
                <w:b w:val="0"/>
                <w:bCs/>
                <w:snapToGrid w:val="0"/>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4041EA36">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0.018</w:t>
            </w:r>
          </w:p>
        </w:tc>
        <w:tc>
          <w:tcPr>
            <w:tcW w:w="1722" w:type="dxa"/>
            <w:tcBorders>
              <w:top w:val="single" w:color="auto" w:sz="4" w:space="0"/>
              <w:bottom w:val="single" w:color="auto" w:sz="4" w:space="0"/>
            </w:tcBorders>
            <w:vAlign w:val="center"/>
          </w:tcPr>
          <w:p w14:paraId="3F9C3C40">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0.0025</w:t>
            </w:r>
          </w:p>
        </w:tc>
        <w:tc>
          <w:tcPr>
            <w:tcW w:w="1707" w:type="dxa"/>
            <w:tcBorders>
              <w:top w:val="single" w:color="auto" w:sz="4" w:space="0"/>
              <w:bottom w:val="single" w:color="auto" w:sz="4" w:space="0"/>
            </w:tcBorders>
            <w:vAlign w:val="center"/>
          </w:tcPr>
          <w:p w14:paraId="70376727">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0.018</w:t>
            </w:r>
          </w:p>
        </w:tc>
        <w:tc>
          <w:tcPr>
            <w:tcW w:w="1020" w:type="dxa"/>
            <w:tcBorders>
              <w:top w:val="single" w:color="auto" w:sz="4" w:space="0"/>
              <w:bottom w:val="single" w:color="auto" w:sz="4" w:space="0"/>
            </w:tcBorders>
            <w:vAlign w:val="center"/>
          </w:tcPr>
          <w:p w14:paraId="40DF33B5">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+0.0155</w:t>
            </w:r>
          </w:p>
        </w:tc>
      </w:tr>
      <w:tr w14:paraId="4DBC2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tcBorders>
              <w:top w:val="single" w:color="auto" w:sz="4" w:space="0"/>
              <w:bottom w:val="single" w:color="auto" w:sz="4" w:space="0"/>
            </w:tcBorders>
            <w:vAlign w:val="center"/>
          </w:tcPr>
          <w:p w14:paraId="27CEDAB5">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vAlign w:val="center"/>
          </w:tcPr>
          <w:p w14:paraId="453205BB">
            <w:pPr>
              <w:pStyle w:val="56"/>
              <w:adjustRightInd w:val="0"/>
              <w:snapToGrid w:val="0"/>
              <w:spacing w:before="0"/>
              <w:rPr>
                <w:b w:val="0"/>
                <w:bCs/>
                <w:snapToGrid w:val="0"/>
                <w:color w:val="000000" w:themeColor="text1"/>
                <w:kern w:val="21"/>
                <w:sz w:val="21"/>
                <w:szCs w:val="21"/>
                <w14:textFill>
                  <w14:solidFill>
                    <w14:schemeClr w14:val="tx1"/>
                  </w14:solidFill>
                </w14:textFill>
              </w:rPr>
            </w:pPr>
            <w:r>
              <w:rPr>
                <w:b w:val="0"/>
                <w:bCs/>
                <w:snapToGrid w:val="0"/>
                <w:color w:val="000000" w:themeColor="text1"/>
                <w:kern w:val="21"/>
                <w:sz w:val="21"/>
                <w:szCs w:val="21"/>
                <w14:textFill>
                  <w14:solidFill>
                    <w14:schemeClr w14:val="tx1"/>
                  </w14:solidFill>
                </w14:textFill>
              </w:rPr>
              <w:t>SS</w:t>
            </w:r>
          </w:p>
        </w:tc>
        <w:tc>
          <w:tcPr>
            <w:tcW w:w="1386" w:type="dxa"/>
            <w:tcBorders>
              <w:top w:val="single" w:color="auto" w:sz="4" w:space="0"/>
              <w:bottom w:val="single" w:color="auto" w:sz="4" w:space="0"/>
            </w:tcBorders>
            <w:shd w:val="clear" w:color="auto" w:fill="auto"/>
            <w:vAlign w:val="center"/>
          </w:tcPr>
          <w:p w14:paraId="77989C16">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0.0007</w:t>
            </w:r>
          </w:p>
        </w:tc>
        <w:tc>
          <w:tcPr>
            <w:tcW w:w="1425" w:type="dxa"/>
            <w:tcBorders>
              <w:top w:val="single" w:color="auto" w:sz="4" w:space="0"/>
              <w:bottom w:val="single" w:color="auto" w:sz="4" w:space="0"/>
            </w:tcBorders>
            <w:shd w:val="clear" w:color="auto" w:fill="auto"/>
            <w:vAlign w:val="center"/>
          </w:tcPr>
          <w:p w14:paraId="555EC9DB">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0.0036</w:t>
            </w:r>
          </w:p>
        </w:tc>
        <w:tc>
          <w:tcPr>
            <w:tcW w:w="1663" w:type="dxa"/>
            <w:tcBorders>
              <w:top w:val="single" w:color="auto" w:sz="4" w:space="0"/>
              <w:bottom w:val="single" w:color="auto" w:sz="4" w:space="0"/>
            </w:tcBorders>
            <w:vAlign w:val="center"/>
          </w:tcPr>
          <w:p w14:paraId="16476B15">
            <w:pPr>
              <w:adjustRightInd w:val="0"/>
              <w:snapToGrid w:val="0"/>
              <w:spacing w:before="0"/>
              <w:jc w:val="center"/>
              <w:rPr>
                <w:b w:val="0"/>
                <w:bCs/>
                <w:snapToGrid w:val="0"/>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72114303">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0.0036</w:t>
            </w:r>
          </w:p>
        </w:tc>
        <w:tc>
          <w:tcPr>
            <w:tcW w:w="1722" w:type="dxa"/>
            <w:tcBorders>
              <w:top w:val="single" w:color="auto" w:sz="4" w:space="0"/>
              <w:bottom w:val="single" w:color="auto" w:sz="4" w:space="0"/>
            </w:tcBorders>
            <w:vAlign w:val="center"/>
          </w:tcPr>
          <w:p w14:paraId="5261D241">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0.0007</w:t>
            </w:r>
          </w:p>
        </w:tc>
        <w:tc>
          <w:tcPr>
            <w:tcW w:w="1707" w:type="dxa"/>
            <w:tcBorders>
              <w:top w:val="single" w:color="auto" w:sz="4" w:space="0"/>
              <w:bottom w:val="single" w:color="auto" w:sz="4" w:space="0"/>
            </w:tcBorders>
            <w:vAlign w:val="center"/>
          </w:tcPr>
          <w:p w14:paraId="37CDFE27">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0.0036</w:t>
            </w:r>
          </w:p>
        </w:tc>
        <w:tc>
          <w:tcPr>
            <w:tcW w:w="1020" w:type="dxa"/>
            <w:tcBorders>
              <w:top w:val="single" w:color="auto" w:sz="4" w:space="0"/>
              <w:bottom w:val="single" w:color="auto" w:sz="4" w:space="0"/>
            </w:tcBorders>
            <w:vAlign w:val="center"/>
          </w:tcPr>
          <w:p w14:paraId="2638B137">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+0.0029</w:t>
            </w:r>
          </w:p>
        </w:tc>
      </w:tr>
      <w:tr w14:paraId="77731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tcBorders>
              <w:top w:val="single" w:color="auto" w:sz="4" w:space="0"/>
              <w:bottom w:val="single" w:color="auto" w:sz="4" w:space="0"/>
            </w:tcBorders>
            <w:vAlign w:val="center"/>
          </w:tcPr>
          <w:p w14:paraId="597BDB4E">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vAlign w:val="center"/>
          </w:tcPr>
          <w:p w14:paraId="03BC4BF0">
            <w:pPr>
              <w:pStyle w:val="56"/>
              <w:adjustRightInd w:val="0"/>
              <w:snapToGrid w:val="0"/>
              <w:spacing w:before="0"/>
              <w:rPr>
                <w:b w:val="0"/>
                <w:bCs/>
                <w:snapToGrid w:val="0"/>
                <w:color w:val="000000" w:themeColor="text1"/>
                <w:kern w:val="21"/>
                <w:sz w:val="21"/>
                <w:szCs w:val="21"/>
                <w14:textFill>
                  <w14:solidFill>
                    <w14:schemeClr w14:val="tx1"/>
                  </w14:solidFill>
                </w14:textFill>
              </w:rPr>
            </w:pPr>
            <w:r>
              <w:rPr>
                <w:b w:val="0"/>
                <w:bCs/>
                <w:snapToGrid w:val="0"/>
                <w:color w:val="000000" w:themeColor="text1"/>
                <w:kern w:val="21"/>
                <w:sz w:val="21"/>
                <w:szCs w:val="21"/>
                <w14:textFill>
                  <w14:solidFill>
                    <w14:schemeClr w14:val="tx1"/>
                  </w14:solidFill>
                </w14:textFill>
              </w:rPr>
              <w:t>氨氮</w:t>
            </w:r>
          </w:p>
        </w:tc>
        <w:tc>
          <w:tcPr>
            <w:tcW w:w="1386" w:type="dxa"/>
            <w:tcBorders>
              <w:top w:val="single" w:color="auto" w:sz="4" w:space="0"/>
              <w:bottom w:val="single" w:color="auto" w:sz="4" w:space="0"/>
            </w:tcBorders>
            <w:shd w:val="clear" w:color="auto" w:fill="auto"/>
            <w:vAlign w:val="center"/>
          </w:tcPr>
          <w:p w14:paraId="721403A4">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0.0001</w:t>
            </w:r>
          </w:p>
        </w:tc>
        <w:tc>
          <w:tcPr>
            <w:tcW w:w="1425" w:type="dxa"/>
            <w:tcBorders>
              <w:top w:val="single" w:color="auto" w:sz="4" w:space="0"/>
              <w:bottom w:val="single" w:color="auto" w:sz="4" w:space="0"/>
            </w:tcBorders>
            <w:shd w:val="clear" w:color="auto" w:fill="auto"/>
            <w:vAlign w:val="center"/>
          </w:tcPr>
          <w:p w14:paraId="3F378D74">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0.0014</w:t>
            </w:r>
          </w:p>
        </w:tc>
        <w:tc>
          <w:tcPr>
            <w:tcW w:w="1663" w:type="dxa"/>
            <w:tcBorders>
              <w:top w:val="single" w:color="auto" w:sz="4" w:space="0"/>
              <w:bottom w:val="single" w:color="auto" w:sz="4" w:space="0"/>
            </w:tcBorders>
            <w:vAlign w:val="center"/>
          </w:tcPr>
          <w:p w14:paraId="551EE473">
            <w:pPr>
              <w:adjustRightInd w:val="0"/>
              <w:snapToGrid w:val="0"/>
              <w:spacing w:before="0"/>
              <w:jc w:val="center"/>
              <w:rPr>
                <w:b w:val="0"/>
                <w:bCs/>
                <w:snapToGrid w:val="0"/>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69A248B2">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0.0014</w:t>
            </w:r>
          </w:p>
        </w:tc>
        <w:tc>
          <w:tcPr>
            <w:tcW w:w="1722" w:type="dxa"/>
            <w:tcBorders>
              <w:top w:val="single" w:color="auto" w:sz="4" w:space="0"/>
              <w:bottom w:val="single" w:color="auto" w:sz="4" w:space="0"/>
            </w:tcBorders>
            <w:vAlign w:val="center"/>
          </w:tcPr>
          <w:p w14:paraId="4D645C32">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0.0001</w:t>
            </w:r>
          </w:p>
        </w:tc>
        <w:tc>
          <w:tcPr>
            <w:tcW w:w="1707" w:type="dxa"/>
            <w:tcBorders>
              <w:top w:val="single" w:color="auto" w:sz="4" w:space="0"/>
              <w:bottom w:val="single" w:color="auto" w:sz="4" w:space="0"/>
            </w:tcBorders>
            <w:vAlign w:val="center"/>
          </w:tcPr>
          <w:p w14:paraId="6AB2A559">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0.0014</w:t>
            </w:r>
          </w:p>
        </w:tc>
        <w:tc>
          <w:tcPr>
            <w:tcW w:w="1020" w:type="dxa"/>
            <w:tcBorders>
              <w:top w:val="single" w:color="auto" w:sz="4" w:space="0"/>
              <w:bottom w:val="single" w:color="auto" w:sz="4" w:space="0"/>
            </w:tcBorders>
            <w:vAlign w:val="center"/>
          </w:tcPr>
          <w:p w14:paraId="20FFFFDE">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+0.0013</w:t>
            </w:r>
          </w:p>
        </w:tc>
      </w:tr>
      <w:tr w14:paraId="0A582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tcBorders>
              <w:top w:val="single" w:color="auto" w:sz="4" w:space="0"/>
              <w:bottom w:val="single" w:color="auto" w:sz="4" w:space="0"/>
            </w:tcBorders>
            <w:vAlign w:val="center"/>
          </w:tcPr>
          <w:p w14:paraId="40BCB678">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vAlign w:val="center"/>
          </w:tcPr>
          <w:p w14:paraId="5A5A1AB2">
            <w:pPr>
              <w:pStyle w:val="56"/>
              <w:adjustRightInd w:val="0"/>
              <w:snapToGrid w:val="0"/>
              <w:spacing w:before="0"/>
              <w:rPr>
                <w:b w:val="0"/>
                <w:bCs/>
                <w:snapToGrid w:val="0"/>
                <w:color w:val="000000" w:themeColor="text1"/>
                <w:kern w:val="21"/>
                <w:sz w:val="21"/>
                <w:szCs w:val="21"/>
                <w14:textFill>
                  <w14:solidFill>
                    <w14:schemeClr w14:val="tx1"/>
                  </w14:solidFill>
                </w14:textFill>
              </w:rPr>
            </w:pPr>
            <w:r>
              <w:rPr>
                <w:b w:val="0"/>
                <w:bCs/>
                <w:snapToGrid w:val="0"/>
                <w:color w:val="000000" w:themeColor="text1"/>
                <w:kern w:val="21"/>
                <w:sz w:val="21"/>
                <w:szCs w:val="21"/>
                <w14:textFill>
                  <w14:solidFill>
                    <w14:schemeClr w14:val="tx1"/>
                  </w14:solidFill>
                </w14:textFill>
              </w:rPr>
              <w:t>总磷</w:t>
            </w:r>
          </w:p>
        </w:tc>
        <w:tc>
          <w:tcPr>
            <w:tcW w:w="1386" w:type="dxa"/>
            <w:tcBorders>
              <w:top w:val="single" w:color="auto" w:sz="4" w:space="0"/>
              <w:bottom w:val="single" w:color="auto" w:sz="4" w:space="0"/>
            </w:tcBorders>
            <w:shd w:val="clear" w:color="auto" w:fill="auto"/>
            <w:vAlign w:val="center"/>
          </w:tcPr>
          <w:p w14:paraId="0C87C1F3">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0.00002</w:t>
            </w:r>
          </w:p>
        </w:tc>
        <w:tc>
          <w:tcPr>
            <w:tcW w:w="1425" w:type="dxa"/>
            <w:tcBorders>
              <w:top w:val="single" w:color="auto" w:sz="4" w:space="0"/>
              <w:bottom w:val="single" w:color="auto" w:sz="4" w:space="0"/>
            </w:tcBorders>
            <w:shd w:val="clear" w:color="auto" w:fill="auto"/>
            <w:vAlign w:val="center"/>
          </w:tcPr>
          <w:p w14:paraId="4C4570AA">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0.0002</w:t>
            </w:r>
          </w:p>
        </w:tc>
        <w:tc>
          <w:tcPr>
            <w:tcW w:w="1663" w:type="dxa"/>
            <w:tcBorders>
              <w:top w:val="single" w:color="auto" w:sz="4" w:space="0"/>
              <w:bottom w:val="single" w:color="auto" w:sz="4" w:space="0"/>
            </w:tcBorders>
            <w:vAlign w:val="center"/>
          </w:tcPr>
          <w:p w14:paraId="20CDE025">
            <w:pPr>
              <w:adjustRightInd w:val="0"/>
              <w:snapToGrid w:val="0"/>
              <w:spacing w:before="0"/>
              <w:jc w:val="center"/>
              <w:rPr>
                <w:b w:val="0"/>
                <w:bCs/>
                <w:snapToGrid w:val="0"/>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75911E9F">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0.0002</w:t>
            </w:r>
          </w:p>
        </w:tc>
        <w:tc>
          <w:tcPr>
            <w:tcW w:w="1722" w:type="dxa"/>
            <w:tcBorders>
              <w:top w:val="single" w:color="auto" w:sz="4" w:space="0"/>
              <w:bottom w:val="single" w:color="auto" w:sz="4" w:space="0"/>
            </w:tcBorders>
            <w:vAlign w:val="center"/>
          </w:tcPr>
          <w:p w14:paraId="592B68CF">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0.00002</w:t>
            </w:r>
          </w:p>
        </w:tc>
        <w:tc>
          <w:tcPr>
            <w:tcW w:w="1707" w:type="dxa"/>
            <w:tcBorders>
              <w:top w:val="single" w:color="auto" w:sz="4" w:space="0"/>
              <w:bottom w:val="single" w:color="auto" w:sz="4" w:space="0"/>
            </w:tcBorders>
            <w:vAlign w:val="center"/>
          </w:tcPr>
          <w:p w14:paraId="2922A303">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0.0002</w:t>
            </w:r>
          </w:p>
        </w:tc>
        <w:tc>
          <w:tcPr>
            <w:tcW w:w="1020" w:type="dxa"/>
            <w:tcBorders>
              <w:top w:val="single" w:color="auto" w:sz="4" w:space="0"/>
              <w:bottom w:val="single" w:color="auto" w:sz="4" w:space="0"/>
            </w:tcBorders>
            <w:vAlign w:val="center"/>
          </w:tcPr>
          <w:p w14:paraId="69FC591E">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+0.00018</w:t>
            </w:r>
          </w:p>
        </w:tc>
      </w:tr>
      <w:tr w14:paraId="1978C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tcBorders>
              <w:top w:val="single" w:color="auto" w:sz="4" w:space="0"/>
              <w:bottom w:val="single" w:color="auto" w:sz="4" w:space="0"/>
            </w:tcBorders>
            <w:vAlign w:val="center"/>
          </w:tcPr>
          <w:p w14:paraId="12EECFBB">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vAlign w:val="center"/>
          </w:tcPr>
          <w:p w14:paraId="14599A59">
            <w:pPr>
              <w:pStyle w:val="56"/>
              <w:adjustRightInd w:val="0"/>
              <w:snapToGrid w:val="0"/>
              <w:spacing w:before="0"/>
              <w:rPr>
                <w:b w:val="0"/>
                <w:bCs/>
                <w:snapToGrid w:val="0"/>
                <w:color w:val="000000" w:themeColor="text1"/>
                <w:kern w:val="21"/>
                <w:sz w:val="21"/>
                <w:szCs w:val="21"/>
                <w14:textFill>
                  <w14:solidFill>
                    <w14:schemeClr w14:val="tx1"/>
                  </w14:solidFill>
                </w14:textFill>
              </w:rPr>
            </w:pPr>
            <w:r>
              <w:rPr>
                <w:b w:val="0"/>
                <w:bCs/>
                <w:snapToGrid w:val="0"/>
                <w:color w:val="000000" w:themeColor="text1"/>
                <w:kern w:val="21"/>
                <w:sz w:val="21"/>
                <w:szCs w:val="21"/>
                <w14:textFill>
                  <w14:solidFill>
                    <w14:schemeClr w14:val="tx1"/>
                  </w14:solidFill>
                </w14:textFill>
              </w:rPr>
              <w:t>总氮</w:t>
            </w:r>
          </w:p>
        </w:tc>
        <w:tc>
          <w:tcPr>
            <w:tcW w:w="1386" w:type="dxa"/>
            <w:tcBorders>
              <w:top w:val="single" w:color="auto" w:sz="4" w:space="0"/>
              <w:bottom w:val="single" w:color="auto" w:sz="4" w:space="0"/>
            </w:tcBorders>
            <w:shd w:val="clear" w:color="auto" w:fill="auto"/>
            <w:vAlign w:val="center"/>
          </w:tcPr>
          <w:p w14:paraId="016897A7">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0.0004</w:t>
            </w:r>
          </w:p>
        </w:tc>
        <w:tc>
          <w:tcPr>
            <w:tcW w:w="1425" w:type="dxa"/>
            <w:tcBorders>
              <w:top w:val="single" w:color="auto" w:sz="4" w:space="0"/>
              <w:bottom w:val="single" w:color="auto" w:sz="4" w:space="0"/>
            </w:tcBorders>
            <w:shd w:val="clear" w:color="auto" w:fill="auto"/>
            <w:vAlign w:val="center"/>
          </w:tcPr>
          <w:p w14:paraId="113A9CDC">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0.0043</w:t>
            </w:r>
          </w:p>
        </w:tc>
        <w:tc>
          <w:tcPr>
            <w:tcW w:w="1663" w:type="dxa"/>
            <w:tcBorders>
              <w:top w:val="single" w:color="auto" w:sz="4" w:space="0"/>
              <w:bottom w:val="single" w:color="auto" w:sz="4" w:space="0"/>
            </w:tcBorders>
            <w:vAlign w:val="center"/>
          </w:tcPr>
          <w:p w14:paraId="181CC0BF">
            <w:pPr>
              <w:adjustRightInd w:val="0"/>
              <w:snapToGrid w:val="0"/>
              <w:spacing w:before="0"/>
              <w:jc w:val="center"/>
              <w:rPr>
                <w:b w:val="0"/>
                <w:bCs/>
                <w:snapToGrid w:val="0"/>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3F2493FA">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0.0043</w:t>
            </w:r>
          </w:p>
        </w:tc>
        <w:tc>
          <w:tcPr>
            <w:tcW w:w="1722" w:type="dxa"/>
            <w:tcBorders>
              <w:top w:val="single" w:color="auto" w:sz="4" w:space="0"/>
              <w:bottom w:val="single" w:color="auto" w:sz="4" w:space="0"/>
            </w:tcBorders>
            <w:vAlign w:val="center"/>
          </w:tcPr>
          <w:p w14:paraId="011A8EB8">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0.0004</w:t>
            </w:r>
          </w:p>
        </w:tc>
        <w:tc>
          <w:tcPr>
            <w:tcW w:w="1707" w:type="dxa"/>
            <w:tcBorders>
              <w:top w:val="single" w:color="auto" w:sz="4" w:space="0"/>
              <w:bottom w:val="single" w:color="auto" w:sz="4" w:space="0"/>
            </w:tcBorders>
            <w:vAlign w:val="center"/>
          </w:tcPr>
          <w:p w14:paraId="0FEFA088">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0.0043</w:t>
            </w:r>
          </w:p>
        </w:tc>
        <w:tc>
          <w:tcPr>
            <w:tcW w:w="1020" w:type="dxa"/>
            <w:tcBorders>
              <w:top w:val="single" w:color="auto" w:sz="4" w:space="0"/>
              <w:bottom w:val="single" w:color="auto" w:sz="4" w:space="0"/>
            </w:tcBorders>
            <w:vAlign w:val="center"/>
          </w:tcPr>
          <w:p w14:paraId="5B0A3460">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+0.0039</w:t>
            </w:r>
          </w:p>
        </w:tc>
      </w:tr>
      <w:tr w14:paraId="0FD86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restart"/>
            <w:tcBorders>
              <w:top w:val="single" w:color="auto" w:sz="4" w:space="0"/>
            </w:tcBorders>
            <w:vAlign w:val="center"/>
          </w:tcPr>
          <w:p w14:paraId="646E1903">
            <w:pPr>
              <w:pStyle w:val="56"/>
              <w:adjustRightInd w:val="0"/>
              <w:snapToGrid w:val="0"/>
              <w:spacing w:before="0"/>
              <w:rPr>
                <w:b w:val="0"/>
                <w:bCs/>
                <w:snapToGrid w:val="0"/>
                <w:color w:val="000000" w:themeColor="text1"/>
                <w:kern w:val="21"/>
                <w:sz w:val="21"/>
                <w:szCs w:val="21"/>
                <w14:textFill>
                  <w14:solidFill>
                    <w14:schemeClr w14:val="tx1"/>
                  </w14:solidFill>
                </w14:textFill>
              </w:rPr>
            </w:pPr>
            <w:r>
              <w:rPr>
                <w:b w:val="0"/>
                <w:bCs/>
                <w:snapToGrid w:val="0"/>
                <w:color w:val="000000" w:themeColor="text1"/>
                <w:kern w:val="21"/>
                <w:sz w:val="21"/>
                <w:szCs w:val="21"/>
                <w14:textFill>
                  <w14:solidFill>
                    <w14:schemeClr w14:val="tx1"/>
                  </w14:solidFill>
                </w14:textFill>
              </w:rPr>
              <w:t>一般工业</w:t>
            </w:r>
          </w:p>
          <w:p w14:paraId="4966C001">
            <w:pPr>
              <w:pStyle w:val="56"/>
              <w:adjustRightInd w:val="0"/>
              <w:snapToGrid w:val="0"/>
              <w:spacing w:before="0"/>
              <w:rPr>
                <w:b w:val="0"/>
                <w:bCs/>
                <w:snapToGrid w:val="0"/>
                <w:color w:val="000000" w:themeColor="text1"/>
                <w:kern w:val="21"/>
                <w:sz w:val="21"/>
                <w:szCs w:val="21"/>
                <w14:textFill>
                  <w14:solidFill>
                    <w14:schemeClr w14:val="tx1"/>
                  </w14:solidFill>
                </w14:textFill>
              </w:rPr>
            </w:pPr>
            <w:r>
              <w:rPr>
                <w:b w:val="0"/>
                <w:bCs/>
                <w:snapToGrid w:val="0"/>
                <w:color w:val="000000" w:themeColor="text1"/>
                <w:kern w:val="21"/>
                <w:sz w:val="21"/>
                <w:szCs w:val="21"/>
                <w14:textFill>
                  <w14:solidFill>
                    <w14:schemeClr w14:val="tx1"/>
                  </w14:solidFill>
                </w14:textFill>
              </w:rPr>
              <w:t>固体废物</w:t>
            </w:r>
          </w:p>
        </w:tc>
        <w:tc>
          <w:tcPr>
            <w:tcW w:w="1389" w:type="dxa"/>
            <w:tcBorders>
              <w:top w:val="single" w:color="auto" w:sz="4" w:space="0"/>
              <w:bottom w:val="single" w:color="auto" w:sz="4" w:space="0"/>
            </w:tcBorders>
            <w:vAlign w:val="center"/>
          </w:tcPr>
          <w:p w14:paraId="6CD4609D">
            <w:pPr>
              <w:pStyle w:val="134"/>
              <w:rPr>
                <w:b w:val="0"/>
                <w:bCs/>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color w:val="auto"/>
                <w:lang w:val="en-US" w:eastAsia="zh-CN"/>
              </w:rPr>
              <w:t>焦化塑料</w:t>
            </w:r>
          </w:p>
        </w:tc>
        <w:tc>
          <w:tcPr>
            <w:tcW w:w="1386" w:type="dxa"/>
            <w:tcBorders>
              <w:top w:val="single" w:color="auto" w:sz="4" w:space="0"/>
              <w:bottom w:val="single" w:color="auto" w:sz="4" w:space="0"/>
            </w:tcBorders>
            <w:vAlign w:val="center"/>
          </w:tcPr>
          <w:p w14:paraId="2D1B8805">
            <w:pPr>
              <w:pStyle w:val="56"/>
              <w:adjustRightInd w:val="0"/>
              <w:snapToGrid w:val="0"/>
              <w:spacing w:before="0"/>
              <w:rPr>
                <w:rFonts w:hint="eastAsia" w:eastAsia="宋体"/>
                <w:b w:val="0"/>
                <w:bCs/>
                <w:snapToGrid w:val="0"/>
                <w:color w:val="000000" w:themeColor="text1"/>
                <w:kern w:val="21"/>
                <w:sz w:val="21"/>
                <w:szCs w:val="21"/>
                <w:lang w:val="en-US" w:eastAsia="zh-CN"/>
                <w14:textFill>
                  <w14:solidFill>
                    <w14:schemeClr w14:val="tx1"/>
                  </w14:solidFill>
                </w14:textFill>
              </w:rPr>
            </w:pPr>
            <w:r>
              <w:rPr>
                <w:rFonts w:hint="eastAsia"/>
                <w:b w:val="0"/>
                <w:bCs/>
                <w:snapToGrid w:val="0"/>
                <w:color w:val="000000" w:themeColor="text1"/>
                <w:kern w:val="21"/>
                <w:sz w:val="21"/>
                <w:szCs w:val="21"/>
                <w:lang w:val="en-US" w:eastAsia="zh-CN"/>
                <w14:textFill>
                  <w14:solidFill>
                    <w14:schemeClr w14:val="tx1"/>
                  </w14:solidFill>
                </w14:textFill>
              </w:rPr>
              <w:t>0</w:t>
            </w:r>
          </w:p>
        </w:tc>
        <w:tc>
          <w:tcPr>
            <w:tcW w:w="1425" w:type="dxa"/>
            <w:tcBorders>
              <w:top w:val="single" w:color="auto" w:sz="4" w:space="0"/>
              <w:bottom w:val="single" w:color="auto" w:sz="4" w:space="0"/>
            </w:tcBorders>
            <w:shd w:val="clear" w:color="auto" w:fill="auto"/>
            <w:vAlign w:val="center"/>
          </w:tcPr>
          <w:p w14:paraId="11B025D9">
            <w:pPr>
              <w:pStyle w:val="56"/>
              <w:adjustRightInd w:val="0"/>
              <w:snapToGrid w:val="0"/>
              <w:spacing w:before="0"/>
              <w:rPr>
                <w:rFonts w:hint="eastAsia"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b w:val="0"/>
                <w:bCs/>
                <w:snapToGrid w:val="0"/>
                <w:color w:val="000000" w:themeColor="text1"/>
                <w:kern w:val="21"/>
                <w:sz w:val="21"/>
                <w:szCs w:val="21"/>
                <w:lang w:val="en-US" w:eastAsia="zh-CN"/>
                <w14:textFill>
                  <w14:solidFill>
                    <w14:schemeClr w14:val="tx1"/>
                  </w14:solidFill>
                </w14:textFill>
              </w:rPr>
              <w:t>0</w:t>
            </w:r>
          </w:p>
        </w:tc>
        <w:tc>
          <w:tcPr>
            <w:tcW w:w="1663" w:type="dxa"/>
            <w:tcBorders>
              <w:top w:val="single" w:color="auto" w:sz="4" w:space="0"/>
              <w:bottom w:val="single" w:color="auto" w:sz="4" w:space="0"/>
            </w:tcBorders>
            <w:vAlign w:val="center"/>
          </w:tcPr>
          <w:p w14:paraId="6119E5BF">
            <w:pPr>
              <w:adjustRightInd w:val="0"/>
              <w:snapToGrid w:val="0"/>
              <w:spacing w:before="0"/>
              <w:jc w:val="center"/>
              <w:rPr>
                <w:b w:val="0"/>
                <w:bCs/>
                <w:snapToGrid w:val="0"/>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5AB8105E">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4.3844</w:t>
            </w:r>
          </w:p>
        </w:tc>
        <w:tc>
          <w:tcPr>
            <w:tcW w:w="1722" w:type="dxa"/>
            <w:tcBorders>
              <w:top w:val="single" w:color="auto" w:sz="4" w:space="0"/>
              <w:bottom w:val="single" w:color="auto" w:sz="4" w:space="0"/>
            </w:tcBorders>
            <w:shd w:val="clear" w:color="auto" w:fill="auto"/>
            <w:vAlign w:val="center"/>
          </w:tcPr>
          <w:p w14:paraId="725CD733">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707" w:type="dxa"/>
            <w:tcBorders>
              <w:top w:val="single" w:color="auto" w:sz="4" w:space="0"/>
              <w:bottom w:val="single" w:color="auto" w:sz="4" w:space="0"/>
            </w:tcBorders>
            <w:shd w:val="clear" w:color="auto" w:fill="auto"/>
            <w:vAlign w:val="center"/>
          </w:tcPr>
          <w:p w14:paraId="56E6194C">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4.3844</w:t>
            </w:r>
          </w:p>
        </w:tc>
        <w:tc>
          <w:tcPr>
            <w:tcW w:w="1020" w:type="dxa"/>
            <w:tcBorders>
              <w:top w:val="single" w:color="auto" w:sz="4" w:space="0"/>
              <w:bottom w:val="single" w:color="auto" w:sz="4" w:space="0"/>
            </w:tcBorders>
            <w:shd w:val="clear" w:color="auto" w:fill="auto"/>
            <w:vAlign w:val="center"/>
          </w:tcPr>
          <w:p w14:paraId="765FB81C">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+4.3844</w:t>
            </w:r>
          </w:p>
        </w:tc>
      </w:tr>
      <w:tr w14:paraId="30B71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vAlign w:val="center"/>
          </w:tcPr>
          <w:p w14:paraId="639BABB3">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vAlign w:val="center"/>
          </w:tcPr>
          <w:p w14:paraId="659C9240">
            <w:pPr>
              <w:pStyle w:val="134"/>
              <w:rPr>
                <w:b w:val="0"/>
                <w:bCs/>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color w:val="auto"/>
                <w:lang w:val="en-US" w:eastAsia="zh-CN"/>
              </w:rPr>
              <w:t>废布袋</w:t>
            </w:r>
          </w:p>
        </w:tc>
        <w:tc>
          <w:tcPr>
            <w:tcW w:w="1386" w:type="dxa"/>
            <w:tcBorders>
              <w:top w:val="single" w:color="auto" w:sz="4" w:space="0"/>
              <w:bottom w:val="single" w:color="auto" w:sz="4" w:space="0"/>
            </w:tcBorders>
            <w:vAlign w:val="center"/>
          </w:tcPr>
          <w:p w14:paraId="19C318CD">
            <w:pPr>
              <w:pStyle w:val="56"/>
              <w:adjustRightInd w:val="0"/>
              <w:snapToGrid w:val="0"/>
              <w:spacing w:before="0"/>
              <w:rPr>
                <w:rFonts w:hint="eastAsia" w:eastAsia="宋体"/>
                <w:b w:val="0"/>
                <w:bCs/>
                <w:snapToGrid w:val="0"/>
                <w:color w:val="000000" w:themeColor="text1"/>
                <w:kern w:val="21"/>
                <w:sz w:val="21"/>
                <w:szCs w:val="21"/>
                <w:lang w:val="en-US" w:eastAsia="zh-CN"/>
                <w14:textFill>
                  <w14:solidFill>
                    <w14:schemeClr w14:val="tx1"/>
                  </w14:solidFill>
                </w14:textFill>
              </w:rPr>
            </w:pPr>
            <w:r>
              <w:rPr>
                <w:rFonts w:hint="eastAsia"/>
                <w:b w:val="0"/>
                <w:bCs/>
                <w:snapToGrid w:val="0"/>
                <w:color w:val="000000" w:themeColor="text1"/>
                <w:kern w:val="21"/>
                <w:sz w:val="21"/>
                <w:szCs w:val="21"/>
                <w:lang w:val="en-US" w:eastAsia="zh-CN"/>
                <w14:textFill>
                  <w14:solidFill>
                    <w14:schemeClr w14:val="tx1"/>
                  </w14:solidFill>
                </w14:textFill>
              </w:rPr>
              <w:t>0</w:t>
            </w:r>
          </w:p>
        </w:tc>
        <w:tc>
          <w:tcPr>
            <w:tcW w:w="1425" w:type="dxa"/>
            <w:tcBorders>
              <w:top w:val="single" w:color="auto" w:sz="4" w:space="0"/>
              <w:bottom w:val="single" w:color="auto" w:sz="4" w:space="0"/>
            </w:tcBorders>
            <w:shd w:val="clear" w:color="auto" w:fill="auto"/>
            <w:vAlign w:val="center"/>
          </w:tcPr>
          <w:p w14:paraId="165FC650">
            <w:pPr>
              <w:pStyle w:val="56"/>
              <w:adjustRightInd w:val="0"/>
              <w:snapToGrid w:val="0"/>
              <w:spacing w:before="0"/>
              <w:rPr>
                <w:rFonts w:hint="eastAsia"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b w:val="0"/>
                <w:bCs/>
                <w:snapToGrid w:val="0"/>
                <w:color w:val="000000" w:themeColor="text1"/>
                <w:kern w:val="21"/>
                <w:sz w:val="21"/>
                <w:szCs w:val="21"/>
                <w:lang w:val="en-US" w:eastAsia="zh-CN"/>
                <w14:textFill>
                  <w14:solidFill>
                    <w14:schemeClr w14:val="tx1"/>
                  </w14:solidFill>
                </w14:textFill>
              </w:rPr>
              <w:t>0</w:t>
            </w:r>
          </w:p>
        </w:tc>
        <w:tc>
          <w:tcPr>
            <w:tcW w:w="1663" w:type="dxa"/>
            <w:tcBorders>
              <w:top w:val="single" w:color="auto" w:sz="4" w:space="0"/>
              <w:bottom w:val="single" w:color="auto" w:sz="4" w:space="0"/>
            </w:tcBorders>
            <w:vAlign w:val="center"/>
          </w:tcPr>
          <w:p w14:paraId="00B6BA5C">
            <w:pPr>
              <w:adjustRightInd w:val="0"/>
              <w:snapToGrid w:val="0"/>
              <w:spacing w:before="0"/>
              <w:jc w:val="center"/>
              <w:rPr>
                <w:b w:val="0"/>
                <w:bCs/>
                <w:snapToGrid w:val="0"/>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71ADE8D6">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0.01</w:t>
            </w:r>
          </w:p>
        </w:tc>
        <w:tc>
          <w:tcPr>
            <w:tcW w:w="1722" w:type="dxa"/>
            <w:tcBorders>
              <w:top w:val="single" w:color="auto" w:sz="4" w:space="0"/>
              <w:bottom w:val="single" w:color="auto" w:sz="4" w:space="0"/>
            </w:tcBorders>
            <w:shd w:val="clear" w:color="auto" w:fill="auto"/>
            <w:vAlign w:val="center"/>
          </w:tcPr>
          <w:p w14:paraId="176FC264">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707" w:type="dxa"/>
            <w:tcBorders>
              <w:top w:val="single" w:color="auto" w:sz="4" w:space="0"/>
              <w:bottom w:val="single" w:color="auto" w:sz="4" w:space="0"/>
            </w:tcBorders>
            <w:shd w:val="clear" w:color="auto" w:fill="auto"/>
            <w:vAlign w:val="center"/>
          </w:tcPr>
          <w:p w14:paraId="3D12E4C7">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0.01</w:t>
            </w:r>
          </w:p>
        </w:tc>
        <w:tc>
          <w:tcPr>
            <w:tcW w:w="1020" w:type="dxa"/>
            <w:tcBorders>
              <w:top w:val="single" w:color="auto" w:sz="4" w:space="0"/>
              <w:bottom w:val="single" w:color="auto" w:sz="4" w:space="0"/>
            </w:tcBorders>
            <w:shd w:val="clear" w:color="auto" w:fill="auto"/>
            <w:vAlign w:val="center"/>
          </w:tcPr>
          <w:p w14:paraId="3ED615BD">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+0.01</w:t>
            </w:r>
          </w:p>
        </w:tc>
      </w:tr>
      <w:tr w14:paraId="6548E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vAlign w:val="center"/>
          </w:tcPr>
          <w:p w14:paraId="1AA82515">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vAlign w:val="center"/>
          </w:tcPr>
          <w:p w14:paraId="79357922">
            <w:pPr>
              <w:pStyle w:val="134"/>
              <w:rPr>
                <w:b w:val="0"/>
                <w:bCs/>
                <w:snapToGrid w:val="0"/>
                <w:color w:val="000000" w:themeColor="text1"/>
                <w:kern w:val="21"/>
                <w:sz w:val="21"/>
                <w:szCs w:val="21"/>
                <w14:textFill>
                  <w14:solidFill>
                    <w14:schemeClr w14:val="tx1"/>
                  </w14:solidFill>
                </w14:textFill>
              </w:rPr>
            </w:pPr>
            <w:r>
              <w:rPr>
                <w:rFonts w:hint="default" w:ascii="Times New Roman" w:hAnsi="Times New Roman" w:eastAsia="宋体" w:cs="Times New Roman"/>
                <w:color w:val="auto"/>
                <w:lang w:val="en-US" w:eastAsia="zh-CN"/>
              </w:rPr>
              <w:t>滤尘</w:t>
            </w:r>
          </w:p>
        </w:tc>
        <w:tc>
          <w:tcPr>
            <w:tcW w:w="1386" w:type="dxa"/>
            <w:tcBorders>
              <w:top w:val="single" w:color="auto" w:sz="4" w:space="0"/>
              <w:bottom w:val="single" w:color="auto" w:sz="4" w:space="0"/>
            </w:tcBorders>
            <w:vAlign w:val="center"/>
          </w:tcPr>
          <w:p w14:paraId="15FC11E5">
            <w:pPr>
              <w:pStyle w:val="56"/>
              <w:adjustRightInd w:val="0"/>
              <w:snapToGrid w:val="0"/>
              <w:spacing w:before="0"/>
              <w:rPr>
                <w:rFonts w:hint="eastAsia" w:eastAsia="宋体"/>
                <w:b w:val="0"/>
                <w:bCs/>
                <w:snapToGrid w:val="0"/>
                <w:color w:val="000000" w:themeColor="text1"/>
                <w:kern w:val="21"/>
                <w:sz w:val="21"/>
                <w:szCs w:val="21"/>
                <w:lang w:val="en-US" w:eastAsia="zh-CN"/>
                <w14:textFill>
                  <w14:solidFill>
                    <w14:schemeClr w14:val="tx1"/>
                  </w14:solidFill>
                </w14:textFill>
              </w:rPr>
            </w:pPr>
            <w:r>
              <w:rPr>
                <w:rFonts w:hint="eastAsia"/>
                <w:b w:val="0"/>
                <w:bCs/>
                <w:snapToGrid w:val="0"/>
                <w:color w:val="000000" w:themeColor="text1"/>
                <w:kern w:val="21"/>
                <w:sz w:val="21"/>
                <w:szCs w:val="21"/>
                <w:lang w:val="en-US" w:eastAsia="zh-CN"/>
                <w14:textFill>
                  <w14:solidFill>
                    <w14:schemeClr w14:val="tx1"/>
                  </w14:solidFill>
                </w14:textFill>
              </w:rPr>
              <w:t>0</w:t>
            </w:r>
          </w:p>
        </w:tc>
        <w:tc>
          <w:tcPr>
            <w:tcW w:w="1425" w:type="dxa"/>
            <w:tcBorders>
              <w:top w:val="single" w:color="auto" w:sz="4" w:space="0"/>
              <w:bottom w:val="single" w:color="auto" w:sz="4" w:space="0"/>
            </w:tcBorders>
            <w:shd w:val="clear" w:color="auto" w:fill="auto"/>
            <w:vAlign w:val="center"/>
          </w:tcPr>
          <w:p w14:paraId="4A76C7A0">
            <w:pPr>
              <w:pStyle w:val="56"/>
              <w:adjustRightInd w:val="0"/>
              <w:snapToGrid w:val="0"/>
              <w:spacing w:before="0"/>
              <w:rPr>
                <w:rFonts w:hint="eastAsia"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b w:val="0"/>
                <w:bCs/>
                <w:snapToGrid w:val="0"/>
                <w:color w:val="000000" w:themeColor="text1"/>
                <w:kern w:val="21"/>
                <w:sz w:val="21"/>
                <w:szCs w:val="21"/>
                <w:lang w:val="en-US" w:eastAsia="zh-CN"/>
                <w14:textFill>
                  <w14:solidFill>
                    <w14:schemeClr w14:val="tx1"/>
                  </w14:solidFill>
                </w14:textFill>
              </w:rPr>
              <w:t>0</w:t>
            </w:r>
          </w:p>
        </w:tc>
        <w:tc>
          <w:tcPr>
            <w:tcW w:w="1663" w:type="dxa"/>
            <w:tcBorders>
              <w:top w:val="single" w:color="auto" w:sz="4" w:space="0"/>
              <w:bottom w:val="single" w:color="auto" w:sz="4" w:space="0"/>
            </w:tcBorders>
            <w:vAlign w:val="center"/>
          </w:tcPr>
          <w:p w14:paraId="303B93E5">
            <w:pPr>
              <w:adjustRightInd w:val="0"/>
              <w:snapToGrid w:val="0"/>
              <w:spacing w:before="0"/>
              <w:jc w:val="center"/>
              <w:rPr>
                <w:b w:val="0"/>
                <w:bCs/>
                <w:snapToGrid w:val="0"/>
                <w:color w:val="000000" w:themeColor="text1"/>
                <w:kern w:val="2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24FF0226">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0.086</w:t>
            </w:r>
          </w:p>
        </w:tc>
        <w:tc>
          <w:tcPr>
            <w:tcW w:w="1722" w:type="dxa"/>
            <w:tcBorders>
              <w:top w:val="single" w:color="auto" w:sz="4" w:space="0"/>
              <w:bottom w:val="single" w:color="auto" w:sz="4" w:space="0"/>
            </w:tcBorders>
            <w:shd w:val="clear" w:color="auto" w:fill="auto"/>
            <w:vAlign w:val="center"/>
          </w:tcPr>
          <w:p w14:paraId="6C08A128">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707" w:type="dxa"/>
            <w:tcBorders>
              <w:top w:val="single" w:color="auto" w:sz="4" w:space="0"/>
              <w:bottom w:val="single" w:color="auto" w:sz="4" w:space="0"/>
            </w:tcBorders>
            <w:shd w:val="clear" w:color="auto" w:fill="auto"/>
            <w:vAlign w:val="center"/>
          </w:tcPr>
          <w:p w14:paraId="169233AC">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0.086</w:t>
            </w:r>
          </w:p>
        </w:tc>
        <w:tc>
          <w:tcPr>
            <w:tcW w:w="1020" w:type="dxa"/>
            <w:tcBorders>
              <w:top w:val="single" w:color="auto" w:sz="4" w:space="0"/>
              <w:bottom w:val="single" w:color="auto" w:sz="4" w:space="0"/>
            </w:tcBorders>
            <w:shd w:val="clear" w:color="auto" w:fill="auto"/>
            <w:vAlign w:val="center"/>
          </w:tcPr>
          <w:p w14:paraId="1EC4724B">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+0.086</w:t>
            </w:r>
          </w:p>
        </w:tc>
      </w:tr>
      <w:tr w14:paraId="32207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vAlign w:val="center"/>
          </w:tcPr>
          <w:p w14:paraId="4B0252F6">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vAlign w:val="center"/>
          </w:tcPr>
          <w:p w14:paraId="50F33199">
            <w:pPr>
              <w:pStyle w:val="134"/>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模具</w:t>
            </w:r>
          </w:p>
        </w:tc>
        <w:tc>
          <w:tcPr>
            <w:tcW w:w="1386" w:type="dxa"/>
            <w:tcBorders>
              <w:top w:val="single" w:color="auto" w:sz="4" w:space="0"/>
              <w:bottom w:val="single" w:color="auto" w:sz="4" w:space="0"/>
            </w:tcBorders>
            <w:shd w:val="clear" w:color="auto" w:fill="auto"/>
            <w:vAlign w:val="center"/>
          </w:tcPr>
          <w:p w14:paraId="6B8D2EFB">
            <w:pPr>
              <w:pStyle w:val="56"/>
              <w:adjustRightInd w:val="0"/>
              <w:snapToGrid w:val="0"/>
              <w:spacing w:before="0"/>
              <w:rPr>
                <w:rFonts w:hint="eastAsia"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b w:val="0"/>
                <w:bCs/>
                <w:snapToGrid w:val="0"/>
                <w:color w:val="000000" w:themeColor="text1"/>
                <w:kern w:val="21"/>
                <w:sz w:val="21"/>
                <w:szCs w:val="21"/>
                <w:lang w:val="en-US" w:eastAsia="zh-CN"/>
                <w14:textFill>
                  <w14:solidFill>
                    <w14:schemeClr w14:val="tx1"/>
                  </w14:solidFill>
                </w14:textFill>
              </w:rPr>
              <w:t>0</w:t>
            </w:r>
          </w:p>
        </w:tc>
        <w:tc>
          <w:tcPr>
            <w:tcW w:w="1425" w:type="dxa"/>
            <w:tcBorders>
              <w:top w:val="single" w:color="auto" w:sz="4" w:space="0"/>
              <w:bottom w:val="single" w:color="auto" w:sz="4" w:space="0"/>
            </w:tcBorders>
            <w:shd w:val="clear" w:color="auto" w:fill="auto"/>
            <w:vAlign w:val="center"/>
          </w:tcPr>
          <w:p w14:paraId="6E02798D">
            <w:pPr>
              <w:pStyle w:val="56"/>
              <w:adjustRightInd w:val="0"/>
              <w:snapToGrid w:val="0"/>
              <w:spacing w:before="0"/>
              <w:rPr>
                <w:rFonts w:hint="eastAsia"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b w:val="0"/>
                <w:bCs/>
                <w:snapToGrid w:val="0"/>
                <w:color w:val="000000" w:themeColor="text1"/>
                <w:kern w:val="21"/>
                <w:sz w:val="21"/>
                <w:szCs w:val="21"/>
                <w:lang w:val="en-US" w:eastAsia="zh-CN"/>
                <w14:textFill>
                  <w14:solidFill>
                    <w14:schemeClr w14:val="tx1"/>
                  </w14:solidFill>
                </w14:textFill>
              </w:rPr>
              <w:t>0</w:t>
            </w:r>
          </w:p>
        </w:tc>
        <w:tc>
          <w:tcPr>
            <w:tcW w:w="1663" w:type="dxa"/>
            <w:tcBorders>
              <w:top w:val="single" w:color="auto" w:sz="4" w:space="0"/>
              <w:bottom w:val="single" w:color="auto" w:sz="4" w:space="0"/>
            </w:tcBorders>
            <w:shd w:val="clear" w:color="auto" w:fill="auto"/>
            <w:vAlign w:val="center"/>
          </w:tcPr>
          <w:p w14:paraId="533553C8">
            <w:pPr>
              <w:adjustRightInd w:val="0"/>
              <w:snapToGrid w:val="0"/>
              <w:spacing w:before="0"/>
              <w:jc w:val="center"/>
              <w:rPr>
                <w:rFonts w:hint="eastAsia"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39732046">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722" w:type="dxa"/>
            <w:tcBorders>
              <w:top w:val="single" w:color="auto" w:sz="4" w:space="0"/>
              <w:bottom w:val="single" w:color="auto" w:sz="4" w:space="0"/>
            </w:tcBorders>
            <w:shd w:val="clear" w:color="auto" w:fill="auto"/>
            <w:vAlign w:val="center"/>
          </w:tcPr>
          <w:p w14:paraId="1648DD09">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707" w:type="dxa"/>
            <w:tcBorders>
              <w:top w:val="single" w:color="auto" w:sz="4" w:space="0"/>
              <w:bottom w:val="single" w:color="auto" w:sz="4" w:space="0"/>
            </w:tcBorders>
            <w:shd w:val="clear" w:color="auto" w:fill="auto"/>
            <w:vAlign w:val="center"/>
          </w:tcPr>
          <w:p w14:paraId="7671E2A0">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020" w:type="dxa"/>
            <w:tcBorders>
              <w:top w:val="single" w:color="auto" w:sz="4" w:space="0"/>
              <w:bottom w:val="single" w:color="auto" w:sz="4" w:space="0"/>
            </w:tcBorders>
            <w:shd w:val="clear" w:color="auto" w:fill="auto"/>
            <w:vAlign w:val="center"/>
          </w:tcPr>
          <w:p w14:paraId="5A6F9D6B">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r>
      <w:tr w14:paraId="64ACE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vAlign w:val="center"/>
          </w:tcPr>
          <w:p w14:paraId="35C10EC4">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vAlign w:val="center"/>
          </w:tcPr>
          <w:p w14:paraId="333D6BDA">
            <w:pPr>
              <w:pStyle w:val="134"/>
              <w:rPr>
                <w:rFonts w:hint="eastAsia" w:ascii="Times New Roman" w:hAnsi="Times New Roman" w:eastAsia="宋体" w:cs="Times New Roman"/>
                <w:color w:val="auto"/>
                <w:lang w:val="en-US" w:eastAsia="zh-CN"/>
              </w:rPr>
            </w:pPr>
            <w:r>
              <w:rPr>
                <w:rFonts w:hint="eastAsia"/>
                <w:color w:val="auto"/>
                <w:szCs w:val="21"/>
              </w:rPr>
              <w:t>塑料</w:t>
            </w:r>
            <w:r>
              <w:rPr>
                <w:color w:val="auto"/>
                <w:szCs w:val="21"/>
              </w:rPr>
              <w:t>边角料</w:t>
            </w:r>
            <w:r>
              <w:rPr>
                <w:rFonts w:hint="eastAsia"/>
                <w:color w:val="auto"/>
                <w:szCs w:val="21"/>
                <w:lang w:eastAsia="zh-CN"/>
              </w:rPr>
              <w:t>、</w:t>
            </w:r>
            <w:r>
              <w:rPr>
                <w:rFonts w:hint="eastAsia"/>
                <w:color w:val="auto"/>
                <w:szCs w:val="21"/>
              </w:rPr>
              <w:t>不合格品</w:t>
            </w:r>
          </w:p>
        </w:tc>
        <w:tc>
          <w:tcPr>
            <w:tcW w:w="1386" w:type="dxa"/>
            <w:tcBorders>
              <w:top w:val="single" w:color="auto" w:sz="4" w:space="0"/>
              <w:bottom w:val="single" w:color="auto" w:sz="4" w:space="0"/>
            </w:tcBorders>
            <w:shd w:val="clear" w:color="auto" w:fill="auto"/>
            <w:vAlign w:val="center"/>
          </w:tcPr>
          <w:p w14:paraId="7EECF5FC">
            <w:pPr>
              <w:pStyle w:val="56"/>
              <w:adjustRightInd w:val="0"/>
              <w:snapToGrid w:val="0"/>
              <w:spacing w:before="0"/>
              <w:rPr>
                <w:rFonts w:hint="default"/>
                <w:b w:val="0"/>
                <w:bCs/>
                <w:snapToGrid w:val="0"/>
                <w:color w:val="000000" w:themeColor="text1"/>
                <w:kern w:val="21"/>
                <w:sz w:val="21"/>
                <w:szCs w:val="21"/>
                <w:lang w:val="en-US" w:eastAsia="zh-CN"/>
                <w14:textFill>
                  <w14:solidFill>
                    <w14:schemeClr w14:val="tx1"/>
                  </w14:solidFill>
                </w14:textFill>
              </w:rPr>
            </w:pPr>
            <w:r>
              <w:rPr>
                <w:rFonts w:hint="eastAsia"/>
                <w:b w:val="0"/>
                <w:bCs/>
                <w:snapToGrid w:val="0"/>
                <w:color w:val="000000" w:themeColor="text1"/>
                <w:kern w:val="21"/>
                <w:sz w:val="21"/>
                <w:szCs w:val="21"/>
                <w:lang w:val="en-US" w:eastAsia="zh-CN"/>
                <w14:textFill>
                  <w14:solidFill>
                    <w14:schemeClr w14:val="tx1"/>
                  </w14:solidFill>
                </w14:textFill>
              </w:rPr>
              <w:t>160</w:t>
            </w:r>
          </w:p>
        </w:tc>
        <w:tc>
          <w:tcPr>
            <w:tcW w:w="1425" w:type="dxa"/>
            <w:tcBorders>
              <w:top w:val="single" w:color="auto" w:sz="4" w:space="0"/>
              <w:bottom w:val="single" w:color="auto" w:sz="4" w:space="0"/>
            </w:tcBorders>
            <w:shd w:val="clear" w:color="auto" w:fill="auto"/>
            <w:vAlign w:val="center"/>
          </w:tcPr>
          <w:p w14:paraId="5A9B9546">
            <w:pPr>
              <w:pStyle w:val="56"/>
              <w:adjustRightInd w:val="0"/>
              <w:snapToGrid w:val="0"/>
              <w:spacing w:before="0"/>
              <w:rPr>
                <w:rFonts w:hint="eastAsia" w:ascii="Times New Roman" w:hAnsi="Times New Roman" w:eastAsia="宋体" w:cs="Times New Roman"/>
                <w:b w:val="0"/>
                <w:bCs/>
                <w:snapToGrid w:val="0"/>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b w:val="0"/>
                <w:bCs/>
                <w:snapToGrid w:val="0"/>
                <w:color w:val="000000" w:themeColor="text1"/>
                <w:kern w:val="21"/>
                <w:sz w:val="21"/>
                <w:szCs w:val="21"/>
                <w:lang w:val="en-US" w:eastAsia="zh-CN"/>
                <w14:textFill>
                  <w14:solidFill>
                    <w14:schemeClr w14:val="tx1"/>
                  </w14:solidFill>
                </w14:textFill>
              </w:rPr>
              <w:t>160</w:t>
            </w:r>
          </w:p>
        </w:tc>
        <w:tc>
          <w:tcPr>
            <w:tcW w:w="1663" w:type="dxa"/>
            <w:tcBorders>
              <w:top w:val="single" w:color="auto" w:sz="4" w:space="0"/>
              <w:bottom w:val="single" w:color="auto" w:sz="4" w:space="0"/>
            </w:tcBorders>
            <w:shd w:val="clear" w:color="auto" w:fill="auto"/>
            <w:vAlign w:val="center"/>
          </w:tcPr>
          <w:p w14:paraId="66B474EF">
            <w:pPr>
              <w:pStyle w:val="56"/>
              <w:adjustRightInd w:val="0"/>
              <w:snapToGrid w:val="0"/>
              <w:spacing w:before="0"/>
              <w:rPr>
                <w:rFonts w:hint="default" w:ascii="Times New Roman" w:hAnsi="Times New Roman" w:eastAsia="宋体" w:cs="Times New Roman"/>
                <w:b w:val="0"/>
                <w:bCs/>
                <w:snapToGrid w:val="0"/>
                <w:color w:val="000000" w:themeColor="text1"/>
                <w:kern w:val="21"/>
                <w:sz w:val="21"/>
                <w:szCs w:val="21"/>
                <w:lang w:val="en-US" w:eastAsia="zh-CN"/>
                <w14:textFill>
                  <w14:solidFill>
                    <w14:schemeClr w14:val="tx1"/>
                  </w14:solidFill>
                </w14:textFill>
              </w:rPr>
            </w:pPr>
            <w:r>
              <w:rPr>
                <w:rFonts w:hint="eastAsia" w:ascii="Times New Roman" w:hAnsi="Times New Roman" w:eastAsia="宋体" w:cs="Times New Roman"/>
                <w:b w:val="0"/>
                <w:bCs/>
                <w:snapToGrid w:val="0"/>
                <w:color w:val="000000" w:themeColor="text1"/>
                <w:kern w:val="2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vAlign w:val="center"/>
          </w:tcPr>
          <w:p w14:paraId="4872A670">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56.35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w:t>
            </w:r>
          </w:p>
        </w:tc>
        <w:tc>
          <w:tcPr>
            <w:tcW w:w="1722" w:type="dxa"/>
            <w:tcBorders>
              <w:top w:val="single" w:color="auto" w:sz="4" w:space="0"/>
              <w:bottom w:val="single" w:color="auto" w:sz="4" w:space="0"/>
            </w:tcBorders>
            <w:shd w:val="clear" w:color="auto" w:fill="auto"/>
            <w:vAlign w:val="center"/>
          </w:tcPr>
          <w:p w14:paraId="1C2CF2F7">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216.356</w:t>
            </w:r>
          </w:p>
        </w:tc>
        <w:tc>
          <w:tcPr>
            <w:tcW w:w="1707" w:type="dxa"/>
            <w:tcBorders>
              <w:top w:val="single" w:color="auto" w:sz="4" w:space="0"/>
              <w:bottom w:val="single" w:color="auto" w:sz="4" w:space="0"/>
            </w:tcBorders>
            <w:shd w:val="clear" w:color="auto" w:fill="auto"/>
            <w:vAlign w:val="center"/>
          </w:tcPr>
          <w:p w14:paraId="0FEDBFDA">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020" w:type="dxa"/>
            <w:tcBorders>
              <w:top w:val="single" w:color="auto" w:sz="4" w:space="0"/>
              <w:bottom w:val="single" w:color="auto" w:sz="4" w:space="0"/>
            </w:tcBorders>
            <w:shd w:val="clear" w:color="auto" w:fill="auto"/>
            <w:vAlign w:val="center"/>
          </w:tcPr>
          <w:p w14:paraId="34E2E6A2">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-160</w:t>
            </w:r>
          </w:p>
        </w:tc>
      </w:tr>
      <w:tr w14:paraId="6CC80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restart"/>
            <w:tcBorders>
              <w:top w:val="single" w:color="auto" w:sz="4" w:space="0"/>
              <w:bottom w:val="single" w:color="auto" w:sz="4" w:space="0"/>
            </w:tcBorders>
            <w:vAlign w:val="center"/>
          </w:tcPr>
          <w:p w14:paraId="47A9164E">
            <w:pPr>
              <w:pStyle w:val="56"/>
              <w:adjustRightInd w:val="0"/>
              <w:snapToGrid w:val="0"/>
              <w:spacing w:before="0"/>
              <w:rPr>
                <w:b w:val="0"/>
                <w:bCs/>
                <w:snapToGrid w:val="0"/>
                <w:color w:val="000000" w:themeColor="text1"/>
                <w:kern w:val="21"/>
                <w:sz w:val="21"/>
                <w:szCs w:val="21"/>
                <w14:textFill>
                  <w14:solidFill>
                    <w14:schemeClr w14:val="tx1"/>
                  </w14:solidFill>
                </w14:textFill>
              </w:rPr>
            </w:pPr>
            <w:r>
              <w:rPr>
                <w:b w:val="0"/>
                <w:bCs/>
                <w:snapToGrid w:val="0"/>
                <w:color w:val="000000" w:themeColor="text1"/>
                <w:kern w:val="21"/>
                <w:sz w:val="21"/>
                <w:szCs w:val="21"/>
                <w14:textFill>
                  <w14:solidFill>
                    <w14:schemeClr w14:val="tx1"/>
                  </w14:solidFill>
                </w14:textFill>
              </w:rPr>
              <w:t>危险废物</w:t>
            </w:r>
          </w:p>
        </w:tc>
        <w:tc>
          <w:tcPr>
            <w:tcW w:w="1389" w:type="dxa"/>
            <w:tcBorders>
              <w:top w:val="single" w:color="auto" w:sz="4" w:space="0"/>
              <w:bottom w:val="single" w:color="auto" w:sz="4" w:space="0"/>
            </w:tcBorders>
            <w:shd w:val="clear" w:color="auto" w:fill="auto"/>
            <w:vAlign w:val="center"/>
          </w:tcPr>
          <w:p w14:paraId="0A771F13">
            <w:pPr>
              <w:pStyle w:val="56"/>
              <w:adjustRightInd w:val="0"/>
              <w:snapToGrid w:val="0"/>
              <w:spacing w:before="0"/>
              <w:rPr>
                <w:rFonts w:hint="default"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cs="Times New Roman"/>
                <w:b w:val="0"/>
                <w:bCs/>
                <w:snapToGrid w:val="0"/>
                <w:color w:val="000000" w:themeColor="text1"/>
                <w:kern w:val="21"/>
                <w:sz w:val="21"/>
                <w:szCs w:val="21"/>
                <w:lang w:val="en-US" w:eastAsia="zh-CN" w:bidi="ar-SA"/>
                <w14:textFill>
                  <w14:solidFill>
                    <w14:schemeClr w14:val="tx1"/>
                  </w14:solidFill>
                </w14:textFill>
              </w:rPr>
              <w:t>废活性炭</w:t>
            </w:r>
          </w:p>
        </w:tc>
        <w:tc>
          <w:tcPr>
            <w:tcW w:w="1386" w:type="dxa"/>
            <w:tcBorders>
              <w:top w:val="single" w:color="auto" w:sz="4" w:space="0"/>
              <w:bottom w:val="single" w:color="auto" w:sz="4" w:space="0"/>
            </w:tcBorders>
            <w:shd w:val="clear" w:color="auto" w:fill="auto"/>
            <w:vAlign w:val="center"/>
          </w:tcPr>
          <w:p w14:paraId="24F7C64B">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2.439</w:t>
            </w:r>
          </w:p>
        </w:tc>
        <w:tc>
          <w:tcPr>
            <w:tcW w:w="1425" w:type="dxa"/>
            <w:tcBorders>
              <w:top w:val="single" w:color="auto" w:sz="4" w:space="0"/>
              <w:bottom w:val="single" w:color="auto" w:sz="4" w:space="0"/>
            </w:tcBorders>
            <w:shd w:val="clear" w:color="auto" w:fill="auto"/>
            <w:vAlign w:val="center"/>
          </w:tcPr>
          <w:p w14:paraId="6A8BAF7F">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2.439</w:t>
            </w:r>
          </w:p>
        </w:tc>
        <w:tc>
          <w:tcPr>
            <w:tcW w:w="1663" w:type="dxa"/>
            <w:tcBorders>
              <w:top w:val="single" w:color="auto" w:sz="4" w:space="0"/>
              <w:bottom w:val="single" w:color="auto" w:sz="4" w:space="0"/>
            </w:tcBorders>
            <w:shd w:val="clear" w:color="auto" w:fill="auto"/>
            <w:vAlign w:val="center"/>
          </w:tcPr>
          <w:p w14:paraId="7CB2C7F2">
            <w:pPr>
              <w:adjustRightInd w:val="0"/>
              <w:snapToGrid w:val="0"/>
              <w:spacing w:before="0"/>
              <w:jc w:val="center"/>
              <w:rPr>
                <w:rFonts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shd w:val="clear" w:color="auto" w:fill="auto"/>
            <w:vAlign w:val="center"/>
          </w:tcPr>
          <w:p w14:paraId="723B84DC">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12.3017</w:t>
            </w:r>
          </w:p>
        </w:tc>
        <w:tc>
          <w:tcPr>
            <w:tcW w:w="1722" w:type="dxa"/>
            <w:tcBorders>
              <w:top w:val="single" w:color="auto" w:sz="4" w:space="0"/>
              <w:bottom w:val="single" w:color="auto" w:sz="4" w:space="0"/>
            </w:tcBorders>
            <w:shd w:val="clear" w:color="auto" w:fill="auto"/>
            <w:vAlign w:val="center"/>
          </w:tcPr>
          <w:p w14:paraId="2F67B26B">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2.439</w:t>
            </w:r>
          </w:p>
        </w:tc>
        <w:tc>
          <w:tcPr>
            <w:tcW w:w="1707" w:type="dxa"/>
            <w:tcBorders>
              <w:top w:val="single" w:color="auto" w:sz="4" w:space="0"/>
              <w:bottom w:val="single" w:color="auto" w:sz="4" w:space="0"/>
            </w:tcBorders>
            <w:shd w:val="clear" w:color="auto" w:fill="auto"/>
            <w:vAlign w:val="center"/>
          </w:tcPr>
          <w:p w14:paraId="30A8C908">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12.3017</w:t>
            </w:r>
          </w:p>
        </w:tc>
        <w:tc>
          <w:tcPr>
            <w:tcW w:w="1020" w:type="dxa"/>
            <w:tcBorders>
              <w:top w:val="single" w:color="auto" w:sz="4" w:space="0"/>
              <w:bottom w:val="single" w:color="auto" w:sz="4" w:space="0"/>
            </w:tcBorders>
            <w:vAlign w:val="center"/>
          </w:tcPr>
          <w:p w14:paraId="6CE69E51">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+9.8627</w:t>
            </w:r>
          </w:p>
        </w:tc>
      </w:tr>
      <w:tr w14:paraId="27EFF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tcBorders>
              <w:top w:val="single" w:color="auto" w:sz="4" w:space="0"/>
              <w:bottom w:val="single" w:color="auto" w:sz="4" w:space="0"/>
            </w:tcBorders>
            <w:vAlign w:val="center"/>
          </w:tcPr>
          <w:p w14:paraId="6A47699E">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shd w:val="clear" w:color="auto" w:fill="auto"/>
            <w:vAlign w:val="center"/>
          </w:tcPr>
          <w:p w14:paraId="018702B8">
            <w:pPr>
              <w:pStyle w:val="56"/>
              <w:adjustRightInd w:val="0"/>
              <w:snapToGrid w:val="0"/>
              <w:spacing w:before="0"/>
              <w:rPr>
                <w:rFonts w:hint="default"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cs="Times New Roman"/>
                <w:b w:val="0"/>
                <w:bCs/>
                <w:snapToGrid w:val="0"/>
                <w:color w:val="000000" w:themeColor="text1"/>
                <w:kern w:val="21"/>
                <w:sz w:val="21"/>
                <w:szCs w:val="21"/>
                <w:lang w:val="en-US" w:eastAsia="zh-CN" w:bidi="ar-SA"/>
                <w14:textFill>
                  <w14:solidFill>
                    <w14:schemeClr w14:val="tx1"/>
                  </w14:solidFill>
                </w14:textFill>
              </w:rPr>
              <w:t>废机油</w:t>
            </w:r>
          </w:p>
        </w:tc>
        <w:tc>
          <w:tcPr>
            <w:tcW w:w="1386" w:type="dxa"/>
            <w:tcBorders>
              <w:top w:val="single" w:color="auto" w:sz="4" w:space="0"/>
              <w:bottom w:val="single" w:color="auto" w:sz="4" w:space="0"/>
            </w:tcBorders>
            <w:shd w:val="clear" w:color="auto" w:fill="auto"/>
            <w:vAlign w:val="center"/>
          </w:tcPr>
          <w:p w14:paraId="12CE4A58">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0.1</w:t>
            </w:r>
          </w:p>
        </w:tc>
        <w:tc>
          <w:tcPr>
            <w:tcW w:w="1425" w:type="dxa"/>
            <w:tcBorders>
              <w:top w:val="single" w:color="auto" w:sz="4" w:space="0"/>
              <w:bottom w:val="single" w:color="auto" w:sz="4" w:space="0"/>
            </w:tcBorders>
            <w:shd w:val="clear" w:color="auto" w:fill="auto"/>
            <w:vAlign w:val="center"/>
          </w:tcPr>
          <w:p w14:paraId="63BE795B">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0.1</w:t>
            </w:r>
          </w:p>
        </w:tc>
        <w:tc>
          <w:tcPr>
            <w:tcW w:w="1663" w:type="dxa"/>
            <w:tcBorders>
              <w:top w:val="single" w:color="auto" w:sz="4" w:space="0"/>
              <w:bottom w:val="single" w:color="auto" w:sz="4" w:space="0"/>
            </w:tcBorders>
            <w:shd w:val="clear" w:color="auto" w:fill="auto"/>
            <w:vAlign w:val="center"/>
          </w:tcPr>
          <w:p w14:paraId="5B4531A6">
            <w:pPr>
              <w:adjustRightInd w:val="0"/>
              <w:snapToGrid w:val="0"/>
              <w:spacing w:before="0"/>
              <w:jc w:val="center"/>
              <w:rPr>
                <w:rFonts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shd w:val="clear" w:color="auto" w:fill="auto"/>
            <w:vAlign w:val="center"/>
          </w:tcPr>
          <w:p w14:paraId="3AD3BC9B">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0.1</w:t>
            </w:r>
          </w:p>
        </w:tc>
        <w:tc>
          <w:tcPr>
            <w:tcW w:w="1722" w:type="dxa"/>
            <w:tcBorders>
              <w:top w:val="single" w:color="auto" w:sz="4" w:space="0"/>
              <w:bottom w:val="single" w:color="auto" w:sz="4" w:space="0"/>
            </w:tcBorders>
            <w:shd w:val="clear" w:color="auto" w:fill="auto"/>
            <w:vAlign w:val="center"/>
          </w:tcPr>
          <w:p w14:paraId="39E8D8F4">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0.1</w:t>
            </w:r>
          </w:p>
        </w:tc>
        <w:tc>
          <w:tcPr>
            <w:tcW w:w="1707" w:type="dxa"/>
            <w:tcBorders>
              <w:top w:val="single" w:color="auto" w:sz="4" w:space="0"/>
              <w:bottom w:val="single" w:color="auto" w:sz="4" w:space="0"/>
            </w:tcBorders>
            <w:shd w:val="clear" w:color="auto" w:fill="auto"/>
            <w:vAlign w:val="center"/>
          </w:tcPr>
          <w:p w14:paraId="30C50450">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0.1</w:t>
            </w:r>
          </w:p>
        </w:tc>
        <w:tc>
          <w:tcPr>
            <w:tcW w:w="1020" w:type="dxa"/>
            <w:tcBorders>
              <w:top w:val="single" w:color="auto" w:sz="4" w:space="0"/>
              <w:bottom w:val="single" w:color="auto" w:sz="4" w:space="0"/>
            </w:tcBorders>
            <w:vAlign w:val="center"/>
          </w:tcPr>
          <w:p w14:paraId="3906437B">
            <w:pPr>
              <w:pStyle w:val="8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r>
      <w:tr w14:paraId="126BE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5" w:type="dxa"/>
            <w:vMerge w:val="continue"/>
            <w:tcBorders>
              <w:top w:val="single" w:color="auto" w:sz="4" w:space="0"/>
              <w:bottom w:val="single" w:color="auto" w:sz="4" w:space="0"/>
            </w:tcBorders>
            <w:vAlign w:val="center"/>
          </w:tcPr>
          <w:p w14:paraId="798C1FCC">
            <w:pPr>
              <w:pStyle w:val="56"/>
              <w:adjustRightInd w:val="0"/>
              <w:snapToGrid w:val="0"/>
              <w:spacing w:before="0"/>
              <w:rPr>
                <w:b w:val="0"/>
                <w:bCs/>
                <w:snapToGrid w:val="0"/>
                <w:color w:val="000000" w:themeColor="text1"/>
                <w:kern w:val="21"/>
                <w:sz w:val="21"/>
                <w:szCs w:val="21"/>
                <w14:textFill>
                  <w14:solidFill>
                    <w14:schemeClr w14:val="tx1"/>
                  </w14:solidFill>
                </w14:textFill>
              </w:rPr>
            </w:pPr>
          </w:p>
        </w:tc>
        <w:tc>
          <w:tcPr>
            <w:tcW w:w="1389" w:type="dxa"/>
            <w:tcBorders>
              <w:top w:val="single" w:color="auto" w:sz="4" w:space="0"/>
              <w:bottom w:val="single" w:color="auto" w:sz="4" w:space="0"/>
            </w:tcBorders>
            <w:shd w:val="clear" w:color="auto" w:fill="auto"/>
            <w:vAlign w:val="center"/>
          </w:tcPr>
          <w:p w14:paraId="616D095D">
            <w:pPr>
              <w:pStyle w:val="56"/>
              <w:adjustRightInd w:val="0"/>
              <w:snapToGrid w:val="0"/>
              <w:spacing w:before="0"/>
              <w:rPr>
                <w:rFonts w:hint="default"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cs="Times New Roman"/>
                <w:b w:val="0"/>
                <w:bCs/>
                <w:snapToGrid w:val="0"/>
                <w:color w:val="000000" w:themeColor="text1"/>
                <w:kern w:val="21"/>
                <w:sz w:val="21"/>
                <w:szCs w:val="21"/>
                <w:lang w:val="en-US" w:eastAsia="zh-CN" w:bidi="ar-SA"/>
                <w14:textFill>
                  <w14:solidFill>
                    <w14:schemeClr w14:val="tx1"/>
                  </w14:solidFill>
                </w14:textFill>
              </w:rPr>
              <w:t>废油桶</w:t>
            </w:r>
          </w:p>
        </w:tc>
        <w:tc>
          <w:tcPr>
            <w:tcW w:w="1386" w:type="dxa"/>
            <w:tcBorders>
              <w:top w:val="single" w:color="auto" w:sz="4" w:space="0"/>
              <w:bottom w:val="single" w:color="auto" w:sz="4" w:space="0"/>
            </w:tcBorders>
            <w:shd w:val="clear" w:color="auto" w:fill="auto"/>
            <w:vAlign w:val="center"/>
          </w:tcPr>
          <w:p w14:paraId="5D199363">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0.01</w:t>
            </w:r>
          </w:p>
        </w:tc>
        <w:tc>
          <w:tcPr>
            <w:tcW w:w="1425" w:type="dxa"/>
            <w:tcBorders>
              <w:top w:val="single" w:color="auto" w:sz="4" w:space="0"/>
              <w:bottom w:val="single" w:color="auto" w:sz="4" w:space="0"/>
            </w:tcBorders>
            <w:shd w:val="clear" w:color="auto" w:fill="auto"/>
            <w:vAlign w:val="center"/>
          </w:tcPr>
          <w:p w14:paraId="79D90BCA">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0.01</w:t>
            </w:r>
          </w:p>
        </w:tc>
        <w:tc>
          <w:tcPr>
            <w:tcW w:w="1663" w:type="dxa"/>
            <w:tcBorders>
              <w:top w:val="single" w:color="auto" w:sz="4" w:space="0"/>
              <w:bottom w:val="single" w:color="auto" w:sz="4" w:space="0"/>
            </w:tcBorders>
            <w:shd w:val="clear" w:color="auto" w:fill="auto"/>
            <w:vAlign w:val="center"/>
          </w:tcPr>
          <w:p w14:paraId="0E8A505E">
            <w:pPr>
              <w:adjustRightInd w:val="0"/>
              <w:snapToGrid w:val="0"/>
              <w:spacing w:before="0"/>
              <w:jc w:val="center"/>
              <w:rPr>
                <w:rFonts w:ascii="Times New Roman" w:hAnsi="Times New Roman" w:eastAsia="宋体" w:cs="Times New Roman"/>
                <w:b w:val="0"/>
                <w:bCs/>
                <w:snapToGrid w:val="0"/>
                <w:color w:val="000000" w:themeColor="text1"/>
                <w:kern w:val="2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c>
          <w:tcPr>
            <w:tcW w:w="1526" w:type="dxa"/>
            <w:tcBorders>
              <w:top w:val="single" w:color="auto" w:sz="4" w:space="0"/>
              <w:bottom w:val="single" w:color="auto" w:sz="4" w:space="0"/>
            </w:tcBorders>
            <w:shd w:val="clear" w:color="auto" w:fill="auto"/>
            <w:vAlign w:val="center"/>
          </w:tcPr>
          <w:p w14:paraId="10C3A372">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0.008</w:t>
            </w:r>
          </w:p>
        </w:tc>
        <w:tc>
          <w:tcPr>
            <w:tcW w:w="1722" w:type="dxa"/>
            <w:tcBorders>
              <w:top w:val="single" w:color="auto" w:sz="4" w:space="0"/>
              <w:bottom w:val="single" w:color="auto" w:sz="4" w:space="0"/>
            </w:tcBorders>
            <w:shd w:val="clear" w:color="auto" w:fill="auto"/>
            <w:vAlign w:val="center"/>
          </w:tcPr>
          <w:p w14:paraId="61582C89">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0.01</w:t>
            </w:r>
          </w:p>
        </w:tc>
        <w:tc>
          <w:tcPr>
            <w:tcW w:w="1707" w:type="dxa"/>
            <w:tcBorders>
              <w:top w:val="single" w:color="auto" w:sz="4" w:space="0"/>
              <w:bottom w:val="single" w:color="auto" w:sz="4" w:space="0"/>
            </w:tcBorders>
            <w:shd w:val="clear" w:color="auto" w:fill="auto"/>
            <w:vAlign w:val="center"/>
          </w:tcPr>
          <w:p w14:paraId="68ABD82B">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0.008</w:t>
            </w:r>
          </w:p>
        </w:tc>
        <w:tc>
          <w:tcPr>
            <w:tcW w:w="1020" w:type="dxa"/>
            <w:tcBorders>
              <w:top w:val="single" w:color="auto" w:sz="4" w:space="0"/>
              <w:bottom w:val="single" w:color="auto" w:sz="4" w:space="0"/>
            </w:tcBorders>
            <w:vAlign w:val="center"/>
          </w:tcPr>
          <w:p w14:paraId="4EC3C26A">
            <w:pPr>
              <w:pStyle w:val="80"/>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-0.002</w:t>
            </w:r>
          </w:p>
        </w:tc>
      </w:tr>
    </w:tbl>
    <w:p w14:paraId="7D36CEE8">
      <w:pPr>
        <w:pStyle w:val="56"/>
        <w:adjustRightInd w:val="0"/>
        <w:snapToGrid w:val="0"/>
        <w:spacing w:before="0"/>
        <w:jc w:val="both"/>
        <w:rPr>
          <w:rFonts w:hAnsi="宋体"/>
          <w:b w:val="0"/>
          <w:bCs/>
          <w:snapToGrid w:val="0"/>
          <w:color w:val="000000" w:themeColor="text1"/>
          <w:kern w:val="21"/>
          <w:sz w:val="21"/>
          <w:szCs w:val="21"/>
          <w14:textFill>
            <w14:solidFill>
              <w14:schemeClr w14:val="tx1"/>
            </w14:solidFill>
          </w14:textFill>
        </w:rPr>
      </w:pPr>
    </w:p>
    <w:p w14:paraId="5C617812">
      <w:pPr>
        <w:pStyle w:val="56"/>
        <w:adjustRightInd w:val="0"/>
        <w:snapToGrid w:val="0"/>
        <w:spacing w:before="0"/>
        <w:jc w:val="both"/>
        <w:rPr>
          <w:rFonts w:hAnsi="宋体"/>
          <w:b w:val="0"/>
          <w:bCs/>
          <w:snapToGrid w:val="0"/>
          <w:color w:val="000000" w:themeColor="text1"/>
          <w:spacing w:val="-6"/>
          <w:kern w:val="21"/>
          <w:sz w:val="21"/>
          <w:szCs w:val="21"/>
          <w14:textFill>
            <w14:solidFill>
              <w14:schemeClr w14:val="tx1"/>
            </w14:solidFill>
          </w14:textFill>
        </w:rPr>
      </w:pPr>
      <w:r>
        <w:rPr>
          <w:rFonts w:hAnsi="宋体"/>
          <w:b w:val="0"/>
          <w:bCs/>
          <w:snapToGrid w:val="0"/>
          <w:color w:val="000000" w:themeColor="text1"/>
          <w:kern w:val="21"/>
          <w:sz w:val="21"/>
          <w:szCs w:val="21"/>
          <w14:textFill>
            <w14:solidFill>
              <w14:schemeClr w14:val="tx1"/>
            </w14:solidFill>
          </w14:textFill>
        </w:rPr>
        <w:t>注：</w:t>
      </w:r>
      <w:r>
        <w:rPr>
          <w:rFonts w:hAnsi="宋体"/>
          <w:b w:val="0"/>
          <w:bCs/>
          <w:snapToGrid w:val="0"/>
          <w:color w:val="000000" w:themeColor="text1"/>
          <w:spacing w:val="-16"/>
          <w:kern w:val="21"/>
          <w:sz w:val="21"/>
          <w:szCs w:val="21"/>
          <w14:textFill>
            <w14:solidFill>
              <w14:schemeClr w14:val="tx1"/>
            </w14:solidFill>
          </w14:textFill>
        </w:rPr>
        <w:fldChar w:fldCharType="begin"/>
      </w:r>
      <w:r>
        <w:rPr>
          <w:rFonts w:hAnsi="宋体"/>
          <w:b w:val="0"/>
          <w:bCs/>
          <w:snapToGrid w:val="0"/>
          <w:color w:val="000000" w:themeColor="text1"/>
          <w:spacing w:val="-16"/>
          <w:kern w:val="21"/>
          <w:sz w:val="21"/>
          <w:szCs w:val="21"/>
          <w14:textFill>
            <w14:solidFill>
              <w14:schemeClr w14:val="tx1"/>
            </w14:solidFill>
          </w14:textFill>
        </w:rPr>
        <w:instrText xml:space="preserve"> = 6 \* GB3 \* MERGEFORMAT </w:instrText>
      </w:r>
      <w:r>
        <w:rPr>
          <w:rFonts w:hAnsi="宋体"/>
          <w:b w:val="0"/>
          <w:bCs/>
          <w:snapToGrid w:val="0"/>
          <w:color w:val="000000" w:themeColor="text1"/>
          <w:spacing w:val="-16"/>
          <w:kern w:val="21"/>
          <w:sz w:val="21"/>
          <w:szCs w:val="21"/>
          <w14:textFill>
            <w14:solidFill>
              <w14:schemeClr w14:val="tx1"/>
            </w14:solidFill>
          </w14:textFill>
        </w:rPr>
        <w:fldChar w:fldCharType="separate"/>
      </w:r>
      <w:r>
        <w:rPr>
          <w:rFonts w:hint="eastAsia" w:hAnsi="宋体"/>
          <w:b w:val="0"/>
          <w:bCs/>
          <w:color w:val="000000" w:themeColor="text1"/>
          <w:sz w:val="21"/>
          <w:szCs w:val="21"/>
          <w14:textFill>
            <w14:solidFill>
              <w14:schemeClr w14:val="tx1"/>
            </w14:solidFill>
          </w14:textFill>
        </w:rPr>
        <w:t>⑥</w:t>
      </w:r>
      <w:r>
        <w:rPr>
          <w:rFonts w:hAnsi="宋体"/>
          <w:b w:val="0"/>
          <w:bCs/>
          <w:snapToGrid w:val="0"/>
          <w:color w:val="000000" w:themeColor="text1"/>
          <w:spacing w:val="-16"/>
          <w:kern w:val="21"/>
          <w:sz w:val="21"/>
          <w:szCs w:val="21"/>
          <w14:textFill>
            <w14:solidFill>
              <w14:schemeClr w14:val="tx1"/>
            </w14:solidFill>
          </w14:textFill>
        </w:rPr>
        <w:fldChar w:fldCharType="end"/>
      </w:r>
      <w:r>
        <w:rPr>
          <w:rFonts w:hAnsi="宋体"/>
          <w:b w:val="0"/>
          <w:bCs/>
          <w:snapToGrid w:val="0"/>
          <w:color w:val="000000" w:themeColor="text1"/>
          <w:spacing w:val="-16"/>
          <w:kern w:val="21"/>
          <w:sz w:val="21"/>
          <w:szCs w:val="21"/>
          <w14:textFill>
            <w14:solidFill>
              <w14:schemeClr w14:val="tx1"/>
            </w14:solidFill>
          </w14:textFill>
        </w:rPr>
        <w:t>=</w:t>
      </w:r>
      <w:r>
        <w:rPr>
          <w:rFonts w:hAnsi="宋体"/>
          <w:b w:val="0"/>
          <w:bCs/>
          <w:snapToGrid w:val="0"/>
          <w:color w:val="000000" w:themeColor="text1"/>
          <w:spacing w:val="-6"/>
          <w:kern w:val="21"/>
          <w:sz w:val="21"/>
          <w:szCs w:val="21"/>
          <w14:textFill>
            <w14:solidFill>
              <w14:schemeClr w14:val="tx1"/>
            </w14:solidFill>
          </w14:textFill>
        </w:rPr>
        <w:fldChar w:fldCharType="begin"/>
      </w:r>
      <w:r>
        <w:rPr>
          <w:rFonts w:hAnsi="宋体"/>
          <w:b w:val="0"/>
          <w:bCs/>
          <w:snapToGrid w:val="0"/>
          <w:color w:val="000000" w:themeColor="text1"/>
          <w:spacing w:val="-6"/>
          <w:kern w:val="21"/>
          <w:sz w:val="21"/>
          <w:szCs w:val="21"/>
          <w14:textFill>
            <w14:solidFill>
              <w14:schemeClr w14:val="tx1"/>
            </w14:solidFill>
          </w14:textFill>
        </w:rPr>
        <w:instrText xml:space="preserve"> = 1 \* GB3 \* MERGEFORMAT </w:instrText>
      </w:r>
      <w:r>
        <w:rPr>
          <w:rFonts w:hAnsi="宋体"/>
          <w:b w:val="0"/>
          <w:bCs/>
          <w:snapToGrid w:val="0"/>
          <w:color w:val="000000" w:themeColor="text1"/>
          <w:spacing w:val="-6"/>
          <w:kern w:val="21"/>
          <w:sz w:val="21"/>
          <w:szCs w:val="21"/>
          <w14:textFill>
            <w14:solidFill>
              <w14:schemeClr w14:val="tx1"/>
            </w14:solidFill>
          </w14:textFill>
        </w:rPr>
        <w:fldChar w:fldCharType="separate"/>
      </w:r>
      <w:r>
        <w:rPr>
          <w:rFonts w:hint="eastAsia" w:hAnsi="宋体"/>
          <w:b w:val="0"/>
          <w:bCs/>
          <w:color w:val="000000" w:themeColor="text1"/>
          <w:sz w:val="21"/>
          <w:szCs w:val="21"/>
          <w14:textFill>
            <w14:solidFill>
              <w14:schemeClr w14:val="tx1"/>
            </w14:solidFill>
          </w14:textFill>
        </w:rPr>
        <w:t>①</w:t>
      </w:r>
      <w:r>
        <w:rPr>
          <w:rFonts w:hAnsi="宋体"/>
          <w:b w:val="0"/>
          <w:bCs/>
          <w:snapToGrid w:val="0"/>
          <w:color w:val="000000" w:themeColor="text1"/>
          <w:spacing w:val="-6"/>
          <w:kern w:val="21"/>
          <w:sz w:val="21"/>
          <w:szCs w:val="21"/>
          <w14:textFill>
            <w14:solidFill>
              <w14:schemeClr w14:val="tx1"/>
            </w14:solidFill>
          </w14:textFill>
        </w:rPr>
        <w:fldChar w:fldCharType="end"/>
      </w:r>
      <w:r>
        <w:rPr>
          <w:rFonts w:hAnsi="宋体"/>
          <w:b w:val="0"/>
          <w:bCs/>
          <w:snapToGrid w:val="0"/>
          <w:color w:val="000000" w:themeColor="text1"/>
          <w:spacing w:val="-6"/>
          <w:kern w:val="21"/>
          <w:sz w:val="21"/>
          <w:szCs w:val="21"/>
          <w14:textFill>
            <w14:solidFill>
              <w14:schemeClr w14:val="tx1"/>
            </w14:solidFill>
          </w14:textFill>
        </w:rPr>
        <w:t>+</w:t>
      </w:r>
      <w:r>
        <w:rPr>
          <w:rFonts w:hAnsi="宋体"/>
          <w:b w:val="0"/>
          <w:bCs/>
          <w:snapToGrid w:val="0"/>
          <w:color w:val="000000" w:themeColor="text1"/>
          <w:spacing w:val="-6"/>
          <w:kern w:val="21"/>
          <w:sz w:val="21"/>
          <w:szCs w:val="21"/>
          <w14:textFill>
            <w14:solidFill>
              <w14:schemeClr w14:val="tx1"/>
            </w14:solidFill>
          </w14:textFill>
        </w:rPr>
        <w:fldChar w:fldCharType="begin"/>
      </w:r>
      <w:r>
        <w:rPr>
          <w:rFonts w:hAnsi="宋体"/>
          <w:b w:val="0"/>
          <w:bCs/>
          <w:snapToGrid w:val="0"/>
          <w:color w:val="000000" w:themeColor="text1"/>
          <w:spacing w:val="-6"/>
          <w:kern w:val="21"/>
          <w:sz w:val="21"/>
          <w:szCs w:val="21"/>
          <w14:textFill>
            <w14:solidFill>
              <w14:schemeClr w14:val="tx1"/>
            </w14:solidFill>
          </w14:textFill>
        </w:rPr>
        <w:instrText xml:space="preserve"> = 3 \* GB3 \* MERGEFORMAT </w:instrText>
      </w:r>
      <w:r>
        <w:rPr>
          <w:rFonts w:hAnsi="宋体"/>
          <w:b w:val="0"/>
          <w:bCs/>
          <w:snapToGrid w:val="0"/>
          <w:color w:val="000000" w:themeColor="text1"/>
          <w:spacing w:val="-6"/>
          <w:kern w:val="21"/>
          <w:sz w:val="21"/>
          <w:szCs w:val="21"/>
          <w14:textFill>
            <w14:solidFill>
              <w14:schemeClr w14:val="tx1"/>
            </w14:solidFill>
          </w14:textFill>
        </w:rPr>
        <w:fldChar w:fldCharType="separate"/>
      </w:r>
      <w:r>
        <w:rPr>
          <w:rFonts w:hint="eastAsia" w:hAnsi="宋体"/>
          <w:b w:val="0"/>
          <w:bCs/>
          <w:color w:val="000000" w:themeColor="text1"/>
          <w:sz w:val="21"/>
          <w:szCs w:val="21"/>
          <w14:textFill>
            <w14:solidFill>
              <w14:schemeClr w14:val="tx1"/>
            </w14:solidFill>
          </w14:textFill>
        </w:rPr>
        <w:t>③</w:t>
      </w:r>
      <w:r>
        <w:rPr>
          <w:rFonts w:hAnsi="宋体"/>
          <w:b w:val="0"/>
          <w:bCs/>
          <w:snapToGrid w:val="0"/>
          <w:color w:val="000000" w:themeColor="text1"/>
          <w:spacing w:val="-6"/>
          <w:kern w:val="21"/>
          <w:sz w:val="21"/>
          <w:szCs w:val="21"/>
          <w14:textFill>
            <w14:solidFill>
              <w14:schemeClr w14:val="tx1"/>
            </w14:solidFill>
          </w14:textFill>
        </w:rPr>
        <w:fldChar w:fldCharType="end"/>
      </w:r>
      <w:r>
        <w:rPr>
          <w:rFonts w:hAnsi="宋体"/>
          <w:b w:val="0"/>
          <w:bCs/>
          <w:snapToGrid w:val="0"/>
          <w:color w:val="000000" w:themeColor="text1"/>
          <w:spacing w:val="-6"/>
          <w:kern w:val="21"/>
          <w:sz w:val="21"/>
          <w:szCs w:val="21"/>
          <w14:textFill>
            <w14:solidFill>
              <w14:schemeClr w14:val="tx1"/>
            </w14:solidFill>
          </w14:textFill>
        </w:rPr>
        <w:t>+</w:t>
      </w:r>
      <w:r>
        <w:rPr>
          <w:rFonts w:hAnsi="宋体"/>
          <w:b w:val="0"/>
          <w:bCs/>
          <w:snapToGrid w:val="0"/>
          <w:color w:val="000000" w:themeColor="text1"/>
          <w:spacing w:val="-6"/>
          <w:kern w:val="21"/>
          <w:sz w:val="21"/>
          <w:szCs w:val="21"/>
          <w14:textFill>
            <w14:solidFill>
              <w14:schemeClr w14:val="tx1"/>
            </w14:solidFill>
          </w14:textFill>
        </w:rPr>
        <w:fldChar w:fldCharType="begin"/>
      </w:r>
      <w:r>
        <w:rPr>
          <w:rFonts w:hAnsi="宋体"/>
          <w:b w:val="0"/>
          <w:bCs/>
          <w:snapToGrid w:val="0"/>
          <w:color w:val="000000" w:themeColor="text1"/>
          <w:spacing w:val="-6"/>
          <w:kern w:val="21"/>
          <w:sz w:val="21"/>
          <w:szCs w:val="21"/>
          <w14:textFill>
            <w14:solidFill>
              <w14:schemeClr w14:val="tx1"/>
            </w14:solidFill>
          </w14:textFill>
        </w:rPr>
        <w:instrText xml:space="preserve"> = 4 \* GB3 \* MERGEFORMAT </w:instrText>
      </w:r>
      <w:r>
        <w:rPr>
          <w:rFonts w:hAnsi="宋体"/>
          <w:b w:val="0"/>
          <w:bCs/>
          <w:snapToGrid w:val="0"/>
          <w:color w:val="000000" w:themeColor="text1"/>
          <w:spacing w:val="-6"/>
          <w:kern w:val="21"/>
          <w:sz w:val="21"/>
          <w:szCs w:val="21"/>
          <w14:textFill>
            <w14:solidFill>
              <w14:schemeClr w14:val="tx1"/>
            </w14:solidFill>
          </w14:textFill>
        </w:rPr>
        <w:fldChar w:fldCharType="separate"/>
      </w:r>
      <w:r>
        <w:rPr>
          <w:rFonts w:hint="eastAsia" w:hAnsi="宋体"/>
          <w:b w:val="0"/>
          <w:bCs/>
          <w:color w:val="000000" w:themeColor="text1"/>
          <w:sz w:val="21"/>
          <w:szCs w:val="21"/>
          <w14:textFill>
            <w14:solidFill>
              <w14:schemeClr w14:val="tx1"/>
            </w14:solidFill>
          </w14:textFill>
        </w:rPr>
        <w:t>④</w:t>
      </w:r>
      <w:r>
        <w:rPr>
          <w:rFonts w:hAnsi="宋体"/>
          <w:b w:val="0"/>
          <w:bCs/>
          <w:snapToGrid w:val="0"/>
          <w:color w:val="000000" w:themeColor="text1"/>
          <w:spacing w:val="-6"/>
          <w:kern w:val="21"/>
          <w:sz w:val="21"/>
          <w:szCs w:val="21"/>
          <w14:textFill>
            <w14:solidFill>
              <w14:schemeClr w14:val="tx1"/>
            </w14:solidFill>
          </w14:textFill>
        </w:rPr>
        <w:fldChar w:fldCharType="end"/>
      </w:r>
      <w:r>
        <w:rPr>
          <w:rFonts w:hAnsi="宋体"/>
          <w:b w:val="0"/>
          <w:bCs/>
          <w:snapToGrid w:val="0"/>
          <w:color w:val="000000" w:themeColor="text1"/>
          <w:spacing w:val="-6"/>
          <w:kern w:val="21"/>
          <w:sz w:val="21"/>
          <w:szCs w:val="21"/>
          <w14:textFill>
            <w14:solidFill>
              <w14:schemeClr w14:val="tx1"/>
            </w14:solidFill>
          </w14:textFill>
        </w:rPr>
        <w:t>-</w:t>
      </w:r>
      <w:r>
        <w:rPr>
          <w:rFonts w:hAnsi="宋体"/>
          <w:b w:val="0"/>
          <w:bCs/>
          <w:snapToGrid w:val="0"/>
          <w:color w:val="000000" w:themeColor="text1"/>
          <w:spacing w:val="-16"/>
          <w:kern w:val="21"/>
          <w:sz w:val="21"/>
          <w:szCs w:val="21"/>
          <w14:textFill>
            <w14:solidFill>
              <w14:schemeClr w14:val="tx1"/>
            </w14:solidFill>
          </w14:textFill>
        </w:rPr>
        <w:fldChar w:fldCharType="begin"/>
      </w:r>
      <w:r>
        <w:rPr>
          <w:rFonts w:hAnsi="宋体"/>
          <w:b w:val="0"/>
          <w:bCs/>
          <w:snapToGrid w:val="0"/>
          <w:color w:val="000000" w:themeColor="text1"/>
          <w:spacing w:val="-16"/>
          <w:kern w:val="21"/>
          <w:sz w:val="21"/>
          <w:szCs w:val="21"/>
          <w14:textFill>
            <w14:solidFill>
              <w14:schemeClr w14:val="tx1"/>
            </w14:solidFill>
          </w14:textFill>
        </w:rPr>
        <w:instrText xml:space="preserve"> = 5 \* GB3 \* MERGEFORMAT </w:instrText>
      </w:r>
      <w:r>
        <w:rPr>
          <w:rFonts w:hAnsi="宋体"/>
          <w:b w:val="0"/>
          <w:bCs/>
          <w:snapToGrid w:val="0"/>
          <w:color w:val="000000" w:themeColor="text1"/>
          <w:spacing w:val="-16"/>
          <w:kern w:val="21"/>
          <w:sz w:val="21"/>
          <w:szCs w:val="21"/>
          <w14:textFill>
            <w14:solidFill>
              <w14:schemeClr w14:val="tx1"/>
            </w14:solidFill>
          </w14:textFill>
        </w:rPr>
        <w:fldChar w:fldCharType="separate"/>
      </w:r>
      <w:r>
        <w:rPr>
          <w:rFonts w:hint="eastAsia" w:hAnsi="宋体"/>
          <w:b w:val="0"/>
          <w:bCs/>
          <w:color w:val="000000" w:themeColor="text1"/>
          <w:sz w:val="21"/>
          <w:szCs w:val="21"/>
          <w14:textFill>
            <w14:solidFill>
              <w14:schemeClr w14:val="tx1"/>
            </w14:solidFill>
          </w14:textFill>
        </w:rPr>
        <w:t>⑤</w:t>
      </w:r>
      <w:r>
        <w:rPr>
          <w:rFonts w:hAnsi="宋体"/>
          <w:b w:val="0"/>
          <w:bCs/>
          <w:snapToGrid w:val="0"/>
          <w:color w:val="000000" w:themeColor="text1"/>
          <w:spacing w:val="-16"/>
          <w:kern w:val="21"/>
          <w:sz w:val="21"/>
          <w:szCs w:val="21"/>
          <w14:textFill>
            <w14:solidFill>
              <w14:schemeClr w14:val="tx1"/>
            </w14:solidFill>
          </w14:textFill>
        </w:rPr>
        <w:fldChar w:fldCharType="end"/>
      </w:r>
      <w:r>
        <w:rPr>
          <w:rFonts w:hAnsi="宋体"/>
          <w:b w:val="0"/>
          <w:bCs/>
          <w:snapToGrid w:val="0"/>
          <w:color w:val="000000" w:themeColor="text1"/>
          <w:spacing w:val="-16"/>
          <w:kern w:val="21"/>
          <w:sz w:val="21"/>
          <w:szCs w:val="21"/>
          <w14:textFill>
            <w14:solidFill>
              <w14:schemeClr w14:val="tx1"/>
            </w14:solidFill>
          </w14:textFill>
        </w:rPr>
        <w:t>；</w:t>
      </w:r>
      <w:r>
        <w:rPr>
          <w:rFonts w:hAnsi="宋体"/>
          <w:b w:val="0"/>
          <w:bCs/>
          <w:snapToGrid w:val="0"/>
          <w:color w:val="000000" w:themeColor="text1"/>
          <w:spacing w:val="-6"/>
          <w:kern w:val="21"/>
          <w:sz w:val="21"/>
          <w:szCs w:val="21"/>
          <w14:textFill>
            <w14:solidFill>
              <w14:schemeClr w14:val="tx1"/>
            </w14:solidFill>
          </w14:textFill>
        </w:rPr>
        <w:fldChar w:fldCharType="begin"/>
      </w:r>
      <w:r>
        <w:rPr>
          <w:rFonts w:hAnsi="宋体"/>
          <w:b w:val="0"/>
          <w:bCs/>
          <w:snapToGrid w:val="0"/>
          <w:color w:val="000000" w:themeColor="text1"/>
          <w:spacing w:val="-6"/>
          <w:kern w:val="21"/>
          <w:sz w:val="21"/>
          <w:szCs w:val="21"/>
          <w14:textFill>
            <w14:solidFill>
              <w14:schemeClr w14:val="tx1"/>
            </w14:solidFill>
          </w14:textFill>
        </w:rPr>
        <w:instrText xml:space="preserve"> = 7 \* GB3 \* MERGEFORMAT </w:instrText>
      </w:r>
      <w:r>
        <w:rPr>
          <w:rFonts w:hAnsi="宋体"/>
          <w:b w:val="0"/>
          <w:bCs/>
          <w:snapToGrid w:val="0"/>
          <w:color w:val="000000" w:themeColor="text1"/>
          <w:spacing w:val="-6"/>
          <w:kern w:val="21"/>
          <w:sz w:val="21"/>
          <w:szCs w:val="21"/>
          <w14:textFill>
            <w14:solidFill>
              <w14:schemeClr w14:val="tx1"/>
            </w14:solidFill>
          </w14:textFill>
        </w:rPr>
        <w:fldChar w:fldCharType="separate"/>
      </w:r>
      <w:r>
        <w:rPr>
          <w:rFonts w:hint="eastAsia" w:hAnsi="宋体"/>
          <w:b w:val="0"/>
          <w:bCs/>
          <w:color w:val="000000" w:themeColor="text1"/>
          <w:sz w:val="21"/>
          <w:szCs w:val="21"/>
          <w14:textFill>
            <w14:solidFill>
              <w14:schemeClr w14:val="tx1"/>
            </w14:solidFill>
          </w14:textFill>
        </w:rPr>
        <w:t>⑦</w:t>
      </w:r>
      <w:r>
        <w:rPr>
          <w:rFonts w:hAnsi="宋体"/>
          <w:b w:val="0"/>
          <w:bCs/>
          <w:snapToGrid w:val="0"/>
          <w:color w:val="000000" w:themeColor="text1"/>
          <w:spacing w:val="-6"/>
          <w:kern w:val="21"/>
          <w:sz w:val="21"/>
          <w:szCs w:val="21"/>
          <w14:textFill>
            <w14:solidFill>
              <w14:schemeClr w14:val="tx1"/>
            </w14:solidFill>
          </w14:textFill>
        </w:rPr>
        <w:fldChar w:fldCharType="end"/>
      </w:r>
      <w:r>
        <w:rPr>
          <w:rFonts w:hAnsi="宋体"/>
          <w:b w:val="0"/>
          <w:bCs/>
          <w:snapToGrid w:val="0"/>
          <w:color w:val="000000" w:themeColor="text1"/>
          <w:spacing w:val="-6"/>
          <w:kern w:val="21"/>
          <w:sz w:val="21"/>
          <w:szCs w:val="21"/>
          <w14:textFill>
            <w14:solidFill>
              <w14:schemeClr w14:val="tx1"/>
            </w14:solidFill>
          </w14:textFill>
        </w:rPr>
        <w:t>=</w:t>
      </w:r>
      <w:r>
        <w:rPr>
          <w:rFonts w:hAnsi="宋体"/>
          <w:b w:val="0"/>
          <w:bCs/>
          <w:snapToGrid w:val="0"/>
          <w:color w:val="000000" w:themeColor="text1"/>
          <w:spacing w:val="-16"/>
          <w:kern w:val="21"/>
          <w:sz w:val="21"/>
          <w:szCs w:val="21"/>
          <w14:textFill>
            <w14:solidFill>
              <w14:schemeClr w14:val="tx1"/>
            </w14:solidFill>
          </w14:textFill>
        </w:rPr>
        <w:fldChar w:fldCharType="begin"/>
      </w:r>
      <w:r>
        <w:rPr>
          <w:rFonts w:hAnsi="宋体"/>
          <w:b w:val="0"/>
          <w:bCs/>
          <w:snapToGrid w:val="0"/>
          <w:color w:val="000000" w:themeColor="text1"/>
          <w:spacing w:val="-16"/>
          <w:kern w:val="21"/>
          <w:sz w:val="21"/>
          <w:szCs w:val="21"/>
          <w14:textFill>
            <w14:solidFill>
              <w14:schemeClr w14:val="tx1"/>
            </w14:solidFill>
          </w14:textFill>
        </w:rPr>
        <w:instrText xml:space="preserve"> = 6 \* GB3 \* MERGEFORMAT </w:instrText>
      </w:r>
      <w:r>
        <w:rPr>
          <w:rFonts w:hAnsi="宋体"/>
          <w:b w:val="0"/>
          <w:bCs/>
          <w:snapToGrid w:val="0"/>
          <w:color w:val="000000" w:themeColor="text1"/>
          <w:spacing w:val="-16"/>
          <w:kern w:val="21"/>
          <w:sz w:val="21"/>
          <w:szCs w:val="21"/>
          <w14:textFill>
            <w14:solidFill>
              <w14:schemeClr w14:val="tx1"/>
            </w14:solidFill>
          </w14:textFill>
        </w:rPr>
        <w:fldChar w:fldCharType="separate"/>
      </w:r>
      <w:r>
        <w:rPr>
          <w:rFonts w:hint="eastAsia" w:hAnsi="宋体"/>
          <w:b w:val="0"/>
          <w:bCs/>
          <w:color w:val="000000" w:themeColor="text1"/>
          <w:sz w:val="21"/>
          <w:szCs w:val="21"/>
          <w14:textFill>
            <w14:solidFill>
              <w14:schemeClr w14:val="tx1"/>
            </w14:solidFill>
          </w14:textFill>
        </w:rPr>
        <w:t>⑥</w:t>
      </w:r>
      <w:r>
        <w:rPr>
          <w:rFonts w:hAnsi="宋体"/>
          <w:b w:val="0"/>
          <w:bCs/>
          <w:snapToGrid w:val="0"/>
          <w:color w:val="000000" w:themeColor="text1"/>
          <w:spacing w:val="-16"/>
          <w:kern w:val="21"/>
          <w:sz w:val="21"/>
          <w:szCs w:val="21"/>
          <w14:textFill>
            <w14:solidFill>
              <w14:schemeClr w14:val="tx1"/>
            </w14:solidFill>
          </w14:textFill>
        </w:rPr>
        <w:fldChar w:fldCharType="end"/>
      </w:r>
      <w:r>
        <w:rPr>
          <w:rFonts w:hAnsi="宋体"/>
          <w:b w:val="0"/>
          <w:bCs/>
          <w:snapToGrid w:val="0"/>
          <w:color w:val="000000" w:themeColor="text1"/>
          <w:spacing w:val="-16"/>
          <w:kern w:val="21"/>
          <w:sz w:val="21"/>
          <w:szCs w:val="21"/>
          <w14:textFill>
            <w14:solidFill>
              <w14:schemeClr w14:val="tx1"/>
            </w14:solidFill>
          </w14:textFill>
        </w:rPr>
        <w:t>-</w:t>
      </w:r>
      <w:r>
        <w:rPr>
          <w:rFonts w:hAnsi="宋体"/>
          <w:b w:val="0"/>
          <w:bCs/>
          <w:snapToGrid w:val="0"/>
          <w:color w:val="000000" w:themeColor="text1"/>
          <w:spacing w:val="-6"/>
          <w:kern w:val="21"/>
          <w:sz w:val="21"/>
          <w:szCs w:val="21"/>
          <w14:textFill>
            <w14:solidFill>
              <w14:schemeClr w14:val="tx1"/>
            </w14:solidFill>
          </w14:textFill>
        </w:rPr>
        <w:fldChar w:fldCharType="begin"/>
      </w:r>
      <w:r>
        <w:rPr>
          <w:rFonts w:hAnsi="宋体"/>
          <w:b w:val="0"/>
          <w:bCs/>
          <w:snapToGrid w:val="0"/>
          <w:color w:val="000000" w:themeColor="text1"/>
          <w:spacing w:val="-6"/>
          <w:kern w:val="21"/>
          <w:sz w:val="21"/>
          <w:szCs w:val="21"/>
          <w14:textFill>
            <w14:solidFill>
              <w14:schemeClr w14:val="tx1"/>
            </w14:solidFill>
          </w14:textFill>
        </w:rPr>
        <w:instrText xml:space="preserve"> = 1 \* GB3 \* MERGEFORMAT </w:instrText>
      </w:r>
      <w:r>
        <w:rPr>
          <w:rFonts w:hAnsi="宋体"/>
          <w:b w:val="0"/>
          <w:bCs/>
          <w:snapToGrid w:val="0"/>
          <w:color w:val="000000" w:themeColor="text1"/>
          <w:spacing w:val="-6"/>
          <w:kern w:val="21"/>
          <w:sz w:val="21"/>
          <w:szCs w:val="21"/>
          <w14:textFill>
            <w14:solidFill>
              <w14:schemeClr w14:val="tx1"/>
            </w14:solidFill>
          </w14:textFill>
        </w:rPr>
        <w:fldChar w:fldCharType="separate"/>
      </w:r>
      <w:r>
        <w:rPr>
          <w:rFonts w:hint="eastAsia" w:hAnsi="宋体"/>
          <w:b w:val="0"/>
          <w:bCs/>
          <w:color w:val="000000" w:themeColor="text1"/>
          <w:sz w:val="21"/>
          <w:szCs w:val="21"/>
          <w14:textFill>
            <w14:solidFill>
              <w14:schemeClr w14:val="tx1"/>
            </w14:solidFill>
          </w14:textFill>
        </w:rPr>
        <w:t>①</w:t>
      </w:r>
      <w:r>
        <w:rPr>
          <w:rFonts w:hAnsi="宋体"/>
          <w:b w:val="0"/>
          <w:bCs/>
          <w:snapToGrid w:val="0"/>
          <w:color w:val="000000" w:themeColor="text1"/>
          <w:spacing w:val="-6"/>
          <w:kern w:val="21"/>
          <w:sz w:val="21"/>
          <w:szCs w:val="21"/>
          <w14:textFill>
            <w14:solidFill>
              <w14:schemeClr w14:val="tx1"/>
            </w14:solidFill>
          </w14:textFill>
        </w:rPr>
        <w:fldChar w:fldCharType="end"/>
      </w:r>
    </w:p>
    <w:p w14:paraId="22482DF9">
      <w:pPr>
        <w:widowControl/>
        <w:jc w:val="left"/>
        <w:rPr>
          <w:rFonts w:ascii="宋体" w:hAnsi="宋体"/>
          <w:color w:val="000000" w:themeColor="text1"/>
          <w:highlight w:val="yellow"/>
          <w14:textFill>
            <w14:solidFill>
              <w14:schemeClr w14:val="tx1"/>
            </w14:solidFill>
          </w14:textFill>
        </w:rPr>
      </w:pPr>
    </w:p>
    <w:p w14:paraId="46185E5B">
      <w:pPr>
        <w:rPr>
          <w:color w:val="000000" w:themeColor="text1"/>
          <w:highlight w:val="yellow"/>
          <w14:textFill>
            <w14:solidFill>
              <w14:schemeClr w14:val="tx1"/>
            </w14:solidFill>
          </w14:textFill>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14:paraId="5E47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14:paraId="292C930A">
            <w:pPr>
              <w:pStyle w:val="84"/>
              <w:tabs>
                <w:tab w:val="left" w:pos="1276"/>
              </w:tabs>
              <w:adjustRightInd/>
              <w:snapToGrid/>
              <w:ind w:firstLine="0" w:firstLineChars="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附件：</w:t>
            </w:r>
          </w:p>
          <w:p w14:paraId="0C1CD374">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w:t>
            </w:r>
            <w:r>
              <w:rPr>
                <w:color w:val="000000" w:themeColor="text1"/>
                <w:sz w:val="21"/>
                <w:szCs w:val="21"/>
                <w14:textFill>
                  <w14:solidFill>
                    <w14:schemeClr w14:val="tx1"/>
                  </w14:solidFill>
                </w14:textFill>
              </w:rPr>
              <w:t xml:space="preserve">1  </w:t>
            </w:r>
            <w:r>
              <w:rPr>
                <w:rFonts w:hint="eastAsia"/>
                <w:color w:val="000000" w:themeColor="text1"/>
                <w:sz w:val="21"/>
                <w:szCs w:val="21"/>
                <w14:textFill>
                  <w14:solidFill>
                    <w14:schemeClr w14:val="tx1"/>
                  </w14:solidFill>
                </w14:textFill>
              </w:rPr>
              <w:t>备案证及登记信息单</w:t>
            </w:r>
          </w:p>
          <w:p w14:paraId="48E8B81F">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 xml:space="preserve">  建设单位营业执照</w:t>
            </w:r>
          </w:p>
          <w:p w14:paraId="22EC52D5">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附件3</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项目代理人授权委托书</w:t>
            </w:r>
          </w:p>
          <w:p w14:paraId="5F32797D">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附件4</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土地证及租赁协议</w:t>
            </w:r>
          </w:p>
          <w:p w14:paraId="2E6B8E86">
            <w:pPr>
              <w:pStyle w:val="84"/>
              <w:tabs>
                <w:tab w:val="left" w:pos="1276"/>
              </w:tabs>
              <w:adjustRightInd/>
              <w:snapToGrid/>
              <w:ind w:firstLine="0" w:firstLineChars="0"/>
              <w:rPr>
                <w:color w:val="auto"/>
                <w:sz w:val="21"/>
                <w:szCs w:val="21"/>
                <w:highlight w:val="yellow"/>
              </w:rPr>
            </w:pPr>
            <w:r>
              <w:rPr>
                <w:color w:val="auto"/>
                <w:sz w:val="21"/>
                <w:szCs w:val="21"/>
              </w:rPr>
              <w:t xml:space="preserve">附件5  </w:t>
            </w:r>
            <w:r>
              <w:rPr>
                <w:rFonts w:hint="eastAsia"/>
                <w:color w:val="auto"/>
                <w:sz w:val="21"/>
                <w:szCs w:val="21"/>
              </w:rPr>
              <w:t>危险废物处置承诺</w:t>
            </w:r>
          </w:p>
          <w:p w14:paraId="6F47638C">
            <w:pPr>
              <w:pStyle w:val="84"/>
              <w:tabs>
                <w:tab w:val="left" w:pos="1276"/>
              </w:tabs>
              <w:adjustRightInd/>
              <w:snapToGrid/>
              <w:ind w:firstLine="0" w:firstLineChars="0"/>
              <w:rPr>
                <w:color w:val="auto"/>
                <w:sz w:val="21"/>
                <w:szCs w:val="21"/>
              </w:rPr>
            </w:pPr>
            <w:r>
              <w:rPr>
                <w:rFonts w:hint="eastAsia"/>
                <w:color w:val="auto"/>
                <w:sz w:val="21"/>
                <w:szCs w:val="21"/>
              </w:rPr>
              <w:t>附件</w:t>
            </w:r>
            <w:r>
              <w:rPr>
                <w:color w:val="auto"/>
                <w:sz w:val="21"/>
                <w:szCs w:val="21"/>
              </w:rPr>
              <w:t>6</w:t>
            </w:r>
            <w:r>
              <w:rPr>
                <w:rFonts w:hint="eastAsia"/>
                <w:color w:val="auto"/>
                <w:sz w:val="21"/>
                <w:szCs w:val="21"/>
              </w:rPr>
              <w:t xml:space="preserve">  污水接管承诺</w:t>
            </w:r>
          </w:p>
          <w:p w14:paraId="20C2ECE5">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w:t>
            </w:r>
            <w:r>
              <w:rPr>
                <w:color w:val="000000" w:themeColor="text1"/>
                <w:sz w:val="21"/>
                <w:szCs w:val="21"/>
                <w14:textFill>
                  <w14:solidFill>
                    <w14:schemeClr w14:val="tx1"/>
                  </w14:solidFill>
                </w14:textFill>
              </w:rPr>
              <w:t xml:space="preserve">7  </w:t>
            </w:r>
            <w:r>
              <w:rPr>
                <w:rFonts w:hint="eastAsia"/>
                <w:color w:val="000000" w:themeColor="text1"/>
                <w:sz w:val="21"/>
                <w:szCs w:val="21"/>
                <w14:textFill>
                  <w14:solidFill>
                    <w14:schemeClr w14:val="tx1"/>
                  </w14:solidFill>
                </w14:textFill>
              </w:rPr>
              <w:t>现状监测报告</w:t>
            </w:r>
          </w:p>
          <w:p w14:paraId="7106CA8E">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w:t>
            </w:r>
            <w:r>
              <w:rPr>
                <w:color w:val="000000" w:themeColor="text1"/>
                <w:sz w:val="21"/>
                <w:szCs w:val="21"/>
                <w14:textFill>
                  <w14:solidFill>
                    <w14:schemeClr w14:val="tx1"/>
                  </w14:solidFill>
                </w14:textFill>
              </w:rPr>
              <w:t xml:space="preserve">8  </w:t>
            </w:r>
            <w:r>
              <w:rPr>
                <w:rFonts w:hint="eastAsia"/>
                <w:color w:val="000000" w:themeColor="text1"/>
                <w:sz w:val="21"/>
                <w:szCs w:val="21"/>
                <w14:textFill>
                  <w14:solidFill>
                    <w14:schemeClr w14:val="tx1"/>
                  </w14:solidFill>
                </w14:textFill>
              </w:rPr>
              <w:t>预审公示及现场踏勘表</w:t>
            </w:r>
          </w:p>
          <w:p w14:paraId="2C95A0B9">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w:t>
            </w:r>
            <w:r>
              <w:rPr>
                <w:color w:val="000000" w:themeColor="text1"/>
                <w:sz w:val="21"/>
                <w:szCs w:val="21"/>
                <w14:textFill>
                  <w14:solidFill>
                    <w14:schemeClr w14:val="tx1"/>
                  </w14:solidFill>
                </w14:textFill>
              </w:rPr>
              <w:t xml:space="preserve">9  </w:t>
            </w:r>
            <w:r>
              <w:rPr>
                <w:rFonts w:hint="eastAsia"/>
                <w:color w:val="000000" w:themeColor="text1"/>
                <w:sz w:val="21"/>
                <w:szCs w:val="21"/>
                <w14:textFill>
                  <w14:solidFill>
                    <w14:schemeClr w14:val="tx1"/>
                  </w14:solidFill>
                </w14:textFill>
              </w:rPr>
              <w:t>总量平衡单</w:t>
            </w:r>
          </w:p>
          <w:p w14:paraId="0343ABDB">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w:t>
            </w:r>
            <w:r>
              <w:rPr>
                <w:color w:val="000000" w:themeColor="text1"/>
                <w:sz w:val="21"/>
                <w:szCs w:val="21"/>
                <w14:textFill>
                  <w14:solidFill>
                    <w14:schemeClr w14:val="tx1"/>
                  </w14:solidFill>
                </w14:textFill>
              </w:rPr>
              <w:t xml:space="preserve">10  </w:t>
            </w:r>
            <w:r>
              <w:rPr>
                <w:rFonts w:hint="eastAsia"/>
                <w:color w:val="000000" w:themeColor="text1"/>
                <w:sz w:val="21"/>
                <w:szCs w:val="21"/>
                <w14:textFill>
                  <w14:solidFill>
                    <w14:schemeClr w14:val="tx1"/>
                  </w14:solidFill>
                </w14:textFill>
              </w:rPr>
              <w:t>区域环境综合整治方案</w:t>
            </w:r>
          </w:p>
          <w:p w14:paraId="5624B172">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附件1</w:t>
            </w:r>
            <w:r>
              <w:rPr>
                <w:color w:val="000000" w:themeColor="text1"/>
                <w:sz w:val="21"/>
                <w:szCs w:val="21"/>
                <w14:textFill>
                  <w14:solidFill>
                    <w14:schemeClr w14:val="tx1"/>
                  </w14:solidFill>
                </w14:textFill>
              </w:rPr>
              <w:t xml:space="preserve">1  </w:t>
            </w:r>
            <w:r>
              <w:rPr>
                <w:rFonts w:hint="eastAsia"/>
                <w:color w:val="000000" w:themeColor="text1"/>
                <w:sz w:val="21"/>
                <w:szCs w:val="21"/>
                <w14:textFill>
                  <w14:solidFill>
                    <w14:schemeClr w14:val="tx1"/>
                  </w14:solidFill>
                </w14:textFill>
              </w:rPr>
              <w:t>建设单位委托书、承诺书、报批申请书</w:t>
            </w:r>
          </w:p>
          <w:p w14:paraId="58B847CB">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附件1</w:t>
            </w:r>
            <w:r>
              <w:rPr>
                <w:color w:val="000000" w:themeColor="text1"/>
                <w:sz w:val="21"/>
                <w:szCs w:val="21"/>
                <w14:textFill>
                  <w14:solidFill>
                    <w14:schemeClr w14:val="tx1"/>
                  </w14:solidFill>
                </w14:textFill>
              </w:rPr>
              <w:t xml:space="preserve">2  </w:t>
            </w:r>
            <w:r>
              <w:rPr>
                <w:rFonts w:hint="eastAsia"/>
                <w:color w:val="000000" w:themeColor="text1"/>
                <w:sz w:val="21"/>
                <w:szCs w:val="21"/>
                <w14:textFill>
                  <w14:solidFill>
                    <w14:schemeClr w14:val="tx1"/>
                  </w14:solidFill>
                </w14:textFill>
              </w:rPr>
              <w:t>工业集中区批复</w:t>
            </w:r>
          </w:p>
          <w:p w14:paraId="30A71E60">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附件1</w:t>
            </w:r>
            <w:r>
              <w:rPr>
                <w:color w:val="000000" w:themeColor="text1"/>
                <w:sz w:val="21"/>
                <w:szCs w:val="21"/>
                <w14:textFill>
                  <w14:solidFill>
                    <w14:schemeClr w14:val="tx1"/>
                  </w14:solidFill>
                </w14:textFill>
              </w:rPr>
              <w:t xml:space="preserve">3  </w:t>
            </w:r>
            <w:r>
              <w:rPr>
                <w:rFonts w:hint="eastAsia"/>
                <w:color w:val="000000" w:themeColor="text1"/>
                <w:sz w:val="21"/>
                <w:szCs w:val="21"/>
                <w14:textFill>
                  <w14:solidFill>
                    <w14:schemeClr w14:val="tx1"/>
                  </w14:solidFill>
                </w14:textFill>
              </w:rPr>
              <w:t>公示说明</w:t>
            </w:r>
          </w:p>
          <w:p w14:paraId="1645045F">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附件1</w:t>
            </w:r>
            <w:r>
              <w:rPr>
                <w:color w:val="000000" w:themeColor="text1"/>
                <w:sz w:val="21"/>
                <w:szCs w:val="21"/>
                <w14:textFill>
                  <w14:solidFill>
                    <w14:schemeClr w14:val="tx1"/>
                  </w14:solidFill>
                </w14:textFill>
              </w:rPr>
              <w:t xml:space="preserve">4  </w:t>
            </w:r>
            <w:r>
              <w:rPr>
                <w:rFonts w:hint="eastAsia"/>
                <w:color w:val="000000" w:themeColor="text1"/>
                <w:sz w:val="21"/>
                <w:szCs w:val="21"/>
                <w14:textFill>
                  <w14:solidFill>
                    <w14:schemeClr w14:val="tx1"/>
                  </w14:solidFill>
                </w14:textFill>
              </w:rPr>
              <w:t>公示截图</w:t>
            </w:r>
          </w:p>
          <w:p w14:paraId="70C56C87">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附件1</w:t>
            </w:r>
            <w:r>
              <w:rPr>
                <w:color w:val="000000" w:themeColor="text1"/>
                <w:sz w:val="21"/>
                <w:szCs w:val="21"/>
                <w14:textFill>
                  <w14:solidFill>
                    <w14:schemeClr w14:val="tx1"/>
                  </w14:solidFill>
                </w14:textFill>
              </w:rPr>
              <w:t xml:space="preserve">5  </w:t>
            </w:r>
            <w:r>
              <w:rPr>
                <w:rFonts w:hint="eastAsia"/>
                <w:color w:val="000000" w:themeColor="text1"/>
                <w:sz w:val="21"/>
                <w:szCs w:val="21"/>
                <w14:textFill>
                  <w14:solidFill>
                    <w14:schemeClr w14:val="tx1"/>
                  </w14:solidFill>
                </w14:textFill>
              </w:rPr>
              <w:t>环评单位编制情况承诺书</w:t>
            </w:r>
          </w:p>
          <w:p w14:paraId="60E163D6">
            <w:pPr>
              <w:pStyle w:val="84"/>
              <w:tabs>
                <w:tab w:val="left" w:pos="1276"/>
              </w:tabs>
              <w:adjustRightInd/>
              <w:snapToGrid/>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附件1</w:t>
            </w:r>
            <w:r>
              <w:rPr>
                <w:color w:val="000000" w:themeColor="text1"/>
                <w:sz w:val="21"/>
                <w:szCs w:val="21"/>
                <w14:textFill>
                  <w14:solidFill>
                    <w14:schemeClr w14:val="tx1"/>
                  </w14:solidFill>
                </w14:textFill>
              </w:rPr>
              <w:t xml:space="preserve">6  </w:t>
            </w:r>
            <w:r>
              <w:rPr>
                <w:rFonts w:hint="eastAsia"/>
                <w:color w:val="000000" w:themeColor="text1"/>
                <w:sz w:val="21"/>
                <w:szCs w:val="21"/>
                <w14:textFill>
                  <w14:solidFill>
                    <w14:schemeClr w14:val="tx1"/>
                  </w14:solidFill>
                </w14:textFill>
              </w:rPr>
              <w:t>环评合同</w:t>
            </w:r>
          </w:p>
          <w:p w14:paraId="41BFFF0E">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附件1</w:t>
            </w:r>
            <w:r>
              <w:rPr>
                <w:color w:val="000000" w:themeColor="text1"/>
                <w:szCs w:val="21"/>
                <w14:textFill>
                  <w14:solidFill>
                    <w14:schemeClr w14:val="tx1"/>
                  </w14:solidFill>
                </w14:textFill>
              </w:rPr>
              <w:t xml:space="preserve">7  </w:t>
            </w:r>
            <w:r>
              <w:rPr>
                <w:rFonts w:hint="eastAsia"/>
                <w:color w:val="000000" w:themeColor="text1"/>
                <w:szCs w:val="21"/>
                <w14:textFill>
                  <w14:solidFill>
                    <w14:schemeClr w14:val="tx1"/>
                  </w14:solidFill>
                </w14:textFill>
              </w:rPr>
              <w:t>工程师现场照片</w:t>
            </w:r>
          </w:p>
          <w:p w14:paraId="7DA88EA7">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附件1</w:t>
            </w:r>
            <w:r>
              <w:rPr>
                <w:color w:val="000000" w:themeColor="text1"/>
                <w:szCs w:val="21"/>
                <w14:textFill>
                  <w14:solidFill>
                    <w14:schemeClr w14:val="tx1"/>
                  </w14:solidFill>
                </w14:textFill>
              </w:rPr>
              <w:t xml:space="preserve">8  </w:t>
            </w:r>
            <w:r>
              <w:rPr>
                <w:rFonts w:hint="eastAsia"/>
                <w:color w:val="000000" w:themeColor="text1"/>
                <w:szCs w:val="21"/>
                <w14:textFill>
                  <w14:solidFill>
                    <w14:schemeClr w14:val="tx1"/>
                  </w14:solidFill>
                </w14:textFill>
              </w:rPr>
              <w:t>安全承诺书</w:t>
            </w:r>
          </w:p>
          <w:p w14:paraId="4675A350">
            <w:pPr>
              <w:spacing w:line="360" w:lineRule="auto"/>
              <w:rPr>
                <w:color w:val="auto"/>
                <w:szCs w:val="21"/>
              </w:rPr>
            </w:pPr>
            <w:r>
              <w:rPr>
                <w:rFonts w:hint="eastAsia"/>
                <w:color w:val="000000" w:themeColor="text1"/>
                <w:szCs w:val="21"/>
                <w14:textFill>
                  <w14:solidFill>
                    <w14:schemeClr w14:val="tx1"/>
                  </w14:solidFill>
                </w14:textFill>
              </w:rPr>
              <w:t>附件1</w:t>
            </w:r>
            <w:r>
              <w:rPr>
                <w:color w:val="000000" w:themeColor="text1"/>
                <w:szCs w:val="21"/>
                <w14:textFill>
                  <w14:solidFill>
                    <w14:schemeClr w14:val="tx1"/>
                  </w14:solidFill>
                </w14:textFill>
              </w:rPr>
              <w:t xml:space="preserve">9  </w:t>
            </w:r>
            <w:r>
              <w:rPr>
                <w:rFonts w:hint="eastAsia"/>
                <w:color w:val="auto"/>
                <w:szCs w:val="21"/>
              </w:rPr>
              <w:t>环境影响报告书（表）受理审核确认表</w:t>
            </w:r>
          </w:p>
          <w:p w14:paraId="2A071DA3">
            <w:pPr>
              <w:spacing w:line="360" w:lineRule="auto"/>
              <w:rPr>
                <w:color w:val="auto"/>
                <w:szCs w:val="21"/>
              </w:rPr>
            </w:pPr>
            <w:r>
              <w:rPr>
                <w:rFonts w:hint="eastAsia"/>
                <w:color w:val="auto"/>
                <w:szCs w:val="21"/>
              </w:rPr>
              <w:t>附件2</w:t>
            </w:r>
            <w:r>
              <w:rPr>
                <w:color w:val="auto"/>
                <w:szCs w:val="21"/>
              </w:rPr>
              <w:t xml:space="preserve">0  </w:t>
            </w:r>
            <w:r>
              <w:rPr>
                <w:rFonts w:hint="eastAsia"/>
                <w:color w:val="auto"/>
                <w:szCs w:val="21"/>
              </w:rPr>
              <w:t>环评编制人员信息</w:t>
            </w:r>
          </w:p>
          <w:p w14:paraId="384FA443">
            <w:pPr>
              <w:spacing w:line="360" w:lineRule="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附件21 原有项目批复、排污登记</w:t>
            </w:r>
          </w:p>
          <w:p w14:paraId="35A67F49">
            <w:pPr>
              <w:spacing w:line="360" w:lineRule="auto"/>
              <w:rPr>
                <w:color w:val="000000" w:themeColor="text1"/>
                <w:szCs w:val="21"/>
                <w:highlight w:val="yellow"/>
                <w14:textFill>
                  <w14:solidFill>
                    <w14:schemeClr w14:val="tx1"/>
                  </w14:solidFill>
                </w14:textFill>
              </w:rPr>
            </w:pPr>
          </w:p>
          <w:p w14:paraId="292BC3C5">
            <w:pPr>
              <w:spacing w:line="360" w:lineRule="auto"/>
              <w:rPr>
                <w:color w:val="000000" w:themeColor="text1"/>
                <w:szCs w:val="21"/>
                <w:highlight w:val="yellow"/>
                <w14:textFill>
                  <w14:solidFill>
                    <w14:schemeClr w14:val="tx1"/>
                  </w14:solidFill>
                </w14:textFill>
              </w:rPr>
            </w:pPr>
          </w:p>
          <w:p w14:paraId="0F0224A7">
            <w:pPr>
              <w:spacing w:line="360" w:lineRule="auto"/>
              <w:rPr>
                <w:color w:val="000000" w:themeColor="text1"/>
                <w:szCs w:val="21"/>
                <w:highlight w:val="yellow"/>
                <w14:textFill>
                  <w14:solidFill>
                    <w14:schemeClr w14:val="tx1"/>
                  </w14:solidFill>
                </w14:textFill>
              </w:rPr>
            </w:pPr>
          </w:p>
          <w:p w14:paraId="6044C41A">
            <w:pPr>
              <w:spacing w:line="360" w:lineRule="auto"/>
              <w:rPr>
                <w:color w:val="000000" w:themeColor="text1"/>
                <w:szCs w:val="21"/>
                <w:highlight w:val="yellow"/>
                <w14:textFill>
                  <w14:solidFill>
                    <w14:schemeClr w14:val="tx1"/>
                  </w14:solidFill>
                </w14:textFill>
              </w:rPr>
            </w:pPr>
          </w:p>
          <w:p w14:paraId="49240471">
            <w:pPr>
              <w:spacing w:line="360" w:lineRule="auto"/>
              <w:rPr>
                <w:color w:val="000000" w:themeColor="text1"/>
                <w:szCs w:val="21"/>
                <w:highlight w:val="yellow"/>
                <w14:textFill>
                  <w14:solidFill>
                    <w14:schemeClr w14:val="tx1"/>
                  </w14:solidFill>
                </w14:textFill>
              </w:rPr>
            </w:pPr>
          </w:p>
          <w:p w14:paraId="05CB4B94">
            <w:pPr>
              <w:spacing w:line="360" w:lineRule="auto"/>
              <w:rPr>
                <w:color w:val="000000" w:themeColor="text1"/>
                <w:szCs w:val="21"/>
                <w:highlight w:val="yellow"/>
                <w14:textFill>
                  <w14:solidFill>
                    <w14:schemeClr w14:val="tx1"/>
                  </w14:solidFill>
                </w14:textFill>
              </w:rPr>
            </w:pPr>
          </w:p>
          <w:p w14:paraId="631F2F26">
            <w:pPr>
              <w:spacing w:line="360" w:lineRule="auto"/>
              <w:rPr>
                <w:color w:val="000000" w:themeColor="text1"/>
                <w:szCs w:val="21"/>
                <w:highlight w:val="yellow"/>
                <w14:textFill>
                  <w14:solidFill>
                    <w14:schemeClr w14:val="tx1"/>
                  </w14:solidFill>
                </w14:textFill>
              </w:rPr>
            </w:pPr>
          </w:p>
          <w:p w14:paraId="3E60C276">
            <w:pPr>
              <w:spacing w:line="360" w:lineRule="auto"/>
              <w:rPr>
                <w:color w:val="000000" w:themeColor="text1"/>
                <w:szCs w:val="21"/>
                <w:highlight w:val="yellow"/>
                <w14:textFill>
                  <w14:solidFill>
                    <w14:schemeClr w14:val="tx1"/>
                  </w14:solidFill>
                </w14:textFill>
              </w:rPr>
            </w:pPr>
          </w:p>
          <w:p w14:paraId="2110F3CC">
            <w:pPr>
              <w:spacing w:line="360" w:lineRule="auto"/>
              <w:rPr>
                <w:color w:val="000000" w:themeColor="text1"/>
                <w:szCs w:val="21"/>
                <w:highlight w:val="yellow"/>
                <w14:textFill>
                  <w14:solidFill>
                    <w14:schemeClr w14:val="tx1"/>
                  </w14:solidFill>
                </w14:textFill>
              </w:rPr>
            </w:pPr>
          </w:p>
          <w:p w14:paraId="2265A52A">
            <w:pPr>
              <w:spacing w:line="360" w:lineRule="auto"/>
              <w:rPr>
                <w:color w:val="000000" w:themeColor="text1"/>
                <w:szCs w:val="21"/>
                <w:highlight w:val="yellow"/>
                <w14:textFill>
                  <w14:solidFill>
                    <w14:schemeClr w14:val="tx1"/>
                  </w14:solidFill>
                </w14:textFill>
              </w:rPr>
            </w:pPr>
          </w:p>
          <w:p w14:paraId="307DFDBF">
            <w:pPr>
              <w:spacing w:line="360" w:lineRule="auto"/>
              <w:rPr>
                <w:color w:val="000000" w:themeColor="text1"/>
                <w:szCs w:val="21"/>
                <w:highlight w:val="yellow"/>
                <w14:textFill>
                  <w14:solidFill>
                    <w14:schemeClr w14:val="tx1"/>
                  </w14:solidFill>
                </w14:textFill>
              </w:rPr>
            </w:pPr>
          </w:p>
          <w:p w14:paraId="6C7C58C8">
            <w:pPr>
              <w:spacing w:line="360" w:lineRule="auto"/>
              <w:rPr>
                <w:color w:val="000000" w:themeColor="text1"/>
                <w:szCs w:val="21"/>
                <w:highlight w:val="yellow"/>
                <w14:textFill>
                  <w14:solidFill>
                    <w14:schemeClr w14:val="tx1"/>
                  </w14:solidFill>
                </w14:textFill>
              </w:rPr>
            </w:pPr>
          </w:p>
          <w:p w14:paraId="7966ED09">
            <w:pPr>
              <w:spacing w:line="360" w:lineRule="auto"/>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附图：</w:t>
            </w:r>
          </w:p>
          <w:p w14:paraId="7CA06030">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附</w:t>
            </w:r>
            <w:r>
              <w:rPr>
                <w:rFonts w:hint="eastAsia" w:ascii="Times New Roman" w:hAnsi="Times New Roman" w:eastAsia="宋体" w:cs="Times New Roman"/>
                <w:color w:val="000000" w:themeColor="text1"/>
                <w:szCs w:val="21"/>
                <w:lang w:val="en-US" w:eastAsia="zh-CN"/>
                <w14:textFill>
                  <w14:solidFill>
                    <w14:schemeClr w14:val="tx1"/>
                  </w14:solidFill>
                </w14:textFill>
              </w:rPr>
              <w:t>图1  本项目地理位置图</w:t>
            </w:r>
          </w:p>
          <w:p w14:paraId="2F96FD43">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附图2  厂界周围500米土地利用现状图</w:t>
            </w:r>
          </w:p>
          <w:p w14:paraId="4E7EB580">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附图3-1 厂区雨污管线平面布置图</w:t>
            </w:r>
          </w:p>
          <w:p w14:paraId="7969E2AE">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附图3-2 本项目车间平面布置图</w:t>
            </w:r>
          </w:p>
          <w:p w14:paraId="6E05D83F">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附图4  项目建设地卫星图</w:t>
            </w:r>
          </w:p>
          <w:p w14:paraId="18A05A99">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附图5  月城镇及环境保护目标分布图（含现状监测点位）</w:t>
            </w:r>
          </w:p>
          <w:p w14:paraId="1C3D3862">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附图8  本项目与用地规划图</w:t>
            </w:r>
          </w:p>
          <w:p w14:paraId="4008DFDD">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附图6  月城镇工业园区四至范围图</w:t>
            </w:r>
          </w:p>
          <w:p w14:paraId="228A3058">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附图7  污水收集管网图</w:t>
            </w:r>
          </w:p>
          <w:p w14:paraId="433BE80D">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附图8  月城镇声环境功能区划图</w:t>
            </w:r>
          </w:p>
          <w:p w14:paraId="0B139BB5">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附图9  江阴市土地利用总体规划图</w:t>
            </w:r>
          </w:p>
          <w:p w14:paraId="5DEDA391">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附图10  月城镇“三区三线”划定成果图</w:t>
            </w:r>
          </w:p>
          <w:p w14:paraId="048A0F36">
            <w:pPr>
              <w:spacing w:line="360" w:lineRule="auto"/>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附图11江苏省生态空间保护区域分布图</w:t>
            </w:r>
          </w:p>
          <w:p w14:paraId="3B08B2B2">
            <w:pPr>
              <w:spacing w:line="360" w:lineRule="auto"/>
              <w:rPr>
                <w:color w:val="000000" w:themeColor="text1"/>
                <w14:textFill>
                  <w14:solidFill>
                    <w14:schemeClr w14:val="tx1"/>
                  </w14:solidFill>
                </w14:textFill>
              </w:rPr>
            </w:pPr>
          </w:p>
          <w:p w14:paraId="68016833">
            <w:pPr>
              <w:spacing w:line="360" w:lineRule="auto"/>
              <w:rPr>
                <w:color w:val="000000" w:themeColor="text1"/>
                <w14:textFill>
                  <w14:solidFill>
                    <w14:schemeClr w14:val="tx1"/>
                  </w14:solidFill>
                </w14:textFill>
              </w:rPr>
            </w:pPr>
          </w:p>
          <w:p w14:paraId="190753A2">
            <w:pPr>
              <w:spacing w:line="360" w:lineRule="auto"/>
              <w:rPr>
                <w:color w:val="000000" w:themeColor="text1"/>
                <w14:textFill>
                  <w14:solidFill>
                    <w14:schemeClr w14:val="tx1"/>
                  </w14:solidFill>
                </w14:textFill>
              </w:rPr>
            </w:pPr>
          </w:p>
          <w:p w14:paraId="49202A65">
            <w:pPr>
              <w:spacing w:line="360" w:lineRule="auto"/>
              <w:rPr>
                <w:color w:val="000000" w:themeColor="text1"/>
                <w14:textFill>
                  <w14:solidFill>
                    <w14:schemeClr w14:val="tx1"/>
                  </w14:solidFill>
                </w14:textFill>
              </w:rPr>
            </w:pPr>
          </w:p>
          <w:p w14:paraId="72073589">
            <w:pPr>
              <w:spacing w:line="360" w:lineRule="auto"/>
              <w:rPr>
                <w:color w:val="000000" w:themeColor="text1"/>
                <w14:textFill>
                  <w14:solidFill>
                    <w14:schemeClr w14:val="tx1"/>
                  </w14:solidFill>
                </w14:textFill>
              </w:rPr>
            </w:pPr>
          </w:p>
          <w:p w14:paraId="199DC89A">
            <w:pPr>
              <w:spacing w:line="360" w:lineRule="auto"/>
              <w:rPr>
                <w:color w:val="000000" w:themeColor="text1"/>
                <w14:textFill>
                  <w14:solidFill>
                    <w14:schemeClr w14:val="tx1"/>
                  </w14:solidFill>
                </w14:textFill>
              </w:rPr>
            </w:pPr>
          </w:p>
          <w:p w14:paraId="55256AED">
            <w:pPr>
              <w:spacing w:line="360" w:lineRule="auto"/>
              <w:rPr>
                <w:color w:val="000000" w:themeColor="text1"/>
                <w14:textFill>
                  <w14:solidFill>
                    <w14:schemeClr w14:val="tx1"/>
                  </w14:solidFill>
                </w14:textFill>
              </w:rPr>
            </w:pPr>
          </w:p>
          <w:p w14:paraId="1783DBAB">
            <w:pPr>
              <w:spacing w:line="360" w:lineRule="auto"/>
              <w:rPr>
                <w:color w:val="000000" w:themeColor="text1"/>
                <w14:textFill>
                  <w14:solidFill>
                    <w14:schemeClr w14:val="tx1"/>
                  </w14:solidFill>
                </w14:textFill>
              </w:rPr>
            </w:pPr>
          </w:p>
          <w:p w14:paraId="7680B328">
            <w:pPr>
              <w:spacing w:line="360" w:lineRule="auto"/>
              <w:rPr>
                <w:color w:val="000000" w:themeColor="text1"/>
                <w14:textFill>
                  <w14:solidFill>
                    <w14:schemeClr w14:val="tx1"/>
                  </w14:solidFill>
                </w14:textFill>
              </w:rPr>
            </w:pPr>
          </w:p>
          <w:p w14:paraId="5DC8FCB2">
            <w:pPr>
              <w:spacing w:line="360" w:lineRule="auto"/>
              <w:rPr>
                <w:color w:val="000000" w:themeColor="text1"/>
                <w14:textFill>
                  <w14:solidFill>
                    <w14:schemeClr w14:val="tx1"/>
                  </w14:solidFill>
                </w14:textFill>
              </w:rPr>
            </w:pPr>
          </w:p>
          <w:p w14:paraId="62DA26C3">
            <w:pPr>
              <w:spacing w:line="360" w:lineRule="auto"/>
              <w:rPr>
                <w:color w:val="000000" w:themeColor="text1"/>
                <w14:textFill>
                  <w14:solidFill>
                    <w14:schemeClr w14:val="tx1"/>
                  </w14:solidFill>
                </w14:textFill>
              </w:rPr>
            </w:pPr>
          </w:p>
          <w:p w14:paraId="3F1DA89E">
            <w:pPr>
              <w:spacing w:line="360" w:lineRule="auto"/>
              <w:rPr>
                <w:color w:val="000000" w:themeColor="text1"/>
                <w14:textFill>
                  <w14:solidFill>
                    <w14:schemeClr w14:val="tx1"/>
                  </w14:solidFill>
                </w14:textFill>
              </w:rPr>
            </w:pPr>
          </w:p>
          <w:p w14:paraId="2D4039A5">
            <w:pPr>
              <w:spacing w:line="360" w:lineRule="auto"/>
              <w:rPr>
                <w:color w:val="000000" w:themeColor="text1"/>
                <w14:textFill>
                  <w14:solidFill>
                    <w14:schemeClr w14:val="tx1"/>
                  </w14:solidFill>
                </w14:textFill>
              </w:rPr>
            </w:pPr>
          </w:p>
          <w:p w14:paraId="03DFF570">
            <w:pPr>
              <w:spacing w:line="360" w:lineRule="auto"/>
              <w:rPr>
                <w:color w:val="000000" w:themeColor="text1"/>
                <w14:textFill>
                  <w14:solidFill>
                    <w14:schemeClr w14:val="tx1"/>
                  </w14:solidFill>
                </w14:textFill>
              </w:rPr>
            </w:pPr>
          </w:p>
          <w:p w14:paraId="006B62A5">
            <w:pPr>
              <w:spacing w:line="360" w:lineRule="auto"/>
              <w:rPr>
                <w:color w:val="000000" w:themeColor="text1"/>
                <w14:textFill>
                  <w14:solidFill>
                    <w14:schemeClr w14:val="tx1"/>
                  </w14:solidFill>
                </w14:textFill>
              </w:rPr>
            </w:pPr>
          </w:p>
          <w:p w14:paraId="3E9BF068">
            <w:pPr>
              <w:spacing w:line="360" w:lineRule="auto"/>
              <w:rPr>
                <w:color w:val="000000" w:themeColor="text1"/>
                <w14:textFill>
                  <w14:solidFill>
                    <w14:schemeClr w14:val="tx1"/>
                  </w14:solidFill>
                </w14:textFill>
              </w:rPr>
            </w:pPr>
          </w:p>
          <w:p w14:paraId="34FB9A77">
            <w:pPr>
              <w:spacing w:line="360" w:lineRule="auto"/>
              <w:rPr>
                <w:color w:val="000000" w:themeColor="text1"/>
                <w14:textFill>
                  <w14:solidFill>
                    <w14:schemeClr w14:val="tx1"/>
                  </w14:solidFill>
                </w14:textFill>
              </w:rPr>
            </w:pPr>
          </w:p>
          <w:p w14:paraId="4497F3C3">
            <w:pPr>
              <w:spacing w:line="360" w:lineRule="auto"/>
              <w:rPr>
                <w:color w:val="000000" w:themeColor="text1"/>
                <w14:textFill>
                  <w14:solidFill>
                    <w14:schemeClr w14:val="tx1"/>
                  </w14:solidFill>
                </w14:textFill>
              </w:rPr>
            </w:pPr>
          </w:p>
          <w:p w14:paraId="5F15FC8B">
            <w:pPr>
              <w:spacing w:line="360" w:lineRule="auto"/>
              <w:rPr>
                <w:color w:val="000000" w:themeColor="text1"/>
                <w14:textFill>
                  <w14:solidFill>
                    <w14:schemeClr w14:val="tx1"/>
                  </w14:solidFill>
                </w14:textFill>
              </w:rPr>
            </w:pPr>
          </w:p>
          <w:p w14:paraId="69863FBA">
            <w:pPr>
              <w:spacing w:line="360" w:lineRule="auto"/>
              <w:rPr>
                <w:color w:val="000000" w:themeColor="text1"/>
                <w14:textFill>
                  <w14:solidFill>
                    <w14:schemeClr w14:val="tx1"/>
                  </w14:solidFill>
                </w14:textFill>
              </w:rPr>
            </w:pPr>
          </w:p>
        </w:tc>
      </w:tr>
    </w:tbl>
    <w:p w14:paraId="24F64E57">
      <w:pPr>
        <w:rPr>
          <w:color w:val="000000" w:themeColor="text1"/>
          <w14:textFill>
            <w14:solidFill>
              <w14:schemeClr w14:val="tx1"/>
            </w14:solidFill>
          </w14:textFill>
        </w:rPr>
      </w:pPr>
    </w:p>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仿宋体">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7FFAEFF" w:usb1="F9DFFFFF" w:usb2="0000007F" w:usb3="00000000" w:csb0="203F01FF" w:csb1="DFFF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EBDD">
    <w:pPr>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3113">
    <w:pPr>
      <w:framePr w:wrap="around" w:vAnchor="text" w:hAnchor="margin" w:xAlign="center" w:y="1"/>
    </w:pPr>
    <w:r>
      <w:fldChar w:fldCharType="begin"/>
    </w:r>
    <w:r>
      <w:instrText xml:space="preserve">PAGE  </w:instrText>
    </w:r>
    <w:r>
      <w:fldChar w:fldCharType="separate"/>
    </w:r>
    <w:r>
      <w:t>4</w:t>
    </w:r>
    <w:r>
      <w:fldChar w:fldCharType="end"/>
    </w:r>
  </w:p>
  <w:p w14:paraId="17A47C73">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4189043"/>
    </w:sdtPr>
    <w:sdtContent>
      <w:p w14:paraId="20210695">
        <w:pPr>
          <w:jc w:val="center"/>
        </w:pPr>
        <w:r>
          <w:fldChar w:fldCharType="begin"/>
        </w:r>
        <w:r>
          <w:instrText xml:space="preserve">PAGE   \* MERGEFORMAT</w:instrText>
        </w:r>
        <w:r>
          <w:fldChar w:fldCharType="separate"/>
        </w:r>
        <w:r>
          <w:rPr>
            <w:lang w:val="zh-CN"/>
          </w:rPr>
          <w:t>37</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BAE0">
    <w:pPr>
      <w:ind w:right="360" w:firstLine="360"/>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1C455B"/>
    <w:multiLevelType w:val="singleLevel"/>
    <w:tmpl w:val="EC1C455B"/>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1">
    <w:nsid w:val="ECA93535"/>
    <w:multiLevelType w:val="singleLevel"/>
    <w:tmpl w:val="ECA93535"/>
    <w:lvl w:ilvl="0" w:tentative="0">
      <w:start w:val="2"/>
      <w:numFmt w:val="decimal"/>
      <w:suff w:val="nothing"/>
      <w:lvlText w:val="%1、"/>
      <w:lvlJc w:val="left"/>
    </w:lvl>
  </w:abstractNum>
  <w:abstractNum w:abstractNumId="2">
    <w:nsid w:val="5A471FE8"/>
    <w:multiLevelType w:val="singleLevel"/>
    <w:tmpl w:val="5A471FE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037E"/>
    <w:rsid w:val="0000082E"/>
    <w:rsid w:val="00000DD0"/>
    <w:rsid w:val="000014FB"/>
    <w:rsid w:val="0000215A"/>
    <w:rsid w:val="0000391E"/>
    <w:rsid w:val="00003BBD"/>
    <w:rsid w:val="0000480E"/>
    <w:rsid w:val="000048A9"/>
    <w:rsid w:val="00004F86"/>
    <w:rsid w:val="00005DC3"/>
    <w:rsid w:val="000060B3"/>
    <w:rsid w:val="00006798"/>
    <w:rsid w:val="00007546"/>
    <w:rsid w:val="0000758B"/>
    <w:rsid w:val="00007B5E"/>
    <w:rsid w:val="00007F63"/>
    <w:rsid w:val="00011308"/>
    <w:rsid w:val="00011513"/>
    <w:rsid w:val="00011547"/>
    <w:rsid w:val="00012123"/>
    <w:rsid w:val="0001355B"/>
    <w:rsid w:val="000136F3"/>
    <w:rsid w:val="00013784"/>
    <w:rsid w:val="00013BE0"/>
    <w:rsid w:val="00013D04"/>
    <w:rsid w:val="00013F45"/>
    <w:rsid w:val="0001431F"/>
    <w:rsid w:val="00014931"/>
    <w:rsid w:val="00014E13"/>
    <w:rsid w:val="0001502F"/>
    <w:rsid w:val="00015A08"/>
    <w:rsid w:val="00017511"/>
    <w:rsid w:val="00017ECA"/>
    <w:rsid w:val="0002075B"/>
    <w:rsid w:val="000207DB"/>
    <w:rsid w:val="00020A71"/>
    <w:rsid w:val="00021838"/>
    <w:rsid w:val="000219F9"/>
    <w:rsid w:val="00021E4B"/>
    <w:rsid w:val="00021E91"/>
    <w:rsid w:val="00022676"/>
    <w:rsid w:val="000228B6"/>
    <w:rsid w:val="00022E89"/>
    <w:rsid w:val="00023571"/>
    <w:rsid w:val="000240D0"/>
    <w:rsid w:val="00024750"/>
    <w:rsid w:val="00024AB0"/>
    <w:rsid w:val="00024FB7"/>
    <w:rsid w:val="000256FE"/>
    <w:rsid w:val="00026120"/>
    <w:rsid w:val="0002644D"/>
    <w:rsid w:val="000279CE"/>
    <w:rsid w:val="00030612"/>
    <w:rsid w:val="00030933"/>
    <w:rsid w:val="00030AF6"/>
    <w:rsid w:val="000313EA"/>
    <w:rsid w:val="00031591"/>
    <w:rsid w:val="000315DD"/>
    <w:rsid w:val="00031AB9"/>
    <w:rsid w:val="000325C7"/>
    <w:rsid w:val="00032EB2"/>
    <w:rsid w:val="00032F06"/>
    <w:rsid w:val="000336A1"/>
    <w:rsid w:val="00033851"/>
    <w:rsid w:val="000347F0"/>
    <w:rsid w:val="00034881"/>
    <w:rsid w:val="00035A7E"/>
    <w:rsid w:val="00035AFA"/>
    <w:rsid w:val="00035C1D"/>
    <w:rsid w:val="000367AC"/>
    <w:rsid w:val="0003723F"/>
    <w:rsid w:val="0003798F"/>
    <w:rsid w:val="00040913"/>
    <w:rsid w:val="00040AFD"/>
    <w:rsid w:val="000410EC"/>
    <w:rsid w:val="000414E5"/>
    <w:rsid w:val="00041ACA"/>
    <w:rsid w:val="00041F23"/>
    <w:rsid w:val="00042697"/>
    <w:rsid w:val="000426D2"/>
    <w:rsid w:val="00042E56"/>
    <w:rsid w:val="0004364B"/>
    <w:rsid w:val="00043A05"/>
    <w:rsid w:val="00044842"/>
    <w:rsid w:val="00045077"/>
    <w:rsid w:val="000450B2"/>
    <w:rsid w:val="000453DE"/>
    <w:rsid w:val="000456C2"/>
    <w:rsid w:val="00045B1F"/>
    <w:rsid w:val="00046020"/>
    <w:rsid w:val="00046303"/>
    <w:rsid w:val="00046AD2"/>
    <w:rsid w:val="0005085A"/>
    <w:rsid w:val="00051CC4"/>
    <w:rsid w:val="000527E2"/>
    <w:rsid w:val="00052C3B"/>
    <w:rsid w:val="00052CDD"/>
    <w:rsid w:val="00052D9E"/>
    <w:rsid w:val="0005312C"/>
    <w:rsid w:val="00054081"/>
    <w:rsid w:val="00054189"/>
    <w:rsid w:val="00054D83"/>
    <w:rsid w:val="00055509"/>
    <w:rsid w:val="00056B80"/>
    <w:rsid w:val="00056BF4"/>
    <w:rsid w:val="00057172"/>
    <w:rsid w:val="0005780B"/>
    <w:rsid w:val="000609A8"/>
    <w:rsid w:val="00061152"/>
    <w:rsid w:val="00061A18"/>
    <w:rsid w:val="00061B1F"/>
    <w:rsid w:val="000624E7"/>
    <w:rsid w:val="00062630"/>
    <w:rsid w:val="00062B1A"/>
    <w:rsid w:val="0006326D"/>
    <w:rsid w:val="00063C36"/>
    <w:rsid w:val="00065079"/>
    <w:rsid w:val="00066EDE"/>
    <w:rsid w:val="000671E4"/>
    <w:rsid w:val="0006758F"/>
    <w:rsid w:val="00070F42"/>
    <w:rsid w:val="00071151"/>
    <w:rsid w:val="000713E2"/>
    <w:rsid w:val="000719C5"/>
    <w:rsid w:val="000727E0"/>
    <w:rsid w:val="00072A0A"/>
    <w:rsid w:val="000733C4"/>
    <w:rsid w:val="00074515"/>
    <w:rsid w:val="00074783"/>
    <w:rsid w:val="00074947"/>
    <w:rsid w:val="0007498B"/>
    <w:rsid w:val="00074FC4"/>
    <w:rsid w:val="00076547"/>
    <w:rsid w:val="00076996"/>
    <w:rsid w:val="00077123"/>
    <w:rsid w:val="00077258"/>
    <w:rsid w:val="00077408"/>
    <w:rsid w:val="000774B3"/>
    <w:rsid w:val="00077814"/>
    <w:rsid w:val="00077CA9"/>
    <w:rsid w:val="00077EB1"/>
    <w:rsid w:val="0008070B"/>
    <w:rsid w:val="000810AC"/>
    <w:rsid w:val="00081A02"/>
    <w:rsid w:val="00082231"/>
    <w:rsid w:val="0008233B"/>
    <w:rsid w:val="0008291C"/>
    <w:rsid w:val="00082AF8"/>
    <w:rsid w:val="00082C2E"/>
    <w:rsid w:val="0008391E"/>
    <w:rsid w:val="00084086"/>
    <w:rsid w:val="00084C1D"/>
    <w:rsid w:val="000870B9"/>
    <w:rsid w:val="0008775A"/>
    <w:rsid w:val="000877C1"/>
    <w:rsid w:val="00090180"/>
    <w:rsid w:val="00090732"/>
    <w:rsid w:val="000908A4"/>
    <w:rsid w:val="000909AD"/>
    <w:rsid w:val="00090C57"/>
    <w:rsid w:val="00090C87"/>
    <w:rsid w:val="00090DD6"/>
    <w:rsid w:val="000919E7"/>
    <w:rsid w:val="00092236"/>
    <w:rsid w:val="0009249D"/>
    <w:rsid w:val="000928DD"/>
    <w:rsid w:val="00092D38"/>
    <w:rsid w:val="00093172"/>
    <w:rsid w:val="0009377B"/>
    <w:rsid w:val="00094A3C"/>
    <w:rsid w:val="00094BB4"/>
    <w:rsid w:val="00095355"/>
    <w:rsid w:val="00095510"/>
    <w:rsid w:val="00095F17"/>
    <w:rsid w:val="00096984"/>
    <w:rsid w:val="00096E7C"/>
    <w:rsid w:val="00096FE0"/>
    <w:rsid w:val="00097001"/>
    <w:rsid w:val="00097979"/>
    <w:rsid w:val="000A0969"/>
    <w:rsid w:val="000A0C5F"/>
    <w:rsid w:val="000A154E"/>
    <w:rsid w:val="000A1B95"/>
    <w:rsid w:val="000A1DDA"/>
    <w:rsid w:val="000A1E8E"/>
    <w:rsid w:val="000A20C9"/>
    <w:rsid w:val="000A230B"/>
    <w:rsid w:val="000A2F77"/>
    <w:rsid w:val="000A3275"/>
    <w:rsid w:val="000A33CB"/>
    <w:rsid w:val="000A3849"/>
    <w:rsid w:val="000A437D"/>
    <w:rsid w:val="000A44DA"/>
    <w:rsid w:val="000A4840"/>
    <w:rsid w:val="000A4A22"/>
    <w:rsid w:val="000A4AAD"/>
    <w:rsid w:val="000A4AE8"/>
    <w:rsid w:val="000A5ADB"/>
    <w:rsid w:val="000A5C9B"/>
    <w:rsid w:val="000A642A"/>
    <w:rsid w:val="000A6648"/>
    <w:rsid w:val="000A7CD3"/>
    <w:rsid w:val="000A7EA8"/>
    <w:rsid w:val="000B058F"/>
    <w:rsid w:val="000B1E6B"/>
    <w:rsid w:val="000B29B4"/>
    <w:rsid w:val="000B3314"/>
    <w:rsid w:val="000B3348"/>
    <w:rsid w:val="000B3985"/>
    <w:rsid w:val="000B3C2E"/>
    <w:rsid w:val="000B3DE0"/>
    <w:rsid w:val="000B4035"/>
    <w:rsid w:val="000B43C1"/>
    <w:rsid w:val="000B4467"/>
    <w:rsid w:val="000B465F"/>
    <w:rsid w:val="000B48D4"/>
    <w:rsid w:val="000B4DB9"/>
    <w:rsid w:val="000B552F"/>
    <w:rsid w:val="000B5B73"/>
    <w:rsid w:val="000B5E29"/>
    <w:rsid w:val="000B749B"/>
    <w:rsid w:val="000B7A30"/>
    <w:rsid w:val="000C09AC"/>
    <w:rsid w:val="000C17A2"/>
    <w:rsid w:val="000C261C"/>
    <w:rsid w:val="000C2ECF"/>
    <w:rsid w:val="000C3137"/>
    <w:rsid w:val="000C3591"/>
    <w:rsid w:val="000C4471"/>
    <w:rsid w:val="000C489C"/>
    <w:rsid w:val="000C4C53"/>
    <w:rsid w:val="000C5B90"/>
    <w:rsid w:val="000C5C7C"/>
    <w:rsid w:val="000C645E"/>
    <w:rsid w:val="000C71C6"/>
    <w:rsid w:val="000C767F"/>
    <w:rsid w:val="000C79E6"/>
    <w:rsid w:val="000D112F"/>
    <w:rsid w:val="000D1161"/>
    <w:rsid w:val="000D1A0A"/>
    <w:rsid w:val="000D22A4"/>
    <w:rsid w:val="000D3D58"/>
    <w:rsid w:val="000D47C8"/>
    <w:rsid w:val="000D4D5B"/>
    <w:rsid w:val="000D4D78"/>
    <w:rsid w:val="000D5462"/>
    <w:rsid w:val="000D568D"/>
    <w:rsid w:val="000D5A44"/>
    <w:rsid w:val="000D5D82"/>
    <w:rsid w:val="000D5F32"/>
    <w:rsid w:val="000D6C4E"/>
    <w:rsid w:val="000E1780"/>
    <w:rsid w:val="000E2E65"/>
    <w:rsid w:val="000E2FB8"/>
    <w:rsid w:val="000E3833"/>
    <w:rsid w:val="000E3ED2"/>
    <w:rsid w:val="000E4C79"/>
    <w:rsid w:val="000E5185"/>
    <w:rsid w:val="000E67E9"/>
    <w:rsid w:val="000E6BCA"/>
    <w:rsid w:val="000E6F19"/>
    <w:rsid w:val="000E793B"/>
    <w:rsid w:val="000E7FD0"/>
    <w:rsid w:val="000F015F"/>
    <w:rsid w:val="000F0A83"/>
    <w:rsid w:val="000F0F1F"/>
    <w:rsid w:val="000F15B3"/>
    <w:rsid w:val="000F16C8"/>
    <w:rsid w:val="000F2212"/>
    <w:rsid w:val="000F2E64"/>
    <w:rsid w:val="000F324B"/>
    <w:rsid w:val="000F3A84"/>
    <w:rsid w:val="000F3EAE"/>
    <w:rsid w:val="000F4A5E"/>
    <w:rsid w:val="000F54FB"/>
    <w:rsid w:val="000F6317"/>
    <w:rsid w:val="000F67C7"/>
    <w:rsid w:val="000F6BD6"/>
    <w:rsid w:val="000F7D87"/>
    <w:rsid w:val="001003D1"/>
    <w:rsid w:val="001008EA"/>
    <w:rsid w:val="00100C3E"/>
    <w:rsid w:val="00100FEA"/>
    <w:rsid w:val="001012B0"/>
    <w:rsid w:val="00101C86"/>
    <w:rsid w:val="00102619"/>
    <w:rsid w:val="00102DEE"/>
    <w:rsid w:val="00102E4F"/>
    <w:rsid w:val="00103127"/>
    <w:rsid w:val="0010388D"/>
    <w:rsid w:val="00103C8C"/>
    <w:rsid w:val="00103D86"/>
    <w:rsid w:val="00104D4C"/>
    <w:rsid w:val="00105550"/>
    <w:rsid w:val="001058F4"/>
    <w:rsid w:val="00105BCB"/>
    <w:rsid w:val="001061C1"/>
    <w:rsid w:val="00106698"/>
    <w:rsid w:val="00106E69"/>
    <w:rsid w:val="00106FE1"/>
    <w:rsid w:val="001076C2"/>
    <w:rsid w:val="0010784F"/>
    <w:rsid w:val="00110175"/>
    <w:rsid w:val="001105BC"/>
    <w:rsid w:val="001109D7"/>
    <w:rsid w:val="0011235A"/>
    <w:rsid w:val="001129B1"/>
    <w:rsid w:val="00112EBB"/>
    <w:rsid w:val="00112F80"/>
    <w:rsid w:val="0011304D"/>
    <w:rsid w:val="00113557"/>
    <w:rsid w:val="00113B47"/>
    <w:rsid w:val="0011409F"/>
    <w:rsid w:val="00115448"/>
    <w:rsid w:val="00115E5C"/>
    <w:rsid w:val="00115F0F"/>
    <w:rsid w:val="00116225"/>
    <w:rsid w:val="00116E3B"/>
    <w:rsid w:val="00120551"/>
    <w:rsid w:val="00121404"/>
    <w:rsid w:val="00122CF4"/>
    <w:rsid w:val="00122D61"/>
    <w:rsid w:val="001230B8"/>
    <w:rsid w:val="0012336E"/>
    <w:rsid w:val="00123849"/>
    <w:rsid w:val="00124287"/>
    <w:rsid w:val="0012478B"/>
    <w:rsid w:val="00124798"/>
    <w:rsid w:val="001248F0"/>
    <w:rsid w:val="00124DB7"/>
    <w:rsid w:val="00125620"/>
    <w:rsid w:val="00125F38"/>
    <w:rsid w:val="00126789"/>
    <w:rsid w:val="001269A0"/>
    <w:rsid w:val="00127944"/>
    <w:rsid w:val="00127A80"/>
    <w:rsid w:val="00127BA4"/>
    <w:rsid w:val="00127F1D"/>
    <w:rsid w:val="00130587"/>
    <w:rsid w:val="00130F29"/>
    <w:rsid w:val="00131558"/>
    <w:rsid w:val="00131685"/>
    <w:rsid w:val="00131C40"/>
    <w:rsid w:val="00131F42"/>
    <w:rsid w:val="0013231B"/>
    <w:rsid w:val="00132E23"/>
    <w:rsid w:val="00132F5F"/>
    <w:rsid w:val="0013358A"/>
    <w:rsid w:val="00133E05"/>
    <w:rsid w:val="00134857"/>
    <w:rsid w:val="00134867"/>
    <w:rsid w:val="001348F3"/>
    <w:rsid w:val="00135576"/>
    <w:rsid w:val="00135727"/>
    <w:rsid w:val="001357F1"/>
    <w:rsid w:val="00136663"/>
    <w:rsid w:val="001368C1"/>
    <w:rsid w:val="00136B43"/>
    <w:rsid w:val="00136E14"/>
    <w:rsid w:val="00136F7F"/>
    <w:rsid w:val="0013726A"/>
    <w:rsid w:val="0013748A"/>
    <w:rsid w:val="001375DD"/>
    <w:rsid w:val="00140A2A"/>
    <w:rsid w:val="00140FA8"/>
    <w:rsid w:val="00141544"/>
    <w:rsid w:val="0014178A"/>
    <w:rsid w:val="00141B9D"/>
    <w:rsid w:val="00141E21"/>
    <w:rsid w:val="00141FF9"/>
    <w:rsid w:val="001423F8"/>
    <w:rsid w:val="001425A6"/>
    <w:rsid w:val="00142ED6"/>
    <w:rsid w:val="00142EE0"/>
    <w:rsid w:val="00142FEB"/>
    <w:rsid w:val="00143A2D"/>
    <w:rsid w:val="00143A5D"/>
    <w:rsid w:val="00143A65"/>
    <w:rsid w:val="00143C08"/>
    <w:rsid w:val="00143E22"/>
    <w:rsid w:val="001448AF"/>
    <w:rsid w:val="00144983"/>
    <w:rsid w:val="0014559E"/>
    <w:rsid w:val="001459C9"/>
    <w:rsid w:val="00145A41"/>
    <w:rsid w:val="00145A48"/>
    <w:rsid w:val="00145B68"/>
    <w:rsid w:val="001461C6"/>
    <w:rsid w:val="00146FBD"/>
    <w:rsid w:val="00150793"/>
    <w:rsid w:val="00150BAB"/>
    <w:rsid w:val="00151675"/>
    <w:rsid w:val="00151A40"/>
    <w:rsid w:val="00151C86"/>
    <w:rsid w:val="00151E40"/>
    <w:rsid w:val="0015273D"/>
    <w:rsid w:val="00152CBB"/>
    <w:rsid w:val="00152D06"/>
    <w:rsid w:val="00152D62"/>
    <w:rsid w:val="00152F4F"/>
    <w:rsid w:val="00153927"/>
    <w:rsid w:val="0015430E"/>
    <w:rsid w:val="001549DD"/>
    <w:rsid w:val="00154E4B"/>
    <w:rsid w:val="0015573C"/>
    <w:rsid w:val="00155F16"/>
    <w:rsid w:val="00156482"/>
    <w:rsid w:val="00156688"/>
    <w:rsid w:val="00157435"/>
    <w:rsid w:val="00160308"/>
    <w:rsid w:val="001605C2"/>
    <w:rsid w:val="00161036"/>
    <w:rsid w:val="001614A6"/>
    <w:rsid w:val="00161937"/>
    <w:rsid w:val="00161AE5"/>
    <w:rsid w:val="0016218B"/>
    <w:rsid w:val="0016323D"/>
    <w:rsid w:val="0016365C"/>
    <w:rsid w:val="00164161"/>
    <w:rsid w:val="001645A1"/>
    <w:rsid w:val="00164A43"/>
    <w:rsid w:val="001652E2"/>
    <w:rsid w:val="00165636"/>
    <w:rsid w:val="00165779"/>
    <w:rsid w:val="00165B03"/>
    <w:rsid w:val="001663FC"/>
    <w:rsid w:val="00166490"/>
    <w:rsid w:val="001670A5"/>
    <w:rsid w:val="00167136"/>
    <w:rsid w:val="00170131"/>
    <w:rsid w:val="001705AB"/>
    <w:rsid w:val="00170FDA"/>
    <w:rsid w:val="001714E9"/>
    <w:rsid w:val="00172BEE"/>
    <w:rsid w:val="00174264"/>
    <w:rsid w:val="00174847"/>
    <w:rsid w:val="0017504D"/>
    <w:rsid w:val="00175BEA"/>
    <w:rsid w:val="00175E31"/>
    <w:rsid w:val="00176341"/>
    <w:rsid w:val="0017671A"/>
    <w:rsid w:val="00176D13"/>
    <w:rsid w:val="0017704F"/>
    <w:rsid w:val="00177422"/>
    <w:rsid w:val="0017771A"/>
    <w:rsid w:val="00177C43"/>
    <w:rsid w:val="00180847"/>
    <w:rsid w:val="00180B6B"/>
    <w:rsid w:val="00181FE7"/>
    <w:rsid w:val="0018216F"/>
    <w:rsid w:val="001825CE"/>
    <w:rsid w:val="00182B34"/>
    <w:rsid w:val="001832D8"/>
    <w:rsid w:val="00183A33"/>
    <w:rsid w:val="00184590"/>
    <w:rsid w:val="00184983"/>
    <w:rsid w:val="00185598"/>
    <w:rsid w:val="00185F6E"/>
    <w:rsid w:val="00186F7B"/>
    <w:rsid w:val="001870D1"/>
    <w:rsid w:val="0018781E"/>
    <w:rsid w:val="00187A33"/>
    <w:rsid w:val="00187CBD"/>
    <w:rsid w:val="001910FA"/>
    <w:rsid w:val="00191E71"/>
    <w:rsid w:val="0019262D"/>
    <w:rsid w:val="00192885"/>
    <w:rsid w:val="001928BE"/>
    <w:rsid w:val="00193527"/>
    <w:rsid w:val="00193C79"/>
    <w:rsid w:val="00193FB0"/>
    <w:rsid w:val="00194881"/>
    <w:rsid w:val="00194A4A"/>
    <w:rsid w:val="00195555"/>
    <w:rsid w:val="00195DA4"/>
    <w:rsid w:val="001971DC"/>
    <w:rsid w:val="001977F5"/>
    <w:rsid w:val="00197930"/>
    <w:rsid w:val="00197F02"/>
    <w:rsid w:val="001A0062"/>
    <w:rsid w:val="001A0339"/>
    <w:rsid w:val="001A0705"/>
    <w:rsid w:val="001A08DA"/>
    <w:rsid w:val="001A0F15"/>
    <w:rsid w:val="001A106F"/>
    <w:rsid w:val="001A113E"/>
    <w:rsid w:val="001A1B35"/>
    <w:rsid w:val="001A26E3"/>
    <w:rsid w:val="001A3584"/>
    <w:rsid w:val="001A48A2"/>
    <w:rsid w:val="001A4ED7"/>
    <w:rsid w:val="001A54A2"/>
    <w:rsid w:val="001A6373"/>
    <w:rsid w:val="001A69D9"/>
    <w:rsid w:val="001A6F61"/>
    <w:rsid w:val="001A71F9"/>
    <w:rsid w:val="001A7502"/>
    <w:rsid w:val="001A7CC0"/>
    <w:rsid w:val="001A7FD9"/>
    <w:rsid w:val="001B0684"/>
    <w:rsid w:val="001B131C"/>
    <w:rsid w:val="001B234D"/>
    <w:rsid w:val="001B28C4"/>
    <w:rsid w:val="001B3DDE"/>
    <w:rsid w:val="001B3EDF"/>
    <w:rsid w:val="001B3F73"/>
    <w:rsid w:val="001B5039"/>
    <w:rsid w:val="001B5941"/>
    <w:rsid w:val="001B6680"/>
    <w:rsid w:val="001B6FCD"/>
    <w:rsid w:val="001B7246"/>
    <w:rsid w:val="001B7287"/>
    <w:rsid w:val="001B72B8"/>
    <w:rsid w:val="001B74DD"/>
    <w:rsid w:val="001B7655"/>
    <w:rsid w:val="001C0268"/>
    <w:rsid w:val="001C0483"/>
    <w:rsid w:val="001C082F"/>
    <w:rsid w:val="001C09E0"/>
    <w:rsid w:val="001C0CFF"/>
    <w:rsid w:val="001C1436"/>
    <w:rsid w:val="001C1513"/>
    <w:rsid w:val="001C165C"/>
    <w:rsid w:val="001C1D69"/>
    <w:rsid w:val="001C29F2"/>
    <w:rsid w:val="001C2A93"/>
    <w:rsid w:val="001C320C"/>
    <w:rsid w:val="001C4991"/>
    <w:rsid w:val="001C5681"/>
    <w:rsid w:val="001C64D0"/>
    <w:rsid w:val="001C69B3"/>
    <w:rsid w:val="001D0071"/>
    <w:rsid w:val="001D0330"/>
    <w:rsid w:val="001D0690"/>
    <w:rsid w:val="001D0AC9"/>
    <w:rsid w:val="001D0B21"/>
    <w:rsid w:val="001D2141"/>
    <w:rsid w:val="001D23B1"/>
    <w:rsid w:val="001D3117"/>
    <w:rsid w:val="001D48B6"/>
    <w:rsid w:val="001D5595"/>
    <w:rsid w:val="001D749D"/>
    <w:rsid w:val="001D74B2"/>
    <w:rsid w:val="001D7874"/>
    <w:rsid w:val="001D7C3E"/>
    <w:rsid w:val="001D7F22"/>
    <w:rsid w:val="001E01C6"/>
    <w:rsid w:val="001E11B9"/>
    <w:rsid w:val="001E2178"/>
    <w:rsid w:val="001E22FE"/>
    <w:rsid w:val="001E245D"/>
    <w:rsid w:val="001E2BE7"/>
    <w:rsid w:val="001E3263"/>
    <w:rsid w:val="001E3484"/>
    <w:rsid w:val="001E3600"/>
    <w:rsid w:val="001E3D95"/>
    <w:rsid w:val="001E3E62"/>
    <w:rsid w:val="001E41EB"/>
    <w:rsid w:val="001E4DE4"/>
    <w:rsid w:val="001E4F81"/>
    <w:rsid w:val="001E5188"/>
    <w:rsid w:val="001E565F"/>
    <w:rsid w:val="001E57B1"/>
    <w:rsid w:val="001E5E26"/>
    <w:rsid w:val="001E6432"/>
    <w:rsid w:val="001E75D6"/>
    <w:rsid w:val="001E79DF"/>
    <w:rsid w:val="001F05CB"/>
    <w:rsid w:val="001F06FA"/>
    <w:rsid w:val="001F0F17"/>
    <w:rsid w:val="001F1659"/>
    <w:rsid w:val="001F17B3"/>
    <w:rsid w:val="001F1B90"/>
    <w:rsid w:val="001F2BAC"/>
    <w:rsid w:val="001F3347"/>
    <w:rsid w:val="001F4CF1"/>
    <w:rsid w:val="001F5011"/>
    <w:rsid w:val="001F6303"/>
    <w:rsid w:val="001F6842"/>
    <w:rsid w:val="001F69E4"/>
    <w:rsid w:val="001F6B75"/>
    <w:rsid w:val="001F7462"/>
    <w:rsid w:val="001F794F"/>
    <w:rsid w:val="001F7D6E"/>
    <w:rsid w:val="00201034"/>
    <w:rsid w:val="002011FC"/>
    <w:rsid w:val="002014D2"/>
    <w:rsid w:val="00201C9D"/>
    <w:rsid w:val="00201F5E"/>
    <w:rsid w:val="002032A5"/>
    <w:rsid w:val="00203FC3"/>
    <w:rsid w:val="0020461B"/>
    <w:rsid w:val="00204C0D"/>
    <w:rsid w:val="00205427"/>
    <w:rsid w:val="00206866"/>
    <w:rsid w:val="0020740D"/>
    <w:rsid w:val="00207B48"/>
    <w:rsid w:val="00210493"/>
    <w:rsid w:val="002104ED"/>
    <w:rsid w:val="002105FD"/>
    <w:rsid w:val="00211127"/>
    <w:rsid w:val="002120ED"/>
    <w:rsid w:val="002125B4"/>
    <w:rsid w:val="0021292D"/>
    <w:rsid w:val="00212B53"/>
    <w:rsid w:val="00212BA1"/>
    <w:rsid w:val="00212E62"/>
    <w:rsid w:val="002133C4"/>
    <w:rsid w:val="0021419A"/>
    <w:rsid w:val="00214BF3"/>
    <w:rsid w:val="002155B8"/>
    <w:rsid w:val="0021596C"/>
    <w:rsid w:val="002168D8"/>
    <w:rsid w:val="002170AF"/>
    <w:rsid w:val="002172DB"/>
    <w:rsid w:val="00217437"/>
    <w:rsid w:val="002206AF"/>
    <w:rsid w:val="00221526"/>
    <w:rsid w:val="00221907"/>
    <w:rsid w:val="00221A5D"/>
    <w:rsid w:val="002233FC"/>
    <w:rsid w:val="00223571"/>
    <w:rsid w:val="00223D78"/>
    <w:rsid w:val="00224839"/>
    <w:rsid w:val="002249B2"/>
    <w:rsid w:val="00226470"/>
    <w:rsid w:val="002264AB"/>
    <w:rsid w:val="00226574"/>
    <w:rsid w:val="00227601"/>
    <w:rsid w:val="002278EC"/>
    <w:rsid w:val="00227D77"/>
    <w:rsid w:val="00227E7C"/>
    <w:rsid w:val="002311BC"/>
    <w:rsid w:val="0023165C"/>
    <w:rsid w:val="00231EE5"/>
    <w:rsid w:val="002320E8"/>
    <w:rsid w:val="0023280E"/>
    <w:rsid w:val="00232BA6"/>
    <w:rsid w:val="00232E77"/>
    <w:rsid w:val="00233EB1"/>
    <w:rsid w:val="00233F26"/>
    <w:rsid w:val="002344DE"/>
    <w:rsid w:val="00235C82"/>
    <w:rsid w:val="00236C21"/>
    <w:rsid w:val="00237673"/>
    <w:rsid w:val="002377D1"/>
    <w:rsid w:val="00240086"/>
    <w:rsid w:val="002400A9"/>
    <w:rsid w:val="0024122E"/>
    <w:rsid w:val="00243164"/>
    <w:rsid w:val="002431AD"/>
    <w:rsid w:val="002435F6"/>
    <w:rsid w:val="00243D1D"/>
    <w:rsid w:val="00244518"/>
    <w:rsid w:val="002453EA"/>
    <w:rsid w:val="00245B74"/>
    <w:rsid w:val="00245C10"/>
    <w:rsid w:val="00247279"/>
    <w:rsid w:val="002473F8"/>
    <w:rsid w:val="0024761B"/>
    <w:rsid w:val="00247E80"/>
    <w:rsid w:val="00247F63"/>
    <w:rsid w:val="002503EC"/>
    <w:rsid w:val="002506BC"/>
    <w:rsid w:val="002511FE"/>
    <w:rsid w:val="0025187E"/>
    <w:rsid w:val="00251C52"/>
    <w:rsid w:val="00252358"/>
    <w:rsid w:val="00252660"/>
    <w:rsid w:val="00252B89"/>
    <w:rsid w:val="00253495"/>
    <w:rsid w:val="00253F87"/>
    <w:rsid w:val="00254345"/>
    <w:rsid w:val="00254536"/>
    <w:rsid w:val="0025463E"/>
    <w:rsid w:val="00255455"/>
    <w:rsid w:val="00256968"/>
    <w:rsid w:val="00257253"/>
    <w:rsid w:val="00257568"/>
    <w:rsid w:val="00257987"/>
    <w:rsid w:val="00257A74"/>
    <w:rsid w:val="00257D98"/>
    <w:rsid w:val="00260BA5"/>
    <w:rsid w:val="0026112B"/>
    <w:rsid w:val="002613D4"/>
    <w:rsid w:val="0026156E"/>
    <w:rsid w:val="00261744"/>
    <w:rsid w:val="002617F8"/>
    <w:rsid w:val="00261A34"/>
    <w:rsid w:val="002626C9"/>
    <w:rsid w:val="00264063"/>
    <w:rsid w:val="0026451C"/>
    <w:rsid w:val="00264557"/>
    <w:rsid w:val="00264850"/>
    <w:rsid w:val="00264FE6"/>
    <w:rsid w:val="00266649"/>
    <w:rsid w:val="00266C07"/>
    <w:rsid w:val="00267244"/>
    <w:rsid w:val="0026781D"/>
    <w:rsid w:val="0026787C"/>
    <w:rsid w:val="0027069E"/>
    <w:rsid w:val="00270808"/>
    <w:rsid w:val="00271485"/>
    <w:rsid w:val="002719A2"/>
    <w:rsid w:val="00271ACF"/>
    <w:rsid w:val="00272487"/>
    <w:rsid w:val="002736D5"/>
    <w:rsid w:val="002737A9"/>
    <w:rsid w:val="00273EE1"/>
    <w:rsid w:val="0027428B"/>
    <w:rsid w:val="00275910"/>
    <w:rsid w:val="0027787C"/>
    <w:rsid w:val="00277DB5"/>
    <w:rsid w:val="00280422"/>
    <w:rsid w:val="002805AB"/>
    <w:rsid w:val="00280F8C"/>
    <w:rsid w:val="0028100F"/>
    <w:rsid w:val="002815BC"/>
    <w:rsid w:val="002816D7"/>
    <w:rsid w:val="002816F2"/>
    <w:rsid w:val="00281F15"/>
    <w:rsid w:val="0028257A"/>
    <w:rsid w:val="002828F1"/>
    <w:rsid w:val="002829AE"/>
    <w:rsid w:val="002834B9"/>
    <w:rsid w:val="00283571"/>
    <w:rsid w:val="00283879"/>
    <w:rsid w:val="00283A5E"/>
    <w:rsid w:val="00283FEC"/>
    <w:rsid w:val="00284204"/>
    <w:rsid w:val="0028444C"/>
    <w:rsid w:val="00284C20"/>
    <w:rsid w:val="00285EE7"/>
    <w:rsid w:val="00286CBA"/>
    <w:rsid w:val="00286E4B"/>
    <w:rsid w:val="00287750"/>
    <w:rsid w:val="00287F15"/>
    <w:rsid w:val="00287F37"/>
    <w:rsid w:val="0029091D"/>
    <w:rsid w:val="00291150"/>
    <w:rsid w:val="00291411"/>
    <w:rsid w:val="00291773"/>
    <w:rsid w:val="0029246B"/>
    <w:rsid w:val="00292B9D"/>
    <w:rsid w:val="002938DE"/>
    <w:rsid w:val="00293BC0"/>
    <w:rsid w:val="00293C12"/>
    <w:rsid w:val="00294EB6"/>
    <w:rsid w:val="0029530B"/>
    <w:rsid w:val="002957E2"/>
    <w:rsid w:val="00295905"/>
    <w:rsid w:val="00295915"/>
    <w:rsid w:val="002965EB"/>
    <w:rsid w:val="00296BEC"/>
    <w:rsid w:val="002A168C"/>
    <w:rsid w:val="002A20E9"/>
    <w:rsid w:val="002A24CF"/>
    <w:rsid w:val="002A27AC"/>
    <w:rsid w:val="002A2B0A"/>
    <w:rsid w:val="002A35FD"/>
    <w:rsid w:val="002A3DC7"/>
    <w:rsid w:val="002A4410"/>
    <w:rsid w:val="002A48C7"/>
    <w:rsid w:val="002A4EED"/>
    <w:rsid w:val="002A5016"/>
    <w:rsid w:val="002A5649"/>
    <w:rsid w:val="002A58F8"/>
    <w:rsid w:val="002A590D"/>
    <w:rsid w:val="002A6148"/>
    <w:rsid w:val="002A6859"/>
    <w:rsid w:val="002A7AC4"/>
    <w:rsid w:val="002B0822"/>
    <w:rsid w:val="002B0AB2"/>
    <w:rsid w:val="002B0F64"/>
    <w:rsid w:val="002B1042"/>
    <w:rsid w:val="002B1935"/>
    <w:rsid w:val="002B1DE3"/>
    <w:rsid w:val="002B26E6"/>
    <w:rsid w:val="002B3EA2"/>
    <w:rsid w:val="002B49E2"/>
    <w:rsid w:val="002B50F4"/>
    <w:rsid w:val="002B5333"/>
    <w:rsid w:val="002B55D9"/>
    <w:rsid w:val="002B57DE"/>
    <w:rsid w:val="002B5B0D"/>
    <w:rsid w:val="002B6D92"/>
    <w:rsid w:val="002B6EEB"/>
    <w:rsid w:val="002B7B00"/>
    <w:rsid w:val="002B7C44"/>
    <w:rsid w:val="002B7CD3"/>
    <w:rsid w:val="002B7D06"/>
    <w:rsid w:val="002C0890"/>
    <w:rsid w:val="002C100E"/>
    <w:rsid w:val="002C1109"/>
    <w:rsid w:val="002C155C"/>
    <w:rsid w:val="002C1EEF"/>
    <w:rsid w:val="002C2B11"/>
    <w:rsid w:val="002C2B17"/>
    <w:rsid w:val="002C3078"/>
    <w:rsid w:val="002C36B0"/>
    <w:rsid w:val="002C4622"/>
    <w:rsid w:val="002C4B1E"/>
    <w:rsid w:val="002C4E39"/>
    <w:rsid w:val="002C505E"/>
    <w:rsid w:val="002C51DE"/>
    <w:rsid w:val="002C53E3"/>
    <w:rsid w:val="002C54BA"/>
    <w:rsid w:val="002C57D2"/>
    <w:rsid w:val="002C69D0"/>
    <w:rsid w:val="002C6DA6"/>
    <w:rsid w:val="002C741F"/>
    <w:rsid w:val="002C7D1F"/>
    <w:rsid w:val="002D05E9"/>
    <w:rsid w:val="002D148F"/>
    <w:rsid w:val="002D1A1C"/>
    <w:rsid w:val="002D335A"/>
    <w:rsid w:val="002D3DD0"/>
    <w:rsid w:val="002D555C"/>
    <w:rsid w:val="002D5959"/>
    <w:rsid w:val="002D671A"/>
    <w:rsid w:val="002D677E"/>
    <w:rsid w:val="002D6AD6"/>
    <w:rsid w:val="002E069D"/>
    <w:rsid w:val="002E08E0"/>
    <w:rsid w:val="002E0BB3"/>
    <w:rsid w:val="002E1035"/>
    <w:rsid w:val="002E10B9"/>
    <w:rsid w:val="002E1685"/>
    <w:rsid w:val="002E17F2"/>
    <w:rsid w:val="002E1C6E"/>
    <w:rsid w:val="002E1F3A"/>
    <w:rsid w:val="002E20BF"/>
    <w:rsid w:val="002E24FE"/>
    <w:rsid w:val="002E2976"/>
    <w:rsid w:val="002E298A"/>
    <w:rsid w:val="002E29F0"/>
    <w:rsid w:val="002E2C0D"/>
    <w:rsid w:val="002E3149"/>
    <w:rsid w:val="002E3590"/>
    <w:rsid w:val="002E386F"/>
    <w:rsid w:val="002E3D88"/>
    <w:rsid w:val="002E4A9C"/>
    <w:rsid w:val="002E52C5"/>
    <w:rsid w:val="002E633F"/>
    <w:rsid w:val="002E65E1"/>
    <w:rsid w:val="002E6641"/>
    <w:rsid w:val="002E6A5D"/>
    <w:rsid w:val="002E7169"/>
    <w:rsid w:val="002E764A"/>
    <w:rsid w:val="002E779B"/>
    <w:rsid w:val="002E7CC7"/>
    <w:rsid w:val="002E7E66"/>
    <w:rsid w:val="002F015F"/>
    <w:rsid w:val="002F018C"/>
    <w:rsid w:val="002F0791"/>
    <w:rsid w:val="002F0803"/>
    <w:rsid w:val="002F0FA4"/>
    <w:rsid w:val="002F1095"/>
    <w:rsid w:val="002F1545"/>
    <w:rsid w:val="002F5499"/>
    <w:rsid w:val="002F5618"/>
    <w:rsid w:val="002F57C5"/>
    <w:rsid w:val="002F590A"/>
    <w:rsid w:val="002F630F"/>
    <w:rsid w:val="002F6812"/>
    <w:rsid w:val="002F6A0D"/>
    <w:rsid w:val="002F7840"/>
    <w:rsid w:val="002F7DBD"/>
    <w:rsid w:val="00300E16"/>
    <w:rsid w:val="0030135F"/>
    <w:rsid w:val="00301978"/>
    <w:rsid w:val="00301D9F"/>
    <w:rsid w:val="00301FC5"/>
    <w:rsid w:val="003028F1"/>
    <w:rsid w:val="00302BA0"/>
    <w:rsid w:val="00302C60"/>
    <w:rsid w:val="0030332C"/>
    <w:rsid w:val="003038A4"/>
    <w:rsid w:val="00304272"/>
    <w:rsid w:val="003046D3"/>
    <w:rsid w:val="00304959"/>
    <w:rsid w:val="00304C77"/>
    <w:rsid w:val="00304CE7"/>
    <w:rsid w:val="003051C2"/>
    <w:rsid w:val="003054F1"/>
    <w:rsid w:val="003057BB"/>
    <w:rsid w:val="003065AA"/>
    <w:rsid w:val="00306ED6"/>
    <w:rsid w:val="00306EE0"/>
    <w:rsid w:val="00307082"/>
    <w:rsid w:val="003075BD"/>
    <w:rsid w:val="00310299"/>
    <w:rsid w:val="00310433"/>
    <w:rsid w:val="00310580"/>
    <w:rsid w:val="00310810"/>
    <w:rsid w:val="00310840"/>
    <w:rsid w:val="00312296"/>
    <w:rsid w:val="00312528"/>
    <w:rsid w:val="003131D3"/>
    <w:rsid w:val="0031374D"/>
    <w:rsid w:val="003138C0"/>
    <w:rsid w:val="003138CB"/>
    <w:rsid w:val="00314775"/>
    <w:rsid w:val="00314B11"/>
    <w:rsid w:val="00314F0E"/>
    <w:rsid w:val="00314F7E"/>
    <w:rsid w:val="003159C9"/>
    <w:rsid w:val="00316515"/>
    <w:rsid w:val="00317455"/>
    <w:rsid w:val="00317542"/>
    <w:rsid w:val="00317F53"/>
    <w:rsid w:val="00320BF4"/>
    <w:rsid w:val="0032130E"/>
    <w:rsid w:val="003215E6"/>
    <w:rsid w:val="003219A3"/>
    <w:rsid w:val="00321D8E"/>
    <w:rsid w:val="00322113"/>
    <w:rsid w:val="00322EEF"/>
    <w:rsid w:val="00323552"/>
    <w:rsid w:val="00324252"/>
    <w:rsid w:val="003249A9"/>
    <w:rsid w:val="00324B10"/>
    <w:rsid w:val="0032510A"/>
    <w:rsid w:val="003252E4"/>
    <w:rsid w:val="0032585E"/>
    <w:rsid w:val="00325928"/>
    <w:rsid w:val="00325F6C"/>
    <w:rsid w:val="0032671C"/>
    <w:rsid w:val="003300B8"/>
    <w:rsid w:val="00330273"/>
    <w:rsid w:val="00330D6B"/>
    <w:rsid w:val="00331DAC"/>
    <w:rsid w:val="00332177"/>
    <w:rsid w:val="0033258B"/>
    <w:rsid w:val="00332863"/>
    <w:rsid w:val="00332E1A"/>
    <w:rsid w:val="0033321B"/>
    <w:rsid w:val="0033363C"/>
    <w:rsid w:val="00333EBF"/>
    <w:rsid w:val="0033442D"/>
    <w:rsid w:val="00334E81"/>
    <w:rsid w:val="00334F3F"/>
    <w:rsid w:val="00334FB3"/>
    <w:rsid w:val="003351BB"/>
    <w:rsid w:val="00335484"/>
    <w:rsid w:val="003355E7"/>
    <w:rsid w:val="003359BF"/>
    <w:rsid w:val="00335E16"/>
    <w:rsid w:val="00336064"/>
    <w:rsid w:val="003365A3"/>
    <w:rsid w:val="0033684D"/>
    <w:rsid w:val="00336CAB"/>
    <w:rsid w:val="00336E0C"/>
    <w:rsid w:val="00337B42"/>
    <w:rsid w:val="00340729"/>
    <w:rsid w:val="003412FB"/>
    <w:rsid w:val="00341B42"/>
    <w:rsid w:val="00342296"/>
    <w:rsid w:val="0034348F"/>
    <w:rsid w:val="003447C4"/>
    <w:rsid w:val="00344BCD"/>
    <w:rsid w:val="003451AD"/>
    <w:rsid w:val="0034539E"/>
    <w:rsid w:val="00346AC3"/>
    <w:rsid w:val="0034728F"/>
    <w:rsid w:val="00347324"/>
    <w:rsid w:val="0034735A"/>
    <w:rsid w:val="00347657"/>
    <w:rsid w:val="00350149"/>
    <w:rsid w:val="0035028E"/>
    <w:rsid w:val="0035046F"/>
    <w:rsid w:val="00350FF5"/>
    <w:rsid w:val="00351944"/>
    <w:rsid w:val="003537C9"/>
    <w:rsid w:val="00353EF4"/>
    <w:rsid w:val="00354985"/>
    <w:rsid w:val="00354B25"/>
    <w:rsid w:val="00354CD5"/>
    <w:rsid w:val="00355F90"/>
    <w:rsid w:val="0035605D"/>
    <w:rsid w:val="00356523"/>
    <w:rsid w:val="00356653"/>
    <w:rsid w:val="00356EE9"/>
    <w:rsid w:val="003571E1"/>
    <w:rsid w:val="0035743F"/>
    <w:rsid w:val="00357B17"/>
    <w:rsid w:val="00357BE2"/>
    <w:rsid w:val="00357C9E"/>
    <w:rsid w:val="00357E01"/>
    <w:rsid w:val="003604AD"/>
    <w:rsid w:val="003609C0"/>
    <w:rsid w:val="0036170C"/>
    <w:rsid w:val="00361884"/>
    <w:rsid w:val="00361B17"/>
    <w:rsid w:val="00362BB7"/>
    <w:rsid w:val="00362C34"/>
    <w:rsid w:val="00362E93"/>
    <w:rsid w:val="0036306E"/>
    <w:rsid w:val="00363234"/>
    <w:rsid w:val="00363C16"/>
    <w:rsid w:val="003641A9"/>
    <w:rsid w:val="00365325"/>
    <w:rsid w:val="003658E3"/>
    <w:rsid w:val="00365C76"/>
    <w:rsid w:val="00366150"/>
    <w:rsid w:val="0036697F"/>
    <w:rsid w:val="00366E0F"/>
    <w:rsid w:val="0036737C"/>
    <w:rsid w:val="0036747E"/>
    <w:rsid w:val="0036777C"/>
    <w:rsid w:val="00367FB5"/>
    <w:rsid w:val="00370336"/>
    <w:rsid w:val="00371523"/>
    <w:rsid w:val="00371FA6"/>
    <w:rsid w:val="003728E8"/>
    <w:rsid w:val="00372FF4"/>
    <w:rsid w:val="00374CE0"/>
    <w:rsid w:val="00374FBB"/>
    <w:rsid w:val="003757B5"/>
    <w:rsid w:val="003758C9"/>
    <w:rsid w:val="00375CA3"/>
    <w:rsid w:val="00375DFB"/>
    <w:rsid w:val="0037660F"/>
    <w:rsid w:val="00376678"/>
    <w:rsid w:val="00376D93"/>
    <w:rsid w:val="00377305"/>
    <w:rsid w:val="003774D7"/>
    <w:rsid w:val="003774DF"/>
    <w:rsid w:val="0037751E"/>
    <w:rsid w:val="00377736"/>
    <w:rsid w:val="003807CF"/>
    <w:rsid w:val="00381598"/>
    <w:rsid w:val="0038177C"/>
    <w:rsid w:val="00381A72"/>
    <w:rsid w:val="00381FB3"/>
    <w:rsid w:val="00382023"/>
    <w:rsid w:val="00382DF9"/>
    <w:rsid w:val="003834E2"/>
    <w:rsid w:val="00383A33"/>
    <w:rsid w:val="00384204"/>
    <w:rsid w:val="00384676"/>
    <w:rsid w:val="00384C3A"/>
    <w:rsid w:val="003850E4"/>
    <w:rsid w:val="0038538F"/>
    <w:rsid w:val="00386EFE"/>
    <w:rsid w:val="00387E14"/>
    <w:rsid w:val="00387F56"/>
    <w:rsid w:val="00390051"/>
    <w:rsid w:val="0039038D"/>
    <w:rsid w:val="003906D4"/>
    <w:rsid w:val="00390857"/>
    <w:rsid w:val="00391191"/>
    <w:rsid w:val="00392095"/>
    <w:rsid w:val="00393B0F"/>
    <w:rsid w:val="00396E21"/>
    <w:rsid w:val="00397A96"/>
    <w:rsid w:val="003A07CA"/>
    <w:rsid w:val="003A091A"/>
    <w:rsid w:val="003A0CCA"/>
    <w:rsid w:val="003A2770"/>
    <w:rsid w:val="003A2D4D"/>
    <w:rsid w:val="003A41A7"/>
    <w:rsid w:val="003A41F7"/>
    <w:rsid w:val="003A4BF3"/>
    <w:rsid w:val="003A4F9E"/>
    <w:rsid w:val="003A53E5"/>
    <w:rsid w:val="003A57DA"/>
    <w:rsid w:val="003A59F9"/>
    <w:rsid w:val="003A6054"/>
    <w:rsid w:val="003A66A0"/>
    <w:rsid w:val="003A6DD1"/>
    <w:rsid w:val="003A70AF"/>
    <w:rsid w:val="003A7ED7"/>
    <w:rsid w:val="003A7F68"/>
    <w:rsid w:val="003B0071"/>
    <w:rsid w:val="003B0206"/>
    <w:rsid w:val="003B0534"/>
    <w:rsid w:val="003B09B4"/>
    <w:rsid w:val="003B12DD"/>
    <w:rsid w:val="003B1A35"/>
    <w:rsid w:val="003B2178"/>
    <w:rsid w:val="003B3589"/>
    <w:rsid w:val="003B3774"/>
    <w:rsid w:val="003B4026"/>
    <w:rsid w:val="003B4151"/>
    <w:rsid w:val="003B420D"/>
    <w:rsid w:val="003B45AE"/>
    <w:rsid w:val="003B479B"/>
    <w:rsid w:val="003B4FCC"/>
    <w:rsid w:val="003B5E21"/>
    <w:rsid w:val="003B5FED"/>
    <w:rsid w:val="003B633E"/>
    <w:rsid w:val="003B6459"/>
    <w:rsid w:val="003B6550"/>
    <w:rsid w:val="003B65EA"/>
    <w:rsid w:val="003B684C"/>
    <w:rsid w:val="003B691C"/>
    <w:rsid w:val="003B738B"/>
    <w:rsid w:val="003B7E97"/>
    <w:rsid w:val="003C0C91"/>
    <w:rsid w:val="003C1199"/>
    <w:rsid w:val="003C1E97"/>
    <w:rsid w:val="003C200F"/>
    <w:rsid w:val="003C2A73"/>
    <w:rsid w:val="003C3001"/>
    <w:rsid w:val="003C3B1A"/>
    <w:rsid w:val="003C4392"/>
    <w:rsid w:val="003C4988"/>
    <w:rsid w:val="003C5061"/>
    <w:rsid w:val="003C5300"/>
    <w:rsid w:val="003C5A8A"/>
    <w:rsid w:val="003C623F"/>
    <w:rsid w:val="003C6C16"/>
    <w:rsid w:val="003C7D13"/>
    <w:rsid w:val="003D02E8"/>
    <w:rsid w:val="003D0F4F"/>
    <w:rsid w:val="003D2BF1"/>
    <w:rsid w:val="003D3028"/>
    <w:rsid w:val="003D4CCE"/>
    <w:rsid w:val="003D5631"/>
    <w:rsid w:val="003D5CB6"/>
    <w:rsid w:val="003D70B4"/>
    <w:rsid w:val="003D72C7"/>
    <w:rsid w:val="003D7881"/>
    <w:rsid w:val="003D794D"/>
    <w:rsid w:val="003E077A"/>
    <w:rsid w:val="003E0D8D"/>
    <w:rsid w:val="003E266D"/>
    <w:rsid w:val="003E3058"/>
    <w:rsid w:val="003E4568"/>
    <w:rsid w:val="003E4721"/>
    <w:rsid w:val="003E478F"/>
    <w:rsid w:val="003E5CBC"/>
    <w:rsid w:val="003E5FC1"/>
    <w:rsid w:val="003E63AF"/>
    <w:rsid w:val="003E66FF"/>
    <w:rsid w:val="003E76A9"/>
    <w:rsid w:val="003F020D"/>
    <w:rsid w:val="003F0607"/>
    <w:rsid w:val="003F0809"/>
    <w:rsid w:val="003F0F14"/>
    <w:rsid w:val="003F12CD"/>
    <w:rsid w:val="003F1CA1"/>
    <w:rsid w:val="003F2858"/>
    <w:rsid w:val="003F28DB"/>
    <w:rsid w:val="003F2F96"/>
    <w:rsid w:val="003F39E2"/>
    <w:rsid w:val="003F4047"/>
    <w:rsid w:val="003F4141"/>
    <w:rsid w:val="003F4641"/>
    <w:rsid w:val="003F486A"/>
    <w:rsid w:val="003F4D7F"/>
    <w:rsid w:val="003F4DA8"/>
    <w:rsid w:val="003F5405"/>
    <w:rsid w:val="003F5ABC"/>
    <w:rsid w:val="003F6944"/>
    <w:rsid w:val="003F6A8C"/>
    <w:rsid w:val="003F6BEF"/>
    <w:rsid w:val="003F755C"/>
    <w:rsid w:val="003F76B7"/>
    <w:rsid w:val="004001B8"/>
    <w:rsid w:val="00400342"/>
    <w:rsid w:val="00400A8D"/>
    <w:rsid w:val="00400F41"/>
    <w:rsid w:val="00400FE8"/>
    <w:rsid w:val="004012C4"/>
    <w:rsid w:val="004017D6"/>
    <w:rsid w:val="00401CEC"/>
    <w:rsid w:val="00401D1A"/>
    <w:rsid w:val="00401DC9"/>
    <w:rsid w:val="00401EAA"/>
    <w:rsid w:val="004022D7"/>
    <w:rsid w:val="00402457"/>
    <w:rsid w:val="004040AF"/>
    <w:rsid w:val="004040B9"/>
    <w:rsid w:val="004042A4"/>
    <w:rsid w:val="00404552"/>
    <w:rsid w:val="0040483E"/>
    <w:rsid w:val="00404F36"/>
    <w:rsid w:val="00405E4C"/>
    <w:rsid w:val="00406222"/>
    <w:rsid w:val="00406F01"/>
    <w:rsid w:val="00406FFA"/>
    <w:rsid w:val="00407147"/>
    <w:rsid w:val="0040771D"/>
    <w:rsid w:val="0041042C"/>
    <w:rsid w:val="00411AD3"/>
    <w:rsid w:val="00411D37"/>
    <w:rsid w:val="00411EA3"/>
    <w:rsid w:val="004137BC"/>
    <w:rsid w:val="00414099"/>
    <w:rsid w:val="00414A40"/>
    <w:rsid w:val="00414C32"/>
    <w:rsid w:val="00414C36"/>
    <w:rsid w:val="00415AE1"/>
    <w:rsid w:val="004160D2"/>
    <w:rsid w:val="00416368"/>
    <w:rsid w:val="00416D50"/>
    <w:rsid w:val="00416FD5"/>
    <w:rsid w:val="00417229"/>
    <w:rsid w:val="00417772"/>
    <w:rsid w:val="00420178"/>
    <w:rsid w:val="00420CFC"/>
    <w:rsid w:val="00420D6F"/>
    <w:rsid w:val="00420E6A"/>
    <w:rsid w:val="0042136D"/>
    <w:rsid w:val="0042150F"/>
    <w:rsid w:val="0042228E"/>
    <w:rsid w:val="004223E8"/>
    <w:rsid w:val="00422EAF"/>
    <w:rsid w:val="004235A1"/>
    <w:rsid w:val="004236D2"/>
    <w:rsid w:val="004238F6"/>
    <w:rsid w:val="004239EC"/>
    <w:rsid w:val="00423FA5"/>
    <w:rsid w:val="00423FB4"/>
    <w:rsid w:val="00424058"/>
    <w:rsid w:val="004240B9"/>
    <w:rsid w:val="00424162"/>
    <w:rsid w:val="00424524"/>
    <w:rsid w:val="0042456B"/>
    <w:rsid w:val="004255A2"/>
    <w:rsid w:val="00425A9E"/>
    <w:rsid w:val="0042630F"/>
    <w:rsid w:val="00426423"/>
    <w:rsid w:val="00426D6B"/>
    <w:rsid w:val="00426FE2"/>
    <w:rsid w:val="00426FE8"/>
    <w:rsid w:val="00427CF8"/>
    <w:rsid w:val="004301A7"/>
    <w:rsid w:val="0043028A"/>
    <w:rsid w:val="004306A8"/>
    <w:rsid w:val="004307AF"/>
    <w:rsid w:val="00430C46"/>
    <w:rsid w:val="004314C9"/>
    <w:rsid w:val="00431E6C"/>
    <w:rsid w:val="00432399"/>
    <w:rsid w:val="00432A67"/>
    <w:rsid w:val="00432AC4"/>
    <w:rsid w:val="00432B28"/>
    <w:rsid w:val="00432D37"/>
    <w:rsid w:val="00433821"/>
    <w:rsid w:val="00433961"/>
    <w:rsid w:val="00433CE7"/>
    <w:rsid w:val="004340CB"/>
    <w:rsid w:val="004345A9"/>
    <w:rsid w:val="00434899"/>
    <w:rsid w:val="00434B4C"/>
    <w:rsid w:val="00434E35"/>
    <w:rsid w:val="0043564A"/>
    <w:rsid w:val="00435C9A"/>
    <w:rsid w:val="00436070"/>
    <w:rsid w:val="00436124"/>
    <w:rsid w:val="004361DA"/>
    <w:rsid w:val="0043640E"/>
    <w:rsid w:val="004365A9"/>
    <w:rsid w:val="004367EC"/>
    <w:rsid w:val="00436883"/>
    <w:rsid w:val="00436FA8"/>
    <w:rsid w:val="004379C0"/>
    <w:rsid w:val="00437A88"/>
    <w:rsid w:val="0044057D"/>
    <w:rsid w:val="004416DF"/>
    <w:rsid w:val="00442ABA"/>
    <w:rsid w:val="004439D4"/>
    <w:rsid w:val="004442BB"/>
    <w:rsid w:val="004448FA"/>
    <w:rsid w:val="0044659E"/>
    <w:rsid w:val="00447844"/>
    <w:rsid w:val="00447854"/>
    <w:rsid w:val="00447E5E"/>
    <w:rsid w:val="00450A31"/>
    <w:rsid w:val="00451897"/>
    <w:rsid w:val="00452738"/>
    <w:rsid w:val="00452B2D"/>
    <w:rsid w:val="00454128"/>
    <w:rsid w:val="004547CC"/>
    <w:rsid w:val="004547D3"/>
    <w:rsid w:val="00454858"/>
    <w:rsid w:val="0045543E"/>
    <w:rsid w:val="00456091"/>
    <w:rsid w:val="00456D06"/>
    <w:rsid w:val="00456EF8"/>
    <w:rsid w:val="004570EE"/>
    <w:rsid w:val="0046037A"/>
    <w:rsid w:val="00460767"/>
    <w:rsid w:val="004608C2"/>
    <w:rsid w:val="004609C3"/>
    <w:rsid w:val="00460B65"/>
    <w:rsid w:val="00461004"/>
    <w:rsid w:val="00461F5E"/>
    <w:rsid w:val="004627F6"/>
    <w:rsid w:val="004628F3"/>
    <w:rsid w:val="00463402"/>
    <w:rsid w:val="004634CC"/>
    <w:rsid w:val="00463DD6"/>
    <w:rsid w:val="0046468C"/>
    <w:rsid w:val="0046483C"/>
    <w:rsid w:val="004648D5"/>
    <w:rsid w:val="0046551A"/>
    <w:rsid w:val="00465771"/>
    <w:rsid w:val="00465F8D"/>
    <w:rsid w:val="004660B6"/>
    <w:rsid w:val="00466321"/>
    <w:rsid w:val="004667DA"/>
    <w:rsid w:val="00466836"/>
    <w:rsid w:val="0046683E"/>
    <w:rsid w:val="004674CB"/>
    <w:rsid w:val="004705C3"/>
    <w:rsid w:val="00471A4F"/>
    <w:rsid w:val="004739B6"/>
    <w:rsid w:val="00473CD7"/>
    <w:rsid w:val="00473E46"/>
    <w:rsid w:val="00474CEC"/>
    <w:rsid w:val="00474FAF"/>
    <w:rsid w:val="004750EC"/>
    <w:rsid w:val="00475DED"/>
    <w:rsid w:val="00476673"/>
    <w:rsid w:val="00476737"/>
    <w:rsid w:val="004800A4"/>
    <w:rsid w:val="00480874"/>
    <w:rsid w:val="00480BE5"/>
    <w:rsid w:val="0048134C"/>
    <w:rsid w:val="004822C3"/>
    <w:rsid w:val="004827EE"/>
    <w:rsid w:val="00482A96"/>
    <w:rsid w:val="00482FAE"/>
    <w:rsid w:val="00483A77"/>
    <w:rsid w:val="00483AE0"/>
    <w:rsid w:val="00484014"/>
    <w:rsid w:val="00484625"/>
    <w:rsid w:val="00484B9B"/>
    <w:rsid w:val="00485012"/>
    <w:rsid w:val="004855F6"/>
    <w:rsid w:val="004856C0"/>
    <w:rsid w:val="004859C8"/>
    <w:rsid w:val="0048600D"/>
    <w:rsid w:val="0048661E"/>
    <w:rsid w:val="00486E0B"/>
    <w:rsid w:val="0048716A"/>
    <w:rsid w:val="00487E4B"/>
    <w:rsid w:val="00490922"/>
    <w:rsid w:val="00490A42"/>
    <w:rsid w:val="00490C45"/>
    <w:rsid w:val="00490C86"/>
    <w:rsid w:val="00491118"/>
    <w:rsid w:val="0049257C"/>
    <w:rsid w:val="00492957"/>
    <w:rsid w:val="00493848"/>
    <w:rsid w:val="0049414E"/>
    <w:rsid w:val="00494670"/>
    <w:rsid w:val="004953B0"/>
    <w:rsid w:val="00495732"/>
    <w:rsid w:val="0049585D"/>
    <w:rsid w:val="00496BFB"/>
    <w:rsid w:val="00496C66"/>
    <w:rsid w:val="0049754C"/>
    <w:rsid w:val="0049756D"/>
    <w:rsid w:val="00497605"/>
    <w:rsid w:val="004977E8"/>
    <w:rsid w:val="004A01AC"/>
    <w:rsid w:val="004A136F"/>
    <w:rsid w:val="004A19AB"/>
    <w:rsid w:val="004A1EB8"/>
    <w:rsid w:val="004A23D3"/>
    <w:rsid w:val="004A3348"/>
    <w:rsid w:val="004A3823"/>
    <w:rsid w:val="004A440D"/>
    <w:rsid w:val="004A46AB"/>
    <w:rsid w:val="004A5F07"/>
    <w:rsid w:val="004A617B"/>
    <w:rsid w:val="004A6C15"/>
    <w:rsid w:val="004A7682"/>
    <w:rsid w:val="004A77B1"/>
    <w:rsid w:val="004B0A93"/>
    <w:rsid w:val="004B0BCD"/>
    <w:rsid w:val="004B0F9E"/>
    <w:rsid w:val="004B0FA0"/>
    <w:rsid w:val="004B121A"/>
    <w:rsid w:val="004B1D39"/>
    <w:rsid w:val="004B21AB"/>
    <w:rsid w:val="004B2CBB"/>
    <w:rsid w:val="004B2DE3"/>
    <w:rsid w:val="004B33A5"/>
    <w:rsid w:val="004B35E4"/>
    <w:rsid w:val="004B35F5"/>
    <w:rsid w:val="004B3E12"/>
    <w:rsid w:val="004B52FC"/>
    <w:rsid w:val="004B636A"/>
    <w:rsid w:val="004B696C"/>
    <w:rsid w:val="004B6F6F"/>
    <w:rsid w:val="004B725E"/>
    <w:rsid w:val="004B7B53"/>
    <w:rsid w:val="004C0A91"/>
    <w:rsid w:val="004C0C6B"/>
    <w:rsid w:val="004C1123"/>
    <w:rsid w:val="004C181C"/>
    <w:rsid w:val="004C1D01"/>
    <w:rsid w:val="004C1EDD"/>
    <w:rsid w:val="004C2703"/>
    <w:rsid w:val="004C2DA9"/>
    <w:rsid w:val="004C308D"/>
    <w:rsid w:val="004C38A4"/>
    <w:rsid w:val="004C3B0C"/>
    <w:rsid w:val="004C472D"/>
    <w:rsid w:val="004C5598"/>
    <w:rsid w:val="004C5B30"/>
    <w:rsid w:val="004C7050"/>
    <w:rsid w:val="004C7AB6"/>
    <w:rsid w:val="004D068E"/>
    <w:rsid w:val="004D0FC9"/>
    <w:rsid w:val="004D1655"/>
    <w:rsid w:val="004D211E"/>
    <w:rsid w:val="004D2F0B"/>
    <w:rsid w:val="004D303F"/>
    <w:rsid w:val="004D42E0"/>
    <w:rsid w:val="004D4BEE"/>
    <w:rsid w:val="004D5053"/>
    <w:rsid w:val="004D520E"/>
    <w:rsid w:val="004D5BB2"/>
    <w:rsid w:val="004D61CE"/>
    <w:rsid w:val="004D6343"/>
    <w:rsid w:val="004D6AFF"/>
    <w:rsid w:val="004D7575"/>
    <w:rsid w:val="004D793F"/>
    <w:rsid w:val="004E08B2"/>
    <w:rsid w:val="004E1844"/>
    <w:rsid w:val="004E1CFB"/>
    <w:rsid w:val="004E1E07"/>
    <w:rsid w:val="004E355D"/>
    <w:rsid w:val="004E3985"/>
    <w:rsid w:val="004E3AF9"/>
    <w:rsid w:val="004E3EFC"/>
    <w:rsid w:val="004E4199"/>
    <w:rsid w:val="004E589D"/>
    <w:rsid w:val="004E66D7"/>
    <w:rsid w:val="004E6946"/>
    <w:rsid w:val="004E6B87"/>
    <w:rsid w:val="004E6DC8"/>
    <w:rsid w:val="004E7A4A"/>
    <w:rsid w:val="004E7C01"/>
    <w:rsid w:val="004F04B5"/>
    <w:rsid w:val="004F0B83"/>
    <w:rsid w:val="004F0F58"/>
    <w:rsid w:val="004F102D"/>
    <w:rsid w:val="004F1AD8"/>
    <w:rsid w:val="004F1B4B"/>
    <w:rsid w:val="004F1D50"/>
    <w:rsid w:val="004F1FAB"/>
    <w:rsid w:val="004F2B6E"/>
    <w:rsid w:val="004F332F"/>
    <w:rsid w:val="004F34A5"/>
    <w:rsid w:val="004F3CE1"/>
    <w:rsid w:val="004F4156"/>
    <w:rsid w:val="004F43B4"/>
    <w:rsid w:val="004F51F1"/>
    <w:rsid w:val="004F573E"/>
    <w:rsid w:val="004F603E"/>
    <w:rsid w:val="004F6244"/>
    <w:rsid w:val="004F6847"/>
    <w:rsid w:val="004F7076"/>
    <w:rsid w:val="004F70F3"/>
    <w:rsid w:val="00500878"/>
    <w:rsid w:val="00500FEB"/>
    <w:rsid w:val="00501420"/>
    <w:rsid w:val="005017E6"/>
    <w:rsid w:val="00501FC3"/>
    <w:rsid w:val="00502A0D"/>
    <w:rsid w:val="00502C4F"/>
    <w:rsid w:val="005039CB"/>
    <w:rsid w:val="00503B11"/>
    <w:rsid w:val="00503CF9"/>
    <w:rsid w:val="00503FEF"/>
    <w:rsid w:val="00504481"/>
    <w:rsid w:val="00504728"/>
    <w:rsid w:val="0050558F"/>
    <w:rsid w:val="005060D9"/>
    <w:rsid w:val="0050624F"/>
    <w:rsid w:val="00506286"/>
    <w:rsid w:val="0050646D"/>
    <w:rsid w:val="00510346"/>
    <w:rsid w:val="00510813"/>
    <w:rsid w:val="00511044"/>
    <w:rsid w:val="005111D6"/>
    <w:rsid w:val="00511990"/>
    <w:rsid w:val="00511AA9"/>
    <w:rsid w:val="00511BDB"/>
    <w:rsid w:val="00511DE0"/>
    <w:rsid w:val="00513E9E"/>
    <w:rsid w:val="00514407"/>
    <w:rsid w:val="00514870"/>
    <w:rsid w:val="0051493B"/>
    <w:rsid w:val="00514B9B"/>
    <w:rsid w:val="00514CA3"/>
    <w:rsid w:val="00514E66"/>
    <w:rsid w:val="005160F9"/>
    <w:rsid w:val="00516725"/>
    <w:rsid w:val="0051694F"/>
    <w:rsid w:val="0051742C"/>
    <w:rsid w:val="00517495"/>
    <w:rsid w:val="00517E9D"/>
    <w:rsid w:val="00517F02"/>
    <w:rsid w:val="00520FFA"/>
    <w:rsid w:val="00522EC6"/>
    <w:rsid w:val="00523274"/>
    <w:rsid w:val="00523417"/>
    <w:rsid w:val="0052354F"/>
    <w:rsid w:val="00523A23"/>
    <w:rsid w:val="00523B01"/>
    <w:rsid w:val="00524303"/>
    <w:rsid w:val="005258A2"/>
    <w:rsid w:val="00525D55"/>
    <w:rsid w:val="00526533"/>
    <w:rsid w:val="005265AD"/>
    <w:rsid w:val="00530DC3"/>
    <w:rsid w:val="00530DE2"/>
    <w:rsid w:val="005311B6"/>
    <w:rsid w:val="0053174C"/>
    <w:rsid w:val="005317F4"/>
    <w:rsid w:val="005321F3"/>
    <w:rsid w:val="005324F8"/>
    <w:rsid w:val="0053303C"/>
    <w:rsid w:val="00533754"/>
    <w:rsid w:val="00535B15"/>
    <w:rsid w:val="00535EAA"/>
    <w:rsid w:val="00537E8E"/>
    <w:rsid w:val="005401AE"/>
    <w:rsid w:val="0054036F"/>
    <w:rsid w:val="005415BD"/>
    <w:rsid w:val="00541D71"/>
    <w:rsid w:val="00542380"/>
    <w:rsid w:val="00542CAA"/>
    <w:rsid w:val="00542E07"/>
    <w:rsid w:val="00543416"/>
    <w:rsid w:val="00543C88"/>
    <w:rsid w:val="00543F40"/>
    <w:rsid w:val="00544D7D"/>
    <w:rsid w:val="00545424"/>
    <w:rsid w:val="005458E2"/>
    <w:rsid w:val="00545B4D"/>
    <w:rsid w:val="00545EF0"/>
    <w:rsid w:val="00546200"/>
    <w:rsid w:val="0054628F"/>
    <w:rsid w:val="00546E29"/>
    <w:rsid w:val="00547B1B"/>
    <w:rsid w:val="005505A2"/>
    <w:rsid w:val="00552178"/>
    <w:rsid w:val="0055265B"/>
    <w:rsid w:val="00552825"/>
    <w:rsid w:val="00552B64"/>
    <w:rsid w:val="005532D3"/>
    <w:rsid w:val="00554A7B"/>
    <w:rsid w:val="00554EDD"/>
    <w:rsid w:val="00555570"/>
    <w:rsid w:val="0055572C"/>
    <w:rsid w:val="00555804"/>
    <w:rsid w:val="005560F4"/>
    <w:rsid w:val="00557C11"/>
    <w:rsid w:val="00557CBF"/>
    <w:rsid w:val="00557E55"/>
    <w:rsid w:val="00560412"/>
    <w:rsid w:val="00560F5C"/>
    <w:rsid w:val="0056106A"/>
    <w:rsid w:val="005610F9"/>
    <w:rsid w:val="00561AE7"/>
    <w:rsid w:val="005623BE"/>
    <w:rsid w:val="0056280D"/>
    <w:rsid w:val="00563058"/>
    <w:rsid w:val="00564D26"/>
    <w:rsid w:val="0056506D"/>
    <w:rsid w:val="00565948"/>
    <w:rsid w:val="005704C1"/>
    <w:rsid w:val="00570926"/>
    <w:rsid w:val="00570C80"/>
    <w:rsid w:val="005713E6"/>
    <w:rsid w:val="00571546"/>
    <w:rsid w:val="005720AE"/>
    <w:rsid w:val="00572366"/>
    <w:rsid w:val="005732C3"/>
    <w:rsid w:val="00573538"/>
    <w:rsid w:val="00573A27"/>
    <w:rsid w:val="00573B2E"/>
    <w:rsid w:val="0057444E"/>
    <w:rsid w:val="005748EC"/>
    <w:rsid w:val="00574C4E"/>
    <w:rsid w:val="005753C7"/>
    <w:rsid w:val="00575E46"/>
    <w:rsid w:val="00576534"/>
    <w:rsid w:val="005765DD"/>
    <w:rsid w:val="005775F3"/>
    <w:rsid w:val="005778DE"/>
    <w:rsid w:val="00577C79"/>
    <w:rsid w:val="00577E8D"/>
    <w:rsid w:val="005800A2"/>
    <w:rsid w:val="005800AB"/>
    <w:rsid w:val="005804A4"/>
    <w:rsid w:val="005815B0"/>
    <w:rsid w:val="00581927"/>
    <w:rsid w:val="00581ABE"/>
    <w:rsid w:val="00581FA7"/>
    <w:rsid w:val="00582377"/>
    <w:rsid w:val="005826D6"/>
    <w:rsid w:val="00582DCB"/>
    <w:rsid w:val="00582F57"/>
    <w:rsid w:val="00583C22"/>
    <w:rsid w:val="0058427D"/>
    <w:rsid w:val="00584F08"/>
    <w:rsid w:val="00585D6B"/>
    <w:rsid w:val="00586107"/>
    <w:rsid w:val="00586978"/>
    <w:rsid w:val="00586DA0"/>
    <w:rsid w:val="005870EF"/>
    <w:rsid w:val="005871A1"/>
    <w:rsid w:val="005874A8"/>
    <w:rsid w:val="005878DC"/>
    <w:rsid w:val="005908C4"/>
    <w:rsid w:val="00590D81"/>
    <w:rsid w:val="005916FC"/>
    <w:rsid w:val="0059483E"/>
    <w:rsid w:val="00594D77"/>
    <w:rsid w:val="0059528D"/>
    <w:rsid w:val="00595E41"/>
    <w:rsid w:val="00595F3F"/>
    <w:rsid w:val="00596776"/>
    <w:rsid w:val="005969E4"/>
    <w:rsid w:val="00596DB7"/>
    <w:rsid w:val="00597AB6"/>
    <w:rsid w:val="005A0489"/>
    <w:rsid w:val="005A06B7"/>
    <w:rsid w:val="005A1163"/>
    <w:rsid w:val="005A11D0"/>
    <w:rsid w:val="005A1759"/>
    <w:rsid w:val="005A194B"/>
    <w:rsid w:val="005A1DCB"/>
    <w:rsid w:val="005A1EBE"/>
    <w:rsid w:val="005A21BD"/>
    <w:rsid w:val="005A2724"/>
    <w:rsid w:val="005A532B"/>
    <w:rsid w:val="005A5376"/>
    <w:rsid w:val="005A5958"/>
    <w:rsid w:val="005A65E6"/>
    <w:rsid w:val="005A68A7"/>
    <w:rsid w:val="005A6994"/>
    <w:rsid w:val="005A6AEA"/>
    <w:rsid w:val="005A723D"/>
    <w:rsid w:val="005A7739"/>
    <w:rsid w:val="005A7D80"/>
    <w:rsid w:val="005A7DE1"/>
    <w:rsid w:val="005B0694"/>
    <w:rsid w:val="005B0753"/>
    <w:rsid w:val="005B0D89"/>
    <w:rsid w:val="005B1C89"/>
    <w:rsid w:val="005B20FC"/>
    <w:rsid w:val="005B225B"/>
    <w:rsid w:val="005B3053"/>
    <w:rsid w:val="005B36AF"/>
    <w:rsid w:val="005B425C"/>
    <w:rsid w:val="005B44EF"/>
    <w:rsid w:val="005B4904"/>
    <w:rsid w:val="005B4A05"/>
    <w:rsid w:val="005B513F"/>
    <w:rsid w:val="005B6C60"/>
    <w:rsid w:val="005B6E22"/>
    <w:rsid w:val="005B762E"/>
    <w:rsid w:val="005B76DE"/>
    <w:rsid w:val="005B7D56"/>
    <w:rsid w:val="005C092E"/>
    <w:rsid w:val="005C0A5B"/>
    <w:rsid w:val="005C0BCB"/>
    <w:rsid w:val="005C0E1D"/>
    <w:rsid w:val="005C119A"/>
    <w:rsid w:val="005C1DFF"/>
    <w:rsid w:val="005C239C"/>
    <w:rsid w:val="005C3655"/>
    <w:rsid w:val="005C4433"/>
    <w:rsid w:val="005C46C9"/>
    <w:rsid w:val="005C513C"/>
    <w:rsid w:val="005C52FA"/>
    <w:rsid w:val="005C572C"/>
    <w:rsid w:val="005C5A15"/>
    <w:rsid w:val="005C5D71"/>
    <w:rsid w:val="005C6081"/>
    <w:rsid w:val="005C61C5"/>
    <w:rsid w:val="005C78B3"/>
    <w:rsid w:val="005C7F5B"/>
    <w:rsid w:val="005D02DD"/>
    <w:rsid w:val="005D061C"/>
    <w:rsid w:val="005D0715"/>
    <w:rsid w:val="005D0A1B"/>
    <w:rsid w:val="005D0A84"/>
    <w:rsid w:val="005D185F"/>
    <w:rsid w:val="005D2080"/>
    <w:rsid w:val="005D2B53"/>
    <w:rsid w:val="005D2C25"/>
    <w:rsid w:val="005D36AB"/>
    <w:rsid w:val="005D50F5"/>
    <w:rsid w:val="005D5982"/>
    <w:rsid w:val="005D59AB"/>
    <w:rsid w:val="005D5FB6"/>
    <w:rsid w:val="005D63E7"/>
    <w:rsid w:val="005D6B2E"/>
    <w:rsid w:val="005D72F8"/>
    <w:rsid w:val="005D7D7A"/>
    <w:rsid w:val="005E0649"/>
    <w:rsid w:val="005E0E27"/>
    <w:rsid w:val="005E12ED"/>
    <w:rsid w:val="005E1377"/>
    <w:rsid w:val="005E185E"/>
    <w:rsid w:val="005E19DC"/>
    <w:rsid w:val="005E1BE1"/>
    <w:rsid w:val="005E1E43"/>
    <w:rsid w:val="005E2937"/>
    <w:rsid w:val="005E3139"/>
    <w:rsid w:val="005E3E87"/>
    <w:rsid w:val="005E4198"/>
    <w:rsid w:val="005E4DF0"/>
    <w:rsid w:val="005E58BE"/>
    <w:rsid w:val="005E6619"/>
    <w:rsid w:val="005E7D0A"/>
    <w:rsid w:val="005F0239"/>
    <w:rsid w:val="005F0A2B"/>
    <w:rsid w:val="005F0C15"/>
    <w:rsid w:val="005F1415"/>
    <w:rsid w:val="005F1FE9"/>
    <w:rsid w:val="005F2867"/>
    <w:rsid w:val="005F36ED"/>
    <w:rsid w:val="005F3C76"/>
    <w:rsid w:val="005F4214"/>
    <w:rsid w:val="005F4D5A"/>
    <w:rsid w:val="005F56E8"/>
    <w:rsid w:val="005F583C"/>
    <w:rsid w:val="005F66FA"/>
    <w:rsid w:val="005F68D5"/>
    <w:rsid w:val="005F6AF3"/>
    <w:rsid w:val="005F6DEC"/>
    <w:rsid w:val="005F726B"/>
    <w:rsid w:val="00600097"/>
    <w:rsid w:val="00600449"/>
    <w:rsid w:val="0060059E"/>
    <w:rsid w:val="006005C5"/>
    <w:rsid w:val="0060076A"/>
    <w:rsid w:val="00600963"/>
    <w:rsid w:val="006014F3"/>
    <w:rsid w:val="006016A3"/>
    <w:rsid w:val="006019AF"/>
    <w:rsid w:val="00602511"/>
    <w:rsid w:val="00602BF9"/>
    <w:rsid w:val="00603214"/>
    <w:rsid w:val="00603786"/>
    <w:rsid w:val="0060383A"/>
    <w:rsid w:val="0060455C"/>
    <w:rsid w:val="006050C9"/>
    <w:rsid w:val="006054BB"/>
    <w:rsid w:val="00605757"/>
    <w:rsid w:val="0060615F"/>
    <w:rsid w:val="00606C54"/>
    <w:rsid w:val="00606D76"/>
    <w:rsid w:val="006073AF"/>
    <w:rsid w:val="006075AD"/>
    <w:rsid w:val="0060782D"/>
    <w:rsid w:val="0060784D"/>
    <w:rsid w:val="00607B42"/>
    <w:rsid w:val="00610058"/>
    <w:rsid w:val="00611BB6"/>
    <w:rsid w:val="00611EA8"/>
    <w:rsid w:val="00611ED6"/>
    <w:rsid w:val="00612E95"/>
    <w:rsid w:val="00613A28"/>
    <w:rsid w:val="00613BAB"/>
    <w:rsid w:val="00613DAF"/>
    <w:rsid w:val="00613DF6"/>
    <w:rsid w:val="00615A95"/>
    <w:rsid w:val="00615AA9"/>
    <w:rsid w:val="00615AF6"/>
    <w:rsid w:val="00615ED5"/>
    <w:rsid w:val="00615F39"/>
    <w:rsid w:val="00615FF1"/>
    <w:rsid w:val="0061658B"/>
    <w:rsid w:val="0061662A"/>
    <w:rsid w:val="0061738C"/>
    <w:rsid w:val="006178EF"/>
    <w:rsid w:val="00617CC3"/>
    <w:rsid w:val="00617CCC"/>
    <w:rsid w:val="006201F7"/>
    <w:rsid w:val="00620322"/>
    <w:rsid w:val="0062047E"/>
    <w:rsid w:val="00620560"/>
    <w:rsid w:val="0062102A"/>
    <w:rsid w:val="00621707"/>
    <w:rsid w:val="00621DC9"/>
    <w:rsid w:val="00622385"/>
    <w:rsid w:val="006236D1"/>
    <w:rsid w:val="00623716"/>
    <w:rsid w:val="00623B76"/>
    <w:rsid w:val="0062578E"/>
    <w:rsid w:val="00625C42"/>
    <w:rsid w:val="00625C99"/>
    <w:rsid w:val="00625D95"/>
    <w:rsid w:val="00625D99"/>
    <w:rsid w:val="006267CB"/>
    <w:rsid w:val="006269CE"/>
    <w:rsid w:val="006276DA"/>
    <w:rsid w:val="006300CE"/>
    <w:rsid w:val="00631534"/>
    <w:rsid w:val="006319B7"/>
    <w:rsid w:val="00632BD6"/>
    <w:rsid w:val="00632F72"/>
    <w:rsid w:val="00633872"/>
    <w:rsid w:val="00633FB8"/>
    <w:rsid w:val="006344DE"/>
    <w:rsid w:val="00634A6D"/>
    <w:rsid w:val="00634E01"/>
    <w:rsid w:val="00635B53"/>
    <w:rsid w:val="006377A6"/>
    <w:rsid w:val="00637A3D"/>
    <w:rsid w:val="00637FD7"/>
    <w:rsid w:val="006400BA"/>
    <w:rsid w:val="0064056E"/>
    <w:rsid w:val="00640BAB"/>
    <w:rsid w:val="00640F67"/>
    <w:rsid w:val="006411EF"/>
    <w:rsid w:val="00641536"/>
    <w:rsid w:val="00641F7B"/>
    <w:rsid w:val="00643E0D"/>
    <w:rsid w:val="006442F1"/>
    <w:rsid w:val="00644CBB"/>
    <w:rsid w:val="006457B3"/>
    <w:rsid w:val="00645DFF"/>
    <w:rsid w:val="00645F4E"/>
    <w:rsid w:val="00646627"/>
    <w:rsid w:val="00646F03"/>
    <w:rsid w:val="00647581"/>
    <w:rsid w:val="00647D79"/>
    <w:rsid w:val="006519D4"/>
    <w:rsid w:val="00651C9C"/>
    <w:rsid w:val="00651F08"/>
    <w:rsid w:val="006520A3"/>
    <w:rsid w:val="00652BFF"/>
    <w:rsid w:val="00655FCE"/>
    <w:rsid w:val="00656B30"/>
    <w:rsid w:val="006573F8"/>
    <w:rsid w:val="006575A5"/>
    <w:rsid w:val="006575D3"/>
    <w:rsid w:val="0065776F"/>
    <w:rsid w:val="0065796F"/>
    <w:rsid w:val="006579C8"/>
    <w:rsid w:val="00657F4A"/>
    <w:rsid w:val="00660B5D"/>
    <w:rsid w:val="0066101D"/>
    <w:rsid w:val="00663410"/>
    <w:rsid w:val="00663422"/>
    <w:rsid w:val="00663868"/>
    <w:rsid w:val="006644B1"/>
    <w:rsid w:val="006653AE"/>
    <w:rsid w:val="00665443"/>
    <w:rsid w:val="006667BB"/>
    <w:rsid w:val="00666C36"/>
    <w:rsid w:val="00667071"/>
    <w:rsid w:val="0067021A"/>
    <w:rsid w:val="0067040A"/>
    <w:rsid w:val="006705A2"/>
    <w:rsid w:val="00670C98"/>
    <w:rsid w:val="006721BA"/>
    <w:rsid w:val="006728A3"/>
    <w:rsid w:val="00672CCB"/>
    <w:rsid w:val="0067347D"/>
    <w:rsid w:val="0067359F"/>
    <w:rsid w:val="0067362B"/>
    <w:rsid w:val="006743CA"/>
    <w:rsid w:val="00674811"/>
    <w:rsid w:val="006748B8"/>
    <w:rsid w:val="006753A3"/>
    <w:rsid w:val="00675438"/>
    <w:rsid w:val="00676EFE"/>
    <w:rsid w:val="006771B5"/>
    <w:rsid w:val="006775C3"/>
    <w:rsid w:val="006802F2"/>
    <w:rsid w:val="00681158"/>
    <w:rsid w:val="00681286"/>
    <w:rsid w:val="00681613"/>
    <w:rsid w:val="00682F32"/>
    <w:rsid w:val="00683273"/>
    <w:rsid w:val="00683A72"/>
    <w:rsid w:val="0068417B"/>
    <w:rsid w:val="0068434D"/>
    <w:rsid w:val="00685024"/>
    <w:rsid w:val="00685646"/>
    <w:rsid w:val="006857E2"/>
    <w:rsid w:val="00685FBC"/>
    <w:rsid w:val="00686C20"/>
    <w:rsid w:val="00686FDF"/>
    <w:rsid w:val="006872C2"/>
    <w:rsid w:val="00687D78"/>
    <w:rsid w:val="0069088C"/>
    <w:rsid w:val="00690E24"/>
    <w:rsid w:val="00691505"/>
    <w:rsid w:val="006918B8"/>
    <w:rsid w:val="00691A0C"/>
    <w:rsid w:val="00692109"/>
    <w:rsid w:val="0069212A"/>
    <w:rsid w:val="00692672"/>
    <w:rsid w:val="0069290A"/>
    <w:rsid w:val="006943AD"/>
    <w:rsid w:val="00694575"/>
    <w:rsid w:val="0069489D"/>
    <w:rsid w:val="006954D2"/>
    <w:rsid w:val="00695884"/>
    <w:rsid w:val="00695A24"/>
    <w:rsid w:val="0069615A"/>
    <w:rsid w:val="0069714A"/>
    <w:rsid w:val="0069775A"/>
    <w:rsid w:val="00697813"/>
    <w:rsid w:val="006A005D"/>
    <w:rsid w:val="006A0B72"/>
    <w:rsid w:val="006A2206"/>
    <w:rsid w:val="006A2602"/>
    <w:rsid w:val="006A2F8A"/>
    <w:rsid w:val="006A3A52"/>
    <w:rsid w:val="006A3EE8"/>
    <w:rsid w:val="006A4137"/>
    <w:rsid w:val="006A4264"/>
    <w:rsid w:val="006A4A7F"/>
    <w:rsid w:val="006A4AEB"/>
    <w:rsid w:val="006A4C98"/>
    <w:rsid w:val="006A50EC"/>
    <w:rsid w:val="006A6B2A"/>
    <w:rsid w:val="006A72BF"/>
    <w:rsid w:val="006A776C"/>
    <w:rsid w:val="006A7A22"/>
    <w:rsid w:val="006A7D2E"/>
    <w:rsid w:val="006B03F2"/>
    <w:rsid w:val="006B0417"/>
    <w:rsid w:val="006B0643"/>
    <w:rsid w:val="006B090B"/>
    <w:rsid w:val="006B0AE9"/>
    <w:rsid w:val="006B1710"/>
    <w:rsid w:val="006B23F3"/>
    <w:rsid w:val="006B26F8"/>
    <w:rsid w:val="006B2BA4"/>
    <w:rsid w:val="006B31FB"/>
    <w:rsid w:val="006B37DC"/>
    <w:rsid w:val="006B3ADA"/>
    <w:rsid w:val="006B4F68"/>
    <w:rsid w:val="006B5557"/>
    <w:rsid w:val="006B581B"/>
    <w:rsid w:val="006B5DBE"/>
    <w:rsid w:val="006B6E02"/>
    <w:rsid w:val="006B70ED"/>
    <w:rsid w:val="006B719B"/>
    <w:rsid w:val="006B71C8"/>
    <w:rsid w:val="006C0037"/>
    <w:rsid w:val="006C0592"/>
    <w:rsid w:val="006C09CD"/>
    <w:rsid w:val="006C1717"/>
    <w:rsid w:val="006C1885"/>
    <w:rsid w:val="006C236A"/>
    <w:rsid w:val="006C24BD"/>
    <w:rsid w:val="006C272E"/>
    <w:rsid w:val="006C2973"/>
    <w:rsid w:val="006C29DA"/>
    <w:rsid w:val="006C314F"/>
    <w:rsid w:val="006C392D"/>
    <w:rsid w:val="006C3955"/>
    <w:rsid w:val="006C3BCF"/>
    <w:rsid w:val="006C3CC5"/>
    <w:rsid w:val="006C403E"/>
    <w:rsid w:val="006C4699"/>
    <w:rsid w:val="006C4926"/>
    <w:rsid w:val="006C5236"/>
    <w:rsid w:val="006C5479"/>
    <w:rsid w:val="006C611F"/>
    <w:rsid w:val="006C6BE6"/>
    <w:rsid w:val="006C6C6B"/>
    <w:rsid w:val="006C7886"/>
    <w:rsid w:val="006D13B5"/>
    <w:rsid w:val="006D1FC3"/>
    <w:rsid w:val="006D2166"/>
    <w:rsid w:val="006D28CF"/>
    <w:rsid w:val="006D4481"/>
    <w:rsid w:val="006D51FF"/>
    <w:rsid w:val="006D5C42"/>
    <w:rsid w:val="006D64FB"/>
    <w:rsid w:val="006D65B4"/>
    <w:rsid w:val="006D6658"/>
    <w:rsid w:val="006D6D8D"/>
    <w:rsid w:val="006D7611"/>
    <w:rsid w:val="006D7640"/>
    <w:rsid w:val="006D7899"/>
    <w:rsid w:val="006D7B2B"/>
    <w:rsid w:val="006E076F"/>
    <w:rsid w:val="006E0833"/>
    <w:rsid w:val="006E0C23"/>
    <w:rsid w:val="006E12FF"/>
    <w:rsid w:val="006E1ECD"/>
    <w:rsid w:val="006E1F65"/>
    <w:rsid w:val="006E2149"/>
    <w:rsid w:val="006E2460"/>
    <w:rsid w:val="006E4C5E"/>
    <w:rsid w:val="006E4E74"/>
    <w:rsid w:val="006E4ED7"/>
    <w:rsid w:val="006E5452"/>
    <w:rsid w:val="006E55B1"/>
    <w:rsid w:val="006E607E"/>
    <w:rsid w:val="006E6F2F"/>
    <w:rsid w:val="006E7427"/>
    <w:rsid w:val="006E770B"/>
    <w:rsid w:val="006F076C"/>
    <w:rsid w:val="006F0CC2"/>
    <w:rsid w:val="006F0E85"/>
    <w:rsid w:val="006F1295"/>
    <w:rsid w:val="006F39BB"/>
    <w:rsid w:val="006F3CBC"/>
    <w:rsid w:val="006F4C49"/>
    <w:rsid w:val="006F53FD"/>
    <w:rsid w:val="006F57DC"/>
    <w:rsid w:val="006F5BBB"/>
    <w:rsid w:val="006F6160"/>
    <w:rsid w:val="006F6291"/>
    <w:rsid w:val="006F6718"/>
    <w:rsid w:val="006F6A10"/>
    <w:rsid w:val="006F6AE9"/>
    <w:rsid w:val="006F7B71"/>
    <w:rsid w:val="006F7B9B"/>
    <w:rsid w:val="006F7BC2"/>
    <w:rsid w:val="007004A6"/>
    <w:rsid w:val="00700571"/>
    <w:rsid w:val="007010E6"/>
    <w:rsid w:val="0070159E"/>
    <w:rsid w:val="0070171C"/>
    <w:rsid w:val="00703334"/>
    <w:rsid w:val="007034FD"/>
    <w:rsid w:val="00703661"/>
    <w:rsid w:val="007037B9"/>
    <w:rsid w:val="00704986"/>
    <w:rsid w:val="00704988"/>
    <w:rsid w:val="00704EEF"/>
    <w:rsid w:val="0070505C"/>
    <w:rsid w:val="007056EF"/>
    <w:rsid w:val="00705EFF"/>
    <w:rsid w:val="00706231"/>
    <w:rsid w:val="00706C5D"/>
    <w:rsid w:val="00707E86"/>
    <w:rsid w:val="00710904"/>
    <w:rsid w:val="007111AC"/>
    <w:rsid w:val="0071155B"/>
    <w:rsid w:val="00713469"/>
    <w:rsid w:val="007136DC"/>
    <w:rsid w:val="00713C90"/>
    <w:rsid w:val="00714649"/>
    <w:rsid w:val="007155FB"/>
    <w:rsid w:val="00716F4F"/>
    <w:rsid w:val="00716FAA"/>
    <w:rsid w:val="00717352"/>
    <w:rsid w:val="00717435"/>
    <w:rsid w:val="00717690"/>
    <w:rsid w:val="00720138"/>
    <w:rsid w:val="007201A2"/>
    <w:rsid w:val="00720696"/>
    <w:rsid w:val="007210B6"/>
    <w:rsid w:val="007215FB"/>
    <w:rsid w:val="0072186A"/>
    <w:rsid w:val="00721C80"/>
    <w:rsid w:val="00722F23"/>
    <w:rsid w:val="007239F9"/>
    <w:rsid w:val="007249D9"/>
    <w:rsid w:val="0072536C"/>
    <w:rsid w:val="00725715"/>
    <w:rsid w:val="00725FC7"/>
    <w:rsid w:val="007260B9"/>
    <w:rsid w:val="007269C4"/>
    <w:rsid w:val="0073168E"/>
    <w:rsid w:val="00731FF4"/>
    <w:rsid w:val="00732100"/>
    <w:rsid w:val="0073250E"/>
    <w:rsid w:val="007328A2"/>
    <w:rsid w:val="00732922"/>
    <w:rsid w:val="007334D2"/>
    <w:rsid w:val="00733BB1"/>
    <w:rsid w:val="00734274"/>
    <w:rsid w:val="007344D7"/>
    <w:rsid w:val="00734FF2"/>
    <w:rsid w:val="00735CDA"/>
    <w:rsid w:val="00735E5F"/>
    <w:rsid w:val="00736855"/>
    <w:rsid w:val="00736BDA"/>
    <w:rsid w:val="00736CD3"/>
    <w:rsid w:val="0073734E"/>
    <w:rsid w:val="00737CCD"/>
    <w:rsid w:val="00740889"/>
    <w:rsid w:val="00740A24"/>
    <w:rsid w:val="00740B19"/>
    <w:rsid w:val="00740FC8"/>
    <w:rsid w:val="00741965"/>
    <w:rsid w:val="00742625"/>
    <w:rsid w:val="0074309E"/>
    <w:rsid w:val="00743362"/>
    <w:rsid w:val="007435B2"/>
    <w:rsid w:val="00743768"/>
    <w:rsid w:val="00743F48"/>
    <w:rsid w:val="00743F8D"/>
    <w:rsid w:val="00743FDB"/>
    <w:rsid w:val="00744257"/>
    <w:rsid w:val="00744C61"/>
    <w:rsid w:val="0074544F"/>
    <w:rsid w:val="0074563D"/>
    <w:rsid w:val="00745829"/>
    <w:rsid w:val="007459D8"/>
    <w:rsid w:val="00745DC9"/>
    <w:rsid w:val="00745E7C"/>
    <w:rsid w:val="00746287"/>
    <w:rsid w:val="00746654"/>
    <w:rsid w:val="00746A98"/>
    <w:rsid w:val="00747437"/>
    <w:rsid w:val="007476C1"/>
    <w:rsid w:val="00747CAB"/>
    <w:rsid w:val="007515D3"/>
    <w:rsid w:val="0075162E"/>
    <w:rsid w:val="00751AE4"/>
    <w:rsid w:val="007523A1"/>
    <w:rsid w:val="00752899"/>
    <w:rsid w:val="00752BB5"/>
    <w:rsid w:val="007532D0"/>
    <w:rsid w:val="007538F8"/>
    <w:rsid w:val="00753BCE"/>
    <w:rsid w:val="00754034"/>
    <w:rsid w:val="007541FF"/>
    <w:rsid w:val="0075490A"/>
    <w:rsid w:val="007559DC"/>
    <w:rsid w:val="00756556"/>
    <w:rsid w:val="007574FF"/>
    <w:rsid w:val="00757567"/>
    <w:rsid w:val="007576DA"/>
    <w:rsid w:val="0075771C"/>
    <w:rsid w:val="00757943"/>
    <w:rsid w:val="00757AA0"/>
    <w:rsid w:val="0076068B"/>
    <w:rsid w:val="007613D0"/>
    <w:rsid w:val="00761601"/>
    <w:rsid w:val="007618C4"/>
    <w:rsid w:val="00762AB6"/>
    <w:rsid w:val="00762B68"/>
    <w:rsid w:val="00763258"/>
    <w:rsid w:val="00764525"/>
    <w:rsid w:val="0076452B"/>
    <w:rsid w:val="00764A94"/>
    <w:rsid w:val="0076502E"/>
    <w:rsid w:val="00765251"/>
    <w:rsid w:val="00766779"/>
    <w:rsid w:val="00766A80"/>
    <w:rsid w:val="00767404"/>
    <w:rsid w:val="00767980"/>
    <w:rsid w:val="00767F50"/>
    <w:rsid w:val="00770022"/>
    <w:rsid w:val="00770434"/>
    <w:rsid w:val="00770B15"/>
    <w:rsid w:val="00770B19"/>
    <w:rsid w:val="00770DD9"/>
    <w:rsid w:val="007718AF"/>
    <w:rsid w:val="0077212D"/>
    <w:rsid w:val="007724D2"/>
    <w:rsid w:val="00772D00"/>
    <w:rsid w:val="007737BC"/>
    <w:rsid w:val="00773896"/>
    <w:rsid w:val="00774477"/>
    <w:rsid w:val="0077463F"/>
    <w:rsid w:val="00774806"/>
    <w:rsid w:val="00775732"/>
    <w:rsid w:val="00775B59"/>
    <w:rsid w:val="0077668D"/>
    <w:rsid w:val="007800E2"/>
    <w:rsid w:val="00780216"/>
    <w:rsid w:val="0078028C"/>
    <w:rsid w:val="007802AA"/>
    <w:rsid w:val="00780433"/>
    <w:rsid w:val="007804B2"/>
    <w:rsid w:val="00780805"/>
    <w:rsid w:val="00780BAE"/>
    <w:rsid w:val="007815F8"/>
    <w:rsid w:val="007836B8"/>
    <w:rsid w:val="007836EA"/>
    <w:rsid w:val="007849FF"/>
    <w:rsid w:val="00784B66"/>
    <w:rsid w:val="00784C52"/>
    <w:rsid w:val="00784CDA"/>
    <w:rsid w:val="007852E6"/>
    <w:rsid w:val="00785C51"/>
    <w:rsid w:val="00786010"/>
    <w:rsid w:val="00786C23"/>
    <w:rsid w:val="00787AD5"/>
    <w:rsid w:val="007903BF"/>
    <w:rsid w:val="00790672"/>
    <w:rsid w:val="007906C4"/>
    <w:rsid w:val="007906EE"/>
    <w:rsid w:val="00790DC3"/>
    <w:rsid w:val="00790E28"/>
    <w:rsid w:val="007921B0"/>
    <w:rsid w:val="00792B0F"/>
    <w:rsid w:val="00792FDF"/>
    <w:rsid w:val="00793689"/>
    <w:rsid w:val="00793ACA"/>
    <w:rsid w:val="00793ECC"/>
    <w:rsid w:val="007940EA"/>
    <w:rsid w:val="0079440E"/>
    <w:rsid w:val="0079457A"/>
    <w:rsid w:val="0079484A"/>
    <w:rsid w:val="00794BFB"/>
    <w:rsid w:val="00794D4C"/>
    <w:rsid w:val="00795392"/>
    <w:rsid w:val="00795430"/>
    <w:rsid w:val="007967E8"/>
    <w:rsid w:val="00796BF7"/>
    <w:rsid w:val="00796F1F"/>
    <w:rsid w:val="007A0B39"/>
    <w:rsid w:val="007A108F"/>
    <w:rsid w:val="007A1D71"/>
    <w:rsid w:val="007A1D73"/>
    <w:rsid w:val="007A1DD7"/>
    <w:rsid w:val="007A1F14"/>
    <w:rsid w:val="007A1FFC"/>
    <w:rsid w:val="007A2170"/>
    <w:rsid w:val="007A22BF"/>
    <w:rsid w:val="007A2DAD"/>
    <w:rsid w:val="007A3323"/>
    <w:rsid w:val="007A35BD"/>
    <w:rsid w:val="007A4ED4"/>
    <w:rsid w:val="007A4ED9"/>
    <w:rsid w:val="007A5282"/>
    <w:rsid w:val="007A6840"/>
    <w:rsid w:val="007A6EC7"/>
    <w:rsid w:val="007A714C"/>
    <w:rsid w:val="007A735E"/>
    <w:rsid w:val="007A7C45"/>
    <w:rsid w:val="007A7FAA"/>
    <w:rsid w:val="007B0020"/>
    <w:rsid w:val="007B08A7"/>
    <w:rsid w:val="007B1AE8"/>
    <w:rsid w:val="007B2EFC"/>
    <w:rsid w:val="007B3A5A"/>
    <w:rsid w:val="007B3DB6"/>
    <w:rsid w:val="007B42F3"/>
    <w:rsid w:val="007B5276"/>
    <w:rsid w:val="007B52E8"/>
    <w:rsid w:val="007B64F5"/>
    <w:rsid w:val="007B689C"/>
    <w:rsid w:val="007B6DEB"/>
    <w:rsid w:val="007B72B8"/>
    <w:rsid w:val="007B7A58"/>
    <w:rsid w:val="007B7CA2"/>
    <w:rsid w:val="007B7CDF"/>
    <w:rsid w:val="007B7F98"/>
    <w:rsid w:val="007C0A1A"/>
    <w:rsid w:val="007C12FE"/>
    <w:rsid w:val="007C19F2"/>
    <w:rsid w:val="007C21B5"/>
    <w:rsid w:val="007C220A"/>
    <w:rsid w:val="007C2708"/>
    <w:rsid w:val="007C2CC7"/>
    <w:rsid w:val="007C3223"/>
    <w:rsid w:val="007C420E"/>
    <w:rsid w:val="007C4681"/>
    <w:rsid w:val="007C469B"/>
    <w:rsid w:val="007C4FB2"/>
    <w:rsid w:val="007C54B6"/>
    <w:rsid w:val="007C5699"/>
    <w:rsid w:val="007C68FE"/>
    <w:rsid w:val="007D09FC"/>
    <w:rsid w:val="007D0AAF"/>
    <w:rsid w:val="007D1DDF"/>
    <w:rsid w:val="007D2BA4"/>
    <w:rsid w:val="007D2CAA"/>
    <w:rsid w:val="007D2FBB"/>
    <w:rsid w:val="007D35EE"/>
    <w:rsid w:val="007D40A0"/>
    <w:rsid w:val="007D448F"/>
    <w:rsid w:val="007D44AD"/>
    <w:rsid w:val="007D4A45"/>
    <w:rsid w:val="007D4A9C"/>
    <w:rsid w:val="007D4D1A"/>
    <w:rsid w:val="007D5793"/>
    <w:rsid w:val="007D5FAC"/>
    <w:rsid w:val="007D69DC"/>
    <w:rsid w:val="007D7496"/>
    <w:rsid w:val="007D7A86"/>
    <w:rsid w:val="007D7DAC"/>
    <w:rsid w:val="007D7DFD"/>
    <w:rsid w:val="007E0532"/>
    <w:rsid w:val="007E0AE2"/>
    <w:rsid w:val="007E0CA4"/>
    <w:rsid w:val="007E1892"/>
    <w:rsid w:val="007E1E1A"/>
    <w:rsid w:val="007E2A55"/>
    <w:rsid w:val="007E4BD2"/>
    <w:rsid w:val="007E4F64"/>
    <w:rsid w:val="007E54B9"/>
    <w:rsid w:val="007E5AE3"/>
    <w:rsid w:val="007E5D07"/>
    <w:rsid w:val="007E5E33"/>
    <w:rsid w:val="007E5F34"/>
    <w:rsid w:val="007E65D2"/>
    <w:rsid w:val="007E6E0A"/>
    <w:rsid w:val="007E795E"/>
    <w:rsid w:val="007F0590"/>
    <w:rsid w:val="007F10D6"/>
    <w:rsid w:val="007F138B"/>
    <w:rsid w:val="007F1719"/>
    <w:rsid w:val="007F1C8F"/>
    <w:rsid w:val="007F1F6B"/>
    <w:rsid w:val="007F2489"/>
    <w:rsid w:val="007F24D3"/>
    <w:rsid w:val="007F2B26"/>
    <w:rsid w:val="007F2EC3"/>
    <w:rsid w:val="007F3218"/>
    <w:rsid w:val="007F32BA"/>
    <w:rsid w:val="007F3F19"/>
    <w:rsid w:val="007F484E"/>
    <w:rsid w:val="007F495F"/>
    <w:rsid w:val="007F4CE5"/>
    <w:rsid w:val="007F4E76"/>
    <w:rsid w:val="007F557F"/>
    <w:rsid w:val="007F5872"/>
    <w:rsid w:val="007F596A"/>
    <w:rsid w:val="007F62FF"/>
    <w:rsid w:val="007F659D"/>
    <w:rsid w:val="007F6AD8"/>
    <w:rsid w:val="007F6F31"/>
    <w:rsid w:val="007F78C6"/>
    <w:rsid w:val="007F7C47"/>
    <w:rsid w:val="008003A7"/>
    <w:rsid w:val="00801393"/>
    <w:rsid w:val="00801857"/>
    <w:rsid w:val="008023BE"/>
    <w:rsid w:val="00802C1A"/>
    <w:rsid w:val="00802F88"/>
    <w:rsid w:val="008030E2"/>
    <w:rsid w:val="0080364E"/>
    <w:rsid w:val="0080367C"/>
    <w:rsid w:val="00803A37"/>
    <w:rsid w:val="00804014"/>
    <w:rsid w:val="00804515"/>
    <w:rsid w:val="00804FF4"/>
    <w:rsid w:val="008055DC"/>
    <w:rsid w:val="0080621C"/>
    <w:rsid w:val="00806413"/>
    <w:rsid w:val="00806948"/>
    <w:rsid w:val="00806AD5"/>
    <w:rsid w:val="00806BF9"/>
    <w:rsid w:val="00806D04"/>
    <w:rsid w:val="00807392"/>
    <w:rsid w:val="0080782B"/>
    <w:rsid w:val="00807E64"/>
    <w:rsid w:val="008105F4"/>
    <w:rsid w:val="00811481"/>
    <w:rsid w:val="008114B9"/>
    <w:rsid w:val="00811942"/>
    <w:rsid w:val="0081293E"/>
    <w:rsid w:val="00812C5E"/>
    <w:rsid w:val="00812CB9"/>
    <w:rsid w:val="00813D92"/>
    <w:rsid w:val="008140BF"/>
    <w:rsid w:val="00814596"/>
    <w:rsid w:val="00814809"/>
    <w:rsid w:val="00814A6B"/>
    <w:rsid w:val="00814FC1"/>
    <w:rsid w:val="008152EA"/>
    <w:rsid w:val="00815443"/>
    <w:rsid w:val="00815465"/>
    <w:rsid w:val="008160D7"/>
    <w:rsid w:val="00817527"/>
    <w:rsid w:val="008175E5"/>
    <w:rsid w:val="008178AB"/>
    <w:rsid w:val="00817C97"/>
    <w:rsid w:val="00817E9A"/>
    <w:rsid w:val="008204CB"/>
    <w:rsid w:val="00820AA8"/>
    <w:rsid w:val="008213C3"/>
    <w:rsid w:val="008219B5"/>
    <w:rsid w:val="00821ADD"/>
    <w:rsid w:val="00821C86"/>
    <w:rsid w:val="00822260"/>
    <w:rsid w:val="008226A1"/>
    <w:rsid w:val="008228D3"/>
    <w:rsid w:val="00822AF2"/>
    <w:rsid w:val="00822C40"/>
    <w:rsid w:val="00822D6B"/>
    <w:rsid w:val="00822E70"/>
    <w:rsid w:val="00823247"/>
    <w:rsid w:val="0082325A"/>
    <w:rsid w:val="008235FC"/>
    <w:rsid w:val="00823675"/>
    <w:rsid w:val="00823925"/>
    <w:rsid w:val="00823A24"/>
    <w:rsid w:val="00823E9A"/>
    <w:rsid w:val="0082509D"/>
    <w:rsid w:val="008250F5"/>
    <w:rsid w:val="008254C7"/>
    <w:rsid w:val="0082629C"/>
    <w:rsid w:val="00826C3B"/>
    <w:rsid w:val="00826E17"/>
    <w:rsid w:val="008306BD"/>
    <w:rsid w:val="00830B20"/>
    <w:rsid w:val="00831206"/>
    <w:rsid w:val="008312F0"/>
    <w:rsid w:val="008313D7"/>
    <w:rsid w:val="00831498"/>
    <w:rsid w:val="0083167C"/>
    <w:rsid w:val="00831A80"/>
    <w:rsid w:val="00832A87"/>
    <w:rsid w:val="00832DFE"/>
    <w:rsid w:val="008334F9"/>
    <w:rsid w:val="00833743"/>
    <w:rsid w:val="0083389E"/>
    <w:rsid w:val="008340A4"/>
    <w:rsid w:val="008343C7"/>
    <w:rsid w:val="00835006"/>
    <w:rsid w:val="00836074"/>
    <w:rsid w:val="008360F8"/>
    <w:rsid w:val="00836613"/>
    <w:rsid w:val="008368F8"/>
    <w:rsid w:val="00837951"/>
    <w:rsid w:val="00837F59"/>
    <w:rsid w:val="00837FC8"/>
    <w:rsid w:val="00840218"/>
    <w:rsid w:val="0084037A"/>
    <w:rsid w:val="008404F8"/>
    <w:rsid w:val="00840A50"/>
    <w:rsid w:val="0084255F"/>
    <w:rsid w:val="00843612"/>
    <w:rsid w:val="00843762"/>
    <w:rsid w:val="008437A4"/>
    <w:rsid w:val="00843998"/>
    <w:rsid w:val="008444FF"/>
    <w:rsid w:val="0084473C"/>
    <w:rsid w:val="00844CA1"/>
    <w:rsid w:val="00845D5D"/>
    <w:rsid w:val="00846445"/>
    <w:rsid w:val="00846DCA"/>
    <w:rsid w:val="0084731F"/>
    <w:rsid w:val="00850DAF"/>
    <w:rsid w:val="008512C5"/>
    <w:rsid w:val="0085160D"/>
    <w:rsid w:val="00852879"/>
    <w:rsid w:val="00852BA0"/>
    <w:rsid w:val="008532AD"/>
    <w:rsid w:val="00853C2F"/>
    <w:rsid w:val="00853FB9"/>
    <w:rsid w:val="00854C57"/>
    <w:rsid w:val="00854E4E"/>
    <w:rsid w:val="0085506D"/>
    <w:rsid w:val="0085563F"/>
    <w:rsid w:val="00855815"/>
    <w:rsid w:val="0085583E"/>
    <w:rsid w:val="0085592D"/>
    <w:rsid w:val="00855F46"/>
    <w:rsid w:val="00856702"/>
    <w:rsid w:val="00856946"/>
    <w:rsid w:val="00856948"/>
    <w:rsid w:val="00856953"/>
    <w:rsid w:val="00857EF2"/>
    <w:rsid w:val="0086044C"/>
    <w:rsid w:val="008604A9"/>
    <w:rsid w:val="008609D7"/>
    <w:rsid w:val="00860D2A"/>
    <w:rsid w:val="0086138C"/>
    <w:rsid w:val="00863569"/>
    <w:rsid w:val="00863A93"/>
    <w:rsid w:val="00863E30"/>
    <w:rsid w:val="0086508B"/>
    <w:rsid w:val="008653C5"/>
    <w:rsid w:val="00865A83"/>
    <w:rsid w:val="0086644A"/>
    <w:rsid w:val="00866B52"/>
    <w:rsid w:val="00867DAA"/>
    <w:rsid w:val="00870395"/>
    <w:rsid w:val="008709A9"/>
    <w:rsid w:val="0087135F"/>
    <w:rsid w:val="0087187A"/>
    <w:rsid w:val="008718A9"/>
    <w:rsid w:val="00871910"/>
    <w:rsid w:val="00871ED1"/>
    <w:rsid w:val="00871F66"/>
    <w:rsid w:val="0087204F"/>
    <w:rsid w:val="00872B6C"/>
    <w:rsid w:val="00872D94"/>
    <w:rsid w:val="00872DFB"/>
    <w:rsid w:val="00873685"/>
    <w:rsid w:val="00873831"/>
    <w:rsid w:val="008738E1"/>
    <w:rsid w:val="0087402A"/>
    <w:rsid w:val="00874DD7"/>
    <w:rsid w:val="008751C5"/>
    <w:rsid w:val="008753C1"/>
    <w:rsid w:val="00875EF6"/>
    <w:rsid w:val="008761AD"/>
    <w:rsid w:val="008761D2"/>
    <w:rsid w:val="0087681A"/>
    <w:rsid w:val="0087692B"/>
    <w:rsid w:val="00877373"/>
    <w:rsid w:val="008802B3"/>
    <w:rsid w:val="00880364"/>
    <w:rsid w:val="008826A6"/>
    <w:rsid w:val="00882CBB"/>
    <w:rsid w:val="00883293"/>
    <w:rsid w:val="0088335D"/>
    <w:rsid w:val="008840D4"/>
    <w:rsid w:val="00885C6F"/>
    <w:rsid w:val="00885C7D"/>
    <w:rsid w:val="00885F4D"/>
    <w:rsid w:val="0088741E"/>
    <w:rsid w:val="00890714"/>
    <w:rsid w:val="00890E1D"/>
    <w:rsid w:val="008911CF"/>
    <w:rsid w:val="00891483"/>
    <w:rsid w:val="00891592"/>
    <w:rsid w:val="00891795"/>
    <w:rsid w:val="00891E9E"/>
    <w:rsid w:val="008925C9"/>
    <w:rsid w:val="00893FEE"/>
    <w:rsid w:val="0089444A"/>
    <w:rsid w:val="008949E3"/>
    <w:rsid w:val="00895A6F"/>
    <w:rsid w:val="008963C4"/>
    <w:rsid w:val="00896BEC"/>
    <w:rsid w:val="00897066"/>
    <w:rsid w:val="00897242"/>
    <w:rsid w:val="008A050C"/>
    <w:rsid w:val="008A08F7"/>
    <w:rsid w:val="008A0C30"/>
    <w:rsid w:val="008A2000"/>
    <w:rsid w:val="008A209A"/>
    <w:rsid w:val="008A2594"/>
    <w:rsid w:val="008A2F68"/>
    <w:rsid w:val="008A3DAF"/>
    <w:rsid w:val="008A3DD8"/>
    <w:rsid w:val="008A4513"/>
    <w:rsid w:val="008A45E9"/>
    <w:rsid w:val="008A46EB"/>
    <w:rsid w:val="008A4994"/>
    <w:rsid w:val="008A4A50"/>
    <w:rsid w:val="008A5270"/>
    <w:rsid w:val="008A6EAB"/>
    <w:rsid w:val="008A7102"/>
    <w:rsid w:val="008A778F"/>
    <w:rsid w:val="008A787B"/>
    <w:rsid w:val="008A7BC0"/>
    <w:rsid w:val="008B01B6"/>
    <w:rsid w:val="008B0587"/>
    <w:rsid w:val="008B05E7"/>
    <w:rsid w:val="008B0B1E"/>
    <w:rsid w:val="008B1A38"/>
    <w:rsid w:val="008B26CF"/>
    <w:rsid w:val="008B28B4"/>
    <w:rsid w:val="008B2F5B"/>
    <w:rsid w:val="008B30EF"/>
    <w:rsid w:val="008B3510"/>
    <w:rsid w:val="008B3B76"/>
    <w:rsid w:val="008B3CC7"/>
    <w:rsid w:val="008B44A2"/>
    <w:rsid w:val="008B4D48"/>
    <w:rsid w:val="008B4FA6"/>
    <w:rsid w:val="008B5282"/>
    <w:rsid w:val="008B5D8A"/>
    <w:rsid w:val="008B60B5"/>
    <w:rsid w:val="008B6114"/>
    <w:rsid w:val="008B65B9"/>
    <w:rsid w:val="008B6B6C"/>
    <w:rsid w:val="008B6E5F"/>
    <w:rsid w:val="008B709C"/>
    <w:rsid w:val="008B7C17"/>
    <w:rsid w:val="008B7DCB"/>
    <w:rsid w:val="008C04D5"/>
    <w:rsid w:val="008C0577"/>
    <w:rsid w:val="008C086E"/>
    <w:rsid w:val="008C1217"/>
    <w:rsid w:val="008C1ADD"/>
    <w:rsid w:val="008C1D9A"/>
    <w:rsid w:val="008C2490"/>
    <w:rsid w:val="008C28B6"/>
    <w:rsid w:val="008C2B95"/>
    <w:rsid w:val="008C2D01"/>
    <w:rsid w:val="008C2E16"/>
    <w:rsid w:val="008C3774"/>
    <w:rsid w:val="008C40E6"/>
    <w:rsid w:val="008C4612"/>
    <w:rsid w:val="008C489D"/>
    <w:rsid w:val="008C51A4"/>
    <w:rsid w:val="008C6362"/>
    <w:rsid w:val="008C6732"/>
    <w:rsid w:val="008C6F66"/>
    <w:rsid w:val="008C769A"/>
    <w:rsid w:val="008D09B4"/>
    <w:rsid w:val="008D0B82"/>
    <w:rsid w:val="008D0BAB"/>
    <w:rsid w:val="008D0F7A"/>
    <w:rsid w:val="008D1477"/>
    <w:rsid w:val="008D157E"/>
    <w:rsid w:val="008D17D0"/>
    <w:rsid w:val="008D25BD"/>
    <w:rsid w:val="008D3E2F"/>
    <w:rsid w:val="008D4001"/>
    <w:rsid w:val="008D557A"/>
    <w:rsid w:val="008D57A0"/>
    <w:rsid w:val="008D618A"/>
    <w:rsid w:val="008D68E4"/>
    <w:rsid w:val="008D6AA1"/>
    <w:rsid w:val="008D72E8"/>
    <w:rsid w:val="008D75CB"/>
    <w:rsid w:val="008D7738"/>
    <w:rsid w:val="008D7775"/>
    <w:rsid w:val="008D7CAF"/>
    <w:rsid w:val="008E010F"/>
    <w:rsid w:val="008E01D0"/>
    <w:rsid w:val="008E0281"/>
    <w:rsid w:val="008E0506"/>
    <w:rsid w:val="008E07F1"/>
    <w:rsid w:val="008E0CFF"/>
    <w:rsid w:val="008E1A86"/>
    <w:rsid w:val="008E1B85"/>
    <w:rsid w:val="008E2D5C"/>
    <w:rsid w:val="008E2DA5"/>
    <w:rsid w:val="008E342B"/>
    <w:rsid w:val="008E351F"/>
    <w:rsid w:val="008E38C7"/>
    <w:rsid w:val="008E4269"/>
    <w:rsid w:val="008E4BDC"/>
    <w:rsid w:val="008E508E"/>
    <w:rsid w:val="008E57DF"/>
    <w:rsid w:val="008E5D6B"/>
    <w:rsid w:val="008E70CD"/>
    <w:rsid w:val="008E76F0"/>
    <w:rsid w:val="008E7AE7"/>
    <w:rsid w:val="008E7E79"/>
    <w:rsid w:val="008F061D"/>
    <w:rsid w:val="008F0C61"/>
    <w:rsid w:val="008F15FE"/>
    <w:rsid w:val="008F187A"/>
    <w:rsid w:val="008F19F2"/>
    <w:rsid w:val="008F1A51"/>
    <w:rsid w:val="008F1BAD"/>
    <w:rsid w:val="008F1ED2"/>
    <w:rsid w:val="008F2168"/>
    <w:rsid w:val="008F2591"/>
    <w:rsid w:val="008F2C6B"/>
    <w:rsid w:val="008F2D29"/>
    <w:rsid w:val="008F3C87"/>
    <w:rsid w:val="008F4A17"/>
    <w:rsid w:val="008F5187"/>
    <w:rsid w:val="008F56C5"/>
    <w:rsid w:val="008F5AE8"/>
    <w:rsid w:val="008F60D8"/>
    <w:rsid w:val="008F6125"/>
    <w:rsid w:val="008F637C"/>
    <w:rsid w:val="008F658F"/>
    <w:rsid w:val="008F6746"/>
    <w:rsid w:val="008F6D8A"/>
    <w:rsid w:val="008F7680"/>
    <w:rsid w:val="008F780F"/>
    <w:rsid w:val="008F7E97"/>
    <w:rsid w:val="0090039D"/>
    <w:rsid w:val="00900470"/>
    <w:rsid w:val="00900BB6"/>
    <w:rsid w:val="009013B0"/>
    <w:rsid w:val="009015BE"/>
    <w:rsid w:val="00901987"/>
    <w:rsid w:val="00901EF4"/>
    <w:rsid w:val="009023D6"/>
    <w:rsid w:val="00902727"/>
    <w:rsid w:val="00902E6D"/>
    <w:rsid w:val="00902E89"/>
    <w:rsid w:val="0090312B"/>
    <w:rsid w:val="0090487E"/>
    <w:rsid w:val="00904D0F"/>
    <w:rsid w:val="00904E1E"/>
    <w:rsid w:val="00905422"/>
    <w:rsid w:val="009065F8"/>
    <w:rsid w:val="00906CE0"/>
    <w:rsid w:val="00906D02"/>
    <w:rsid w:val="009071D2"/>
    <w:rsid w:val="009074F7"/>
    <w:rsid w:val="00907C42"/>
    <w:rsid w:val="009102A6"/>
    <w:rsid w:val="009105EA"/>
    <w:rsid w:val="009115EB"/>
    <w:rsid w:val="00911D8E"/>
    <w:rsid w:val="00911F45"/>
    <w:rsid w:val="00912693"/>
    <w:rsid w:val="00912D49"/>
    <w:rsid w:val="00912EAD"/>
    <w:rsid w:val="00912F39"/>
    <w:rsid w:val="00912FBB"/>
    <w:rsid w:val="009134AF"/>
    <w:rsid w:val="00913751"/>
    <w:rsid w:val="00913CC5"/>
    <w:rsid w:val="00913CC8"/>
    <w:rsid w:val="00914624"/>
    <w:rsid w:val="00916116"/>
    <w:rsid w:val="009164B9"/>
    <w:rsid w:val="00916D2C"/>
    <w:rsid w:val="00916F90"/>
    <w:rsid w:val="0091736D"/>
    <w:rsid w:val="00917A8F"/>
    <w:rsid w:val="00917EC9"/>
    <w:rsid w:val="00920D7D"/>
    <w:rsid w:val="0092137C"/>
    <w:rsid w:val="0092146F"/>
    <w:rsid w:val="00921DFE"/>
    <w:rsid w:val="00921EA9"/>
    <w:rsid w:val="009224D7"/>
    <w:rsid w:val="0092299B"/>
    <w:rsid w:val="00922E7F"/>
    <w:rsid w:val="0092309C"/>
    <w:rsid w:val="0092464C"/>
    <w:rsid w:val="00924A68"/>
    <w:rsid w:val="009252C7"/>
    <w:rsid w:val="00925337"/>
    <w:rsid w:val="009254E7"/>
    <w:rsid w:val="00926727"/>
    <w:rsid w:val="00926B33"/>
    <w:rsid w:val="00926FDF"/>
    <w:rsid w:val="009278E5"/>
    <w:rsid w:val="00927986"/>
    <w:rsid w:val="00927D3D"/>
    <w:rsid w:val="00930143"/>
    <w:rsid w:val="0093037A"/>
    <w:rsid w:val="00930533"/>
    <w:rsid w:val="009306B7"/>
    <w:rsid w:val="00930780"/>
    <w:rsid w:val="009317A6"/>
    <w:rsid w:val="00932806"/>
    <w:rsid w:val="00933036"/>
    <w:rsid w:val="009332ED"/>
    <w:rsid w:val="00933F83"/>
    <w:rsid w:val="0093430D"/>
    <w:rsid w:val="00934ABD"/>
    <w:rsid w:val="00934D16"/>
    <w:rsid w:val="009354F7"/>
    <w:rsid w:val="00935A2C"/>
    <w:rsid w:val="00937467"/>
    <w:rsid w:val="0094009A"/>
    <w:rsid w:val="00940535"/>
    <w:rsid w:val="00940C13"/>
    <w:rsid w:val="00940D59"/>
    <w:rsid w:val="0094154D"/>
    <w:rsid w:val="00942185"/>
    <w:rsid w:val="009424F0"/>
    <w:rsid w:val="00943462"/>
    <w:rsid w:val="00943D24"/>
    <w:rsid w:val="009440A7"/>
    <w:rsid w:val="00944605"/>
    <w:rsid w:val="009446A4"/>
    <w:rsid w:val="00944A12"/>
    <w:rsid w:val="009459FA"/>
    <w:rsid w:val="00945CB0"/>
    <w:rsid w:val="0094600A"/>
    <w:rsid w:val="009462E5"/>
    <w:rsid w:val="00946741"/>
    <w:rsid w:val="0094697C"/>
    <w:rsid w:val="00947CE7"/>
    <w:rsid w:val="00947F87"/>
    <w:rsid w:val="009514A3"/>
    <w:rsid w:val="0095155F"/>
    <w:rsid w:val="009516B7"/>
    <w:rsid w:val="00951722"/>
    <w:rsid w:val="00951AB7"/>
    <w:rsid w:val="009523CE"/>
    <w:rsid w:val="00952D8E"/>
    <w:rsid w:val="0095361E"/>
    <w:rsid w:val="0095398C"/>
    <w:rsid w:val="00954429"/>
    <w:rsid w:val="0095444A"/>
    <w:rsid w:val="009545A5"/>
    <w:rsid w:val="00954A50"/>
    <w:rsid w:val="00955DEE"/>
    <w:rsid w:val="00955F5A"/>
    <w:rsid w:val="00956069"/>
    <w:rsid w:val="009563CE"/>
    <w:rsid w:val="00956891"/>
    <w:rsid w:val="00956E08"/>
    <w:rsid w:val="00957FC7"/>
    <w:rsid w:val="00960236"/>
    <w:rsid w:val="00960547"/>
    <w:rsid w:val="009606DF"/>
    <w:rsid w:val="00961603"/>
    <w:rsid w:val="0096162F"/>
    <w:rsid w:val="009619BF"/>
    <w:rsid w:val="009619FE"/>
    <w:rsid w:val="0096273B"/>
    <w:rsid w:val="0096283B"/>
    <w:rsid w:val="009637AA"/>
    <w:rsid w:val="00963865"/>
    <w:rsid w:val="009638B3"/>
    <w:rsid w:val="0096393C"/>
    <w:rsid w:val="0096447C"/>
    <w:rsid w:val="00964CF7"/>
    <w:rsid w:val="00965F31"/>
    <w:rsid w:val="009660BF"/>
    <w:rsid w:val="00966A57"/>
    <w:rsid w:val="00966F89"/>
    <w:rsid w:val="00967048"/>
    <w:rsid w:val="00967579"/>
    <w:rsid w:val="009677F4"/>
    <w:rsid w:val="0096791A"/>
    <w:rsid w:val="00967C36"/>
    <w:rsid w:val="009704C5"/>
    <w:rsid w:val="00970888"/>
    <w:rsid w:val="00970B0E"/>
    <w:rsid w:val="00970B11"/>
    <w:rsid w:val="00970B7A"/>
    <w:rsid w:val="009712D4"/>
    <w:rsid w:val="009719F0"/>
    <w:rsid w:val="00971F50"/>
    <w:rsid w:val="0097292D"/>
    <w:rsid w:val="00972CF4"/>
    <w:rsid w:val="00972E6D"/>
    <w:rsid w:val="009732C6"/>
    <w:rsid w:val="0097389D"/>
    <w:rsid w:val="009748BE"/>
    <w:rsid w:val="00974C3B"/>
    <w:rsid w:val="00974DF5"/>
    <w:rsid w:val="00974ECB"/>
    <w:rsid w:val="00975028"/>
    <w:rsid w:val="00975128"/>
    <w:rsid w:val="009759B9"/>
    <w:rsid w:val="00975C0C"/>
    <w:rsid w:val="00975C59"/>
    <w:rsid w:val="00976328"/>
    <w:rsid w:val="009766E4"/>
    <w:rsid w:val="0097680D"/>
    <w:rsid w:val="00980125"/>
    <w:rsid w:val="0098035F"/>
    <w:rsid w:val="009808DC"/>
    <w:rsid w:val="0098099A"/>
    <w:rsid w:val="00981D13"/>
    <w:rsid w:val="00981D1B"/>
    <w:rsid w:val="0098215A"/>
    <w:rsid w:val="00982438"/>
    <w:rsid w:val="00982F0A"/>
    <w:rsid w:val="0098404C"/>
    <w:rsid w:val="0098433A"/>
    <w:rsid w:val="0098466E"/>
    <w:rsid w:val="00985283"/>
    <w:rsid w:val="00986945"/>
    <w:rsid w:val="00986B55"/>
    <w:rsid w:val="00986FD0"/>
    <w:rsid w:val="00987FAB"/>
    <w:rsid w:val="00990761"/>
    <w:rsid w:val="00990886"/>
    <w:rsid w:val="00990890"/>
    <w:rsid w:val="009908F3"/>
    <w:rsid w:val="009908FD"/>
    <w:rsid w:val="009913A6"/>
    <w:rsid w:val="009918A9"/>
    <w:rsid w:val="00991EB8"/>
    <w:rsid w:val="009921CD"/>
    <w:rsid w:val="009923AE"/>
    <w:rsid w:val="00992593"/>
    <w:rsid w:val="00992683"/>
    <w:rsid w:val="00992A4D"/>
    <w:rsid w:val="00992D51"/>
    <w:rsid w:val="00992F27"/>
    <w:rsid w:val="00993293"/>
    <w:rsid w:val="00993364"/>
    <w:rsid w:val="00993700"/>
    <w:rsid w:val="00993A3D"/>
    <w:rsid w:val="00993AA5"/>
    <w:rsid w:val="00993C35"/>
    <w:rsid w:val="00993E16"/>
    <w:rsid w:val="00993E86"/>
    <w:rsid w:val="009946CF"/>
    <w:rsid w:val="00994D01"/>
    <w:rsid w:val="00994D0B"/>
    <w:rsid w:val="00994E5A"/>
    <w:rsid w:val="009953AD"/>
    <w:rsid w:val="00995424"/>
    <w:rsid w:val="00995992"/>
    <w:rsid w:val="00995FD9"/>
    <w:rsid w:val="009964D3"/>
    <w:rsid w:val="00996784"/>
    <w:rsid w:val="009969D4"/>
    <w:rsid w:val="00996A24"/>
    <w:rsid w:val="00996A92"/>
    <w:rsid w:val="0099720E"/>
    <w:rsid w:val="009979F8"/>
    <w:rsid w:val="00997C01"/>
    <w:rsid w:val="009A03E5"/>
    <w:rsid w:val="009A0404"/>
    <w:rsid w:val="009A04E7"/>
    <w:rsid w:val="009A0F3B"/>
    <w:rsid w:val="009A16DB"/>
    <w:rsid w:val="009A18B0"/>
    <w:rsid w:val="009A1BB4"/>
    <w:rsid w:val="009A1ECA"/>
    <w:rsid w:val="009A22DC"/>
    <w:rsid w:val="009A2628"/>
    <w:rsid w:val="009A266D"/>
    <w:rsid w:val="009A3200"/>
    <w:rsid w:val="009A44AA"/>
    <w:rsid w:val="009A4D24"/>
    <w:rsid w:val="009A58C1"/>
    <w:rsid w:val="009A5CC3"/>
    <w:rsid w:val="009A69A9"/>
    <w:rsid w:val="009A7035"/>
    <w:rsid w:val="009A7480"/>
    <w:rsid w:val="009A7A97"/>
    <w:rsid w:val="009A7FE1"/>
    <w:rsid w:val="009B021F"/>
    <w:rsid w:val="009B03DC"/>
    <w:rsid w:val="009B0897"/>
    <w:rsid w:val="009B101A"/>
    <w:rsid w:val="009B184F"/>
    <w:rsid w:val="009B2195"/>
    <w:rsid w:val="009B2ABE"/>
    <w:rsid w:val="009B348B"/>
    <w:rsid w:val="009B3674"/>
    <w:rsid w:val="009B3D24"/>
    <w:rsid w:val="009B456F"/>
    <w:rsid w:val="009B49A0"/>
    <w:rsid w:val="009B4F1E"/>
    <w:rsid w:val="009B508B"/>
    <w:rsid w:val="009B54F2"/>
    <w:rsid w:val="009B5FE3"/>
    <w:rsid w:val="009B6870"/>
    <w:rsid w:val="009B6899"/>
    <w:rsid w:val="009B70FE"/>
    <w:rsid w:val="009B749F"/>
    <w:rsid w:val="009B7BD9"/>
    <w:rsid w:val="009B7F88"/>
    <w:rsid w:val="009C025E"/>
    <w:rsid w:val="009C0726"/>
    <w:rsid w:val="009C101A"/>
    <w:rsid w:val="009C151F"/>
    <w:rsid w:val="009C4370"/>
    <w:rsid w:val="009C43A3"/>
    <w:rsid w:val="009C476D"/>
    <w:rsid w:val="009C4A2C"/>
    <w:rsid w:val="009C5376"/>
    <w:rsid w:val="009C5FF1"/>
    <w:rsid w:val="009C618E"/>
    <w:rsid w:val="009C67D7"/>
    <w:rsid w:val="009C7DD5"/>
    <w:rsid w:val="009C7E0D"/>
    <w:rsid w:val="009D0071"/>
    <w:rsid w:val="009D00B6"/>
    <w:rsid w:val="009D0CDC"/>
    <w:rsid w:val="009D0D31"/>
    <w:rsid w:val="009D19CA"/>
    <w:rsid w:val="009D291E"/>
    <w:rsid w:val="009D2A62"/>
    <w:rsid w:val="009D3756"/>
    <w:rsid w:val="009D455A"/>
    <w:rsid w:val="009D480A"/>
    <w:rsid w:val="009D498F"/>
    <w:rsid w:val="009D50B8"/>
    <w:rsid w:val="009D598E"/>
    <w:rsid w:val="009D60DB"/>
    <w:rsid w:val="009D71F5"/>
    <w:rsid w:val="009D73FB"/>
    <w:rsid w:val="009D7C1F"/>
    <w:rsid w:val="009E0545"/>
    <w:rsid w:val="009E0550"/>
    <w:rsid w:val="009E0761"/>
    <w:rsid w:val="009E0775"/>
    <w:rsid w:val="009E1061"/>
    <w:rsid w:val="009E1F6D"/>
    <w:rsid w:val="009E227D"/>
    <w:rsid w:val="009E3277"/>
    <w:rsid w:val="009E40FC"/>
    <w:rsid w:val="009E419D"/>
    <w:rsid w:val="009E48FA"/>
    <w:rsid w:val="009E4BE5"/>
    <w:rsid w:val="009E5019"/>
    <w:rsid w:val="009E5190"/>
    <w:rsid w:val="009E68DB"/>
    <w:rsid w:val="009E6C51"/>
    <w:rsid w:val="009F02B6"/>
    <w:rsid w:val="009F051E"/>
    <w:rsid w:val="009F0D48"/>
    <w:rsid w:val="009F1458"/>
    <w:rsid w:val="009F1595"/>
    <w:rsid w:val="009F2969"/>
    <w:rsid w:val="009F2C55"/>
    <w:rsid w:val="009F2CE6"/>
    <w:rsid w:val="009F32A2"/>
    <w:rsid w:val="009F3F18"/>
    <w:rsid w:val="009F53A6"/>
    <w:rsid w:val="009F5FBC"/>
    <w:rsid w:val="009F64FC"/>
    <w:rsid w:val="009F65D5"/>
    <w:rsid w:val="009F6CDA"/>
    <w:rsid w:val="009F6E82"/>
    <w:rsid w:val="009F7177"/>
    <w:rsid w:val="009F726F"/>
    <w:rsid w:val="009F730D"/>
    <w:rsid w:val="009F7A89"/>
    <w:rsid w:val="009F7C41"/>
    <w:rsid w:val="00A0078F"/>
    <w:rsid w:val="00A00C23"/>
    <w:rsid w:val="00A017DD"/>
    <w:rsid w:val="00A01A37"/>
    <w:rsid w:val="00A02E49"/>
    <w:rsid w:val="00A0328C"/>
    <w:rsid w:val="00A0431B"/>
    <w:rsid w:val="00A04EAE"/>
    <w:rsid w:val="00A04F1B"/>
    <w:rsid w:val="00A0501B"/>
    <w:rsid w:val="00A05667"/>
    <w:rsid w:val="00A0594F"/>
    <w:rsid w:val="00A078F3"/>
    <w:rsid w:val="00A1055C"/>
    <w:rsid w:val="00A10B07"/>
    <w:rsid w:val="00A11222"/>
    <w:rsid w:val="00A1123D"/>
    <w:rsid w:val="00A11344"/>
    <w:rsid w:val="00A113A9"/>
    <w:rsid w:val="00A11ADE"/>
    <w:rsid w:val="00A1284E"/>
    <w:rsid w:val="00A12910"/>
    <w:rsid w:val="00A12969"/>
    <w:rsid w:val="00A12E07"/>
    <w:rsid w:val="00A13795"/>
    <w:rsid w:val="00A13C1E"/>
    <w:rsid w:val="00A146EC"/>
    <w:rsid w:val="00A1478F"/>
    <w:rsid w:val="00A14947"/>
    <w:rsid w:val="00A14949"/>
    <w:rsid w:val="00A1499D"/>
    <w:rsid w:val="00A151B9"/>
    <w:rsid w:val="00A15AF1"/>
    <w:rsid w:val="00A15F49"/>
    <w:rsid w:val="00A16056"/>
    <w:rsid w:val="00A16165"/>
    <w:rsid w:val="00A167AE"/>
    <w:rsid w:val="00A16D64"/>
    <w:rsid w:val="00A17138"/>
    <w:rsid w:val="00A205E4"/>
    <w:rsid w:val="00A2063F"/>
    <w:rsid w:val="00A219A2"/>
    <w:rsid w:val="00A21D56"/>
    <w:rsid w:val="00A21DF9"/>
    <w:rsid w:val="00A220F5"/>
    <w:rsid w:val="00A22F7E"/>
    <w:rsid w:val="00A2303E"/>
    <w:rsid w:val="00A23072"/>
    <w:rsid w:val="00A23896"/>
    <w:rsid w:val="00A23E4A"/>
    <w:rsid w:val="00A24C67"/>
    <w:rsid w:val="00A24C6B"/>
    <w:rsid w:val="00A24E9F"/>
    <w:rsid w:val="00A2502F"/>
    <w:rsid w:val="00A253DE"/>
    <w:rsid w:val="00A2587A"/>
    <w:rsid w:val="00A25B51"/>
    <w:rsid w:val="00A26192"/>
    <w:rsid w:val="00A26336"/>
    <w:rsid w:val="00A275B8"/>
    <w:rsid w:val="00A27D78"/>
    <w:rsid w:val="00A30E62"/>
    <w:rsid w:val="00A32803"/>
    <w:rsid w:val="00A32A83"/>
    <w:rsid w:val="00A335FF"/>
    <w:rsid w:val="00A34885"/>
    <w:rsid w:val="00A35637"/>
    <w:rsid w:val="00A35C32"/>
    <w:rsid w:val="00A35CC3"/>
    <w:rsid w:val="00A368DB"/>
    <w:rsid w:val="00A3775A"/>
    <w:rsid w:val="00A4003E"/>
    <w:rsid w:val="00A4009D"/>
    <w:rsid w:val="00A40CE4"/>
    <w:rsid w:val="00A41453"/>
    <w:rsid w:val="00A41700"/>
    <w:rsid w:val="00A41A8F"/>
    <w:rsid w:val="00A41FF5"/>
    <w:rsid w:val="00A423AA"/>
    <w:rsid w:val="00A4250E"/>
    <w:rsid w:val="00A42BD7"/>
    <w:rsid w:val="00A42C0C"/>
    <w:rsid w:val="00A42FB3"/>
    <w:rsid w:val="00A430C9"/>
    <w:rsid w:val="00A43FE3"/>
    <w:rsid w:val="00A45CD8"/>
    <w:rsid w:val="00A45FD9"/>
    <w:rsid w:val="00A467D9"/>
    <w:rsid w:val="00A46A26"/>
    <w:rsid w:val="00A5031D"/>
    <w:rsid w:val="00A5165C"/>
    <w:rsid w:val="00A522F8"/>
    <w:rsid w:val="00A52C87"/>
    <w:rsid w:val="00A533F7"/>
    <w:rsid w:val="00A535F1"/>
    <w:rsid w:val="00A53EC6"/>
    <w:rsid w:val="00A5406E"/>
    <w:rsid w:val="00A54160"/>
    <w:rsid w:val="00A543E7"/>
    <w:rsid w:val="00A54BE9"/>
    <w:rsid w:val="00A54F02"/>
    <w:rsid w:val="00A552A6"/>
    <w:rsid w:val="00A553B0"/>
    <w:rsid w:val="00A55C0F"/>
    <w:rsid w:val="00A55FBB"/>
    <w:rsid w:val="00A5630F"/>
    <w:rsid w:val="00A564C1"/>
    <w:rsid w:val="00A564F4"/>
    <w:rsid w:val="00A56AC2"/>
    <w:rsid w:val="00A60C92"/>
    <w:rsid w:val="00A61A00"/>
    <w:rsid w:val="00A61C23"/>
    <w:rsid w:val="00A62093"/>
    <w:rsid w:val="00A62212"/>
    <w:rsid w:val="00A628C2"/>
    <w:rsid w:val="00A62B6D"/>
    <w:rsid w:val="00A62CF2"/>
    <w:rsid w:val="00A62D9D"/>
    <w:rsid w:val="00A62E90"/>
    <w:rsid w:val="00A631C4"/>
    <w:rsid w:val="00A6337A"/>
    <w:rsid w:val="00A633F2"/>
    <w:rsid w:val="00A6422F"/>
    <w:rsid w:val="00A64427"/>
    <w:rsid w:val="00A6461A"/>
    <w:rsid w:val="00A658AA"/>
    <w:rsid w:val="00A65BB7"/>
    <w:rsid w:val="00A65DB0"/>
    <w:rsid w:val="00A6697B"/>
    <w:rsid w:val="00A6708F"/>
    <w:rsid w:val="00A6754F"/>
    <w:rsid w:val="00A6797E"/>
    <w:rsid w:val="00A67C22"/>
    <w:rsid w:val="00A700D6"/>
    <w:rsid w:val="00A70B52"/>
    <w:rsid w:val="00A71065"/>
    <w:rsid w:val="00A71CFD"/>
    <w:rsid w:val="00A728AA"/>
    <w:rsid w:val="00A72EAB"/>
    <w:rsid w:val="00A7434E"/>
    <w:rsid w:val="00A743DC"/>
    <w:rsid w:val="00A7552B"/>
    <w:rsid w:val="00A75F30"/>
    <w:rsid w:val="00A75FE3"/>
    <w:rsid w:val="00A76D29"/>
    <w:rsid w:val="00A77568"/>
    <w:rsid w:val="00A7770A"/>
    <w:rsid w:val="00A77E1E"/>
    <w:rsid w:val="00A77F13"/>
    <w:rsid w:val="00A801B0"/>
    <w:rsid w:val="00A813CC"/>
    <w:rsid w:val="00A81403"/>
    <w:rsid w:val="00A81606"/>
    <w:rsid w:val="00A816D0"/>
    <w:rsid w:val="00A81712"/>
    <w:rsid w:val="00A82AAE"/>
    <w:rsid w:val="00A838F6"/>
    <w:rsid w:val="00A83E75"/>
    <w:rsid w:val="00A84A59"/>
    <w:rsid w:val="00A84C46"/>
    <w:rsid w:val="00A854D5"/>
    <w:rsid w:val="00A856E5"/>
    <w:rsid w:val="00A85BC5"/>
    <w:rsid w:val="00A85D66"/>
    <w:rsid w:val="00A860E6"/>
    <w:rsid w:val="00A86AD0"/>
    <w:rsid w:val="00A86F37"/>
    <w:rsid w:val="00A8713F"/>
    <w:rsid w:val="00A87265"/>
    <w:rsid w:val="00A901D7"/>
    <w:rsid w:val="00A90BA1"/>
    <w:rsid w:val="00A9178F"/>
    <w:rsid w:val="00A91B8B"/>
    <w:rsid w:val="00A91D1C"/>
    <w:rsid w:val="00A91E81"/>
    <w:rsid w:val="00A9204A"/>
    <w:rsid w:val="00A92107"/>
    <w:rsid w:val="00A92A94"/>
    <w:rsid w:val="00A937EF"/>
    <w:rsid w:val="00A93A4D"/>
    <w:rsid w:val="00A93F8A"/>
    <w:rsid w:val="00A955B4"/>
    <w:rsid w:val="00A95942"/>
    <w:rsid w:val="00A95991"/>
    <w:rsid w:val="00A9662F"/>
    <w:rsid w:val="00A96A9F"/>
    <w:rsid w:val="00A97A43"/>
    <w:rsid w:val="00A97A9A"/>
    <w:rsid w:val="00AA0003"/>
    <w:rsid w:val="00AA003F"/>
    <w:rsid w:val="00AA05D8"/>
    <w:rsid w:val="00AA0671"/>
    <w:rsid w:val="00AA06AD"/>
    <w:rsid w:val="00AA117E"/>
    <w:rsid w:val="00AA23E9"/>
    <w:rsid w:val="00AA2531"/>
    <w:rsid w:val="00AA2783"/>
    <w:rsid w:val="00AA2C3E"/>
    <w:rsid w:val="00AA43B9"/>
    <w:rsid w:val="00AA46DE"/>
    <w:rsid w:val="00AA485C"/>
    <w:rsid w:val="00AA5C66"/>
    <w:rsid w:val="00AA5E84"/>
    <w:rsid w:val="00AA6C57"/>
    <w:rsid w:val="00AA6DC5"/>
    <w:rsid w:val="00AA6F42"/>
    <w:rsid w:val="00AA7254"/>
    <w:rsid w:val="00AA7476"/>
    <w:rsid w:val="00AB015A"/>
    <w:rsid w:val="00AB086C"/>
    <w:rsid w:val="00AB0D9D"/>
    <w:rsid w:val="00AB1244"/>
    <w:rsid w:val="00AB1677"/>
    <w:rsid w:val="00AB1A84"/>
    <w:rsid w:val="00AB1E09"/>
    <w:rsid w:val="00AB275C"/>
    <w:rsid w:val="00AB387D"/>
    <w:rsid w:val="00AB4353"/>
    <w:rsid w:val="00AB4498"/>
    <w:rsid w:val="00AB5330"/>
    <w:rsid w:val="00AB56FF"/>
    <w:rsid w:val="00AB5EDD"/>
    <w:rsid w:val="00AB613A"/>
    <w:rsid w:val="00AB65E0"/>
    <w:rsid w:val="00AB6764"/>
    <w:rsid w:val="00AB6B8B"/>
    <w:rsid w:val="00AB6BF2"/>
    <w:rsid w:val="00AB70B6"/>
    <w:rsid w:val="00AB73C1"/>
    <w:rsid w:val="00AB7579"/>
    <w:rsid w:val="00AB761E"/>
    <w:rsid w:val="00AB7643"/>
    <w:rsid w:val="00AB7747"/>
    <w:rsid w:val="00AB7760"/>
    <w:rsid w:val="00AC14CE"/>
    <w:rsid w:val="00AC1DFD"/>
    <w:rsid w:val="00AC288C"/>
    <w:rsid w:val="00AC2A56"/>
    <w:rsid w:val="00AC2CFC"/>
    <w:rsid w:val="00AC319E"/>
    <w:rsid w:val="00AC343E"/>
    <w:rsid w:val="00AC36CB"/>
    <w:rsid w:val="00AC4DA4"/>
    <w:rsid w:val="00AC579C"/>
    <w:rsid w:val="00AC6274"/>
    <w:rsid w:val="00AC634D"/>
    <w:rsid w:val="00AC7CA1"/>
    <w:rsid w:val="00AC7D80"/>
    <w:rsid w:val="00AC7FD6"/>
    <w:rsid w:val="00AD055E"/>
    <w:rsid w:val="00AD1171"/>
    <w:rsid w:val="00AD1F2E"/>
    <w:rsid w:val="00AD2B85"/>
    <w:rsid w:val="00AD2BE6"/>
    <w:rsid w:val="00AD377C"/>
    <w:rsid w:val="00AD3831"/>
    <w:rsid w:val="00AD38CD"/>
    <w:rsid w:val="00AD3A0F"/>
    <w:rsid w:val="00AD3E5F"/>
    <w:rsid w:val="00AD47A7"/>
    <w:rsid w:val="00AD4847"/>
    <w:rsid w:val="00AD486F"/>
    <w:rsid w:val="00AD496B"/>
    <w:rsid w:val="00AD4EE9"/>
    <w:rsid w:val="00AD6182"/>
    <w:rsid w:val="00AD666C"/>
    <w:rsid w:val="00AE0073"/>
    <w:rsid w:val="00AE008E"/>
    <w:rsid w:val="00AE0485"/>
    <w:rsid w:val="00AE08B3"/>
    <w:rsid w:val="00AE0C13"/>
    <w:rsid w:val="00AE0FCA"/>
    <w:rsid w:val="00AE15C6"/>
    <w:rsid w:val="00AE1928"/>
    <w:rsid w:val="00AE1A36"/>
    <w:rsid w:val="00AE1D1F"/>
    <w:rsid w:val="00AE2028"/>
    <w:rsid w:val="00AE25D1"/>
    <w:rsid w:val="00AE2904"/>
    <w:rsid w:val="00AE2D24"/>
    <w:rsid w:val="00AE2F97"/>
    <w:rsid w:val="00AE2FC6"/>
    <w:rsid w:val="00AE3126"/>
    <w:rsid w:val="00AE31DE"/>
    <w:rsid w:val="00AE334E"/>
    <w:rsid w:val="00AE3707"/>
    <w:rsid w:val="00AE3973"/>
    <w:rsid w:val="00AE4163"/>
    <w:rsid w:val="00AE4826"/>
    <w:rsid w:val="00AE4B1C"/>
    <w:rsid w:val="00AE4FCF"/>
    <w:rsid w:val="00AE4FEF"/>
    <w:rsid w:val="00AE6340"/>
    <w:rsid w:val="00AE6DDD"/>
    <w:rsid w:val="00AE74B9"/>
    <w:rsid w:val="00AE7894"/>
    <w:rsid w:val="00AE7E7D"/>
    <w:rsid w:val="00AE7FDF"/>
    <w:rsid w:val="00AF0CBF"/>
    <w:rsid w:val="00AF1A22"/>
    <w:rsid w:val="00AF1C31"/>
    <w:rsid w:val="00AF2205"/>
    <w:rsid w:val="00AF2540"/>
    <w:rsid w:val="00AF257F"/>
    <w:rsid w:val="00AF33CF"/>
    <w:rsid w:val="00AF33E8"/>
    <w:rsid w:val="00AF3925"/>
    <w:rsid w:val="00AF3D17"/>
    <w:rsid w:val="00AF4245"/>
    <w:rsid w:val="00AF427C"/>
    <w:rsid w:val="00AF49DF"/>
    <w:rsid w:val="00AF4D50"/>
    <w:rsid w:val="00AF5A70"/>
    <w:rsid w:val="00AF6179"/>
    <w:rsid w:val="00AF61D0"/>
    <w:rsid w:val="00AF737C"/>
    <w:rsid w:val="00AF777C"/>
    <w:rsid w:val="00B00989"/>
    <w:rsid w:val="00B01F72"/>
    <w:rsid w:val="00B02791"/>
    <w:rsid w:val="00B029AA"/>
    <w:rsid w:val="00B042C9"/>
    <w:rsid w:val="00B04514"/>
    <w:rsid w:val="00B0480D"/>
    <w:rsid w:val="00B04D17"/>
    <w:rsid w:val="00B04DD2"/>
    <w:rsid w:val="00B0508B"/>
    <w:rsid w:val="00B053FD"/>
    <w:rsid w:val="00B0629E"/>
    <w:rsid w:val="00B06397"/>
    <w:rsid w:val="00B064CD"/>
    <w:rsid w:val="00B06987"/>
    <w:rsid w:val="00B06DEB"/>
    <w:rsid w:val="00B07EEC"/>
    <w:rsid w:val="00B10821"/>
    <w:rsid w:val="00B10A6C"/>
    <w:rsid w:val="00B10EDC"/>
    <w:rsid w:val="00B112FD"/>
    <w:rsid w:val="00B113DF"/>
    <w:rsid w:val="00B118E4"/>
    <w:rsid w:val="00B12472"/>
    <w:rsid w:val="00B1295A"/>
    <w:rsid w:val="00B12E11"/>
    <w:rsid w:val="00B13179"/>
    <w:rsid w:val="00B132BF"/>
    <w:rsid w:val="00B13350"/>
    <w:rsid w:val="00B136C5"/>
    <w:rsid w:val="00B13879"/>
    <w:rsid w:val="00B13CD9"/>
    <w:rsid w:val="00B14F73"/>
    <w:rsid w:val="00B15364"/>
    <w:rsid w:val="00B15E92"/>
    <w:rsid w:val="00B16801"/>
    <w:rsid w:val="00B16E7B"/>
    <w:rsid w:val="00B17078"/>
    <w:rsid w:val="00B170E9"/>
    <w:rsid w:val="00B17713"/>
    <w:rsid w:val="00B177D1"/>
    <w:rsid w:val="00B17FC4"/>
    <w:rsid w:val="00B203C8"/>
    <w:rsid w:val="00B20A45"/>
    <w:rsid w:val="00B211A2"/>
    <w:rsid w:val="00B21DB0"/>
    <w:rsid w:val="00B21ED8"/>
    <w:rsid w:val="00B221FC"/>
    <w:rsid w:val="00B22B2A"/>
    <w:rsid w:val="00B22C5C"/>
    <w:rsid w:val="00B24C90"/>
    <w:rsid w:val="00B24E68"/>
    <w:rsid w:val="00B24F30"/>
    <w:rsid w:val="00B2510E"/>
    <w:rsid w:val="00B2525F"/>
    <w:rsid w:val="00B254BE"/>
    <w:rsid w:val="00B269D9"/>
    <w:rsid w:val="00B26C05"/>
    <w:rsid w:val="00B26E60"/>
    <w:rsid w:val="00B27452"/>
    <w:rsid w:val="00B27511"/>
    <w:rsid w:val="00B27632"/>
    <w:rsid w:val="00B276D5"/>
    <w:rsid w:val="00B27F09"/>
    <w:rsid w:val="00B309B9"/>
    <w:rsid w:val="00B3140C"/>
    <w:rsid w:val="00B31ABF"/>
    <w:rsid w:val="00B32304"/>
    <w:rsid w:val="00B324CB"/>
    <w:rsid w:val="00B32BDB"/>
    <w:rsid w:val="00B33BE3"/>
    <w:rsid w:val="00B3476F"/>
    <w:rsid w:val="00B353F8"/>
    <w:rsid w:val="00B37B4F"/>
    <w:rsid w:val="00B37D1C"/>
    <w:rsid w:val="00B37D35"/>
    <w:rsid w:val="00B37D6E"/>
    <w:rsid w:val="00B40CD6"/>
    <w:rsid w:val="00B42878"/>
    <w:rsid w:val="00B429A1"/>
    <w:rsid w:val="00B43217"/>
    <w:rsid w:val="00B43CCF"/>
    <w:rsid w:val="00B4403F"/>
    <w:rsid w:val="00B44F17"/>
    <w:rsid w:val="00B453B5"/>
    <w:rsid w:val="00B45AA3"/>
    <w:rsid w:val="00B45C74"/>
    <w:rsid w:val="00B47160"/>
    <w:rsid w:val="00B4743A"/>
    <w:rsid w:val="00B474D9"/>
    <w:rsid w:val="00B4784A"/>
    <w:rsid w:val="00B478ED"/>
    <w:rsid w:val="00B47E96"/>
    <w:rsid w:val="00B5079A"/>
    <w:rsid w:val="00B50893"/>
    <w:rsid w:val="00B51C59"/>
    <w:rsid w:val="00B5213F"/>
    <w:rsid w:val="00B522B6"/>
    <w:rsid w:val="00B52D35"/>
    <w:rsid w:val="00B53027"/>
    <w:rsid w:val="00B531DA"/>
    <w:rsid w:val="00B53B5D"/>
    <w:rsid w:val="00B55007"/>
    <w:rsid w:val="00B55023"/>
    <w:rsid w:val="00B55BA4"/>
    <w:rsid w:val="00B55F26"/>
    <w:rsid w:val="00B57166"/>
    <w:rsid w:val="00B57B85"/>
    <w:rsid w:val="00B57DA2"/>
    <w:rsid w:val="00B6015E"/>
    <w:rsid w:val="00B6055E"/>
    <w:rsid w:val="00B609D1"/>
    <w:rsid w:val="00B60AEC"/>
    <w:rsid w:val="00B60F24"/>
    <w:rsid w:val="00B6201A"/>
    <w:rsid w:val="00B62BBC"/>
    <w:rsid w:val="00B6317D"/>
    <w:rsid w:val="00B63804"/>
    <w:rsid w:val="00B63B13"/>
    <w:rsid w:val="00B63E4B"/>
    <w:rsid w:val="00B63F58"/>
    <w:rsid w:val="00B63F88"/>
    <w:rsid w:val="00B65140"/>
    <w:rsid w:val="00B6538A"/>
    <w:rsid w:val="00B65A20"/>
    <w:rsid w:val="00B65CB3"/>
    <w:rsid w:val="00B66000"/>
    <w:rsid w:val="00B66952"/>
    <w:rsid w:val="00B66A16"/>
    <w:rsid w:val="00B66B18"/>
    <w:rsid w:val="00B67BD8"/>
    <w:rsid w:val="00B70EED"/>
    <w:rsid w:val="00B71025"/>
    <w:rsid w:val="00B7109F"/>
    <w:rsid w:val="00B711A4"/>
    <w:rsid w:val="00B71A87"/>
    <w:rsid w:val="00B71AFB"/>
    <w:rsid w:val="00B71E0F"/>
    <w:rsid w:val="00B7284E"/>
    <w:rsid w:val="00B72AB1"/>
    <w:rsid w:val="00B72F30"/>
    <w:rsid w:val="00B74306"/>
    <w:rsid w:val="00B74D6B"/>
    <w:rsid w:val="00B75136"/>
    <w:rsid w:val="00B753B5"/>
    <w:rsid w:val="00B755B1"/>
    <w:rsid w:val="00B760A1"/>
    <w:rsid w:val="00B76CAD"/>
    <w:rsid w:val="00B7723F"/>
    <w:rsid w:val="00B80021"/>
    <w:rsid w:val="00B8035E"/>
    <w:rsid w:val="00B80534"/>
    <w:rsid w:val="00B8066F"/>
    <w:rsid w:val="00B80D2A"/>
    <w:rsid w:val="00B81871"/>
    <w:rsid w:val="00B821F9"/>
    <w:rsid w:val="00B8243C"/>
    <w:rsid w:val="00B8266B"/>
    <w:rsid w:val="00B82DE3"/>
    <w:rsid w:val="00B83365"/>
    <w:rsid w:val="00B83521"/>
    <w:rsid w:val="00B8433C"/>
    <w:rsid w:val="00B84F66"/>
    <w:rsid w:val="00B860DC"/>
    <w:rsid w:val="00B86A98"/>
    <w:rsid w:val="00B87491"/>
    <w:rsid w:val="00B90284"/>
    <w:rsid w:val="00B90FBB"/>
    <w:rsid w:val="00B91279"/>
    <w:rsid w:val="00B914BF"/>
    <w:rsid w:val="00B91A41"/>
    <w:rsid w:val="00B922F7"/>
    <w:rsid w:val="00B9343A"/>
    <w:rsid w:val="00B93870"/>
    <w:rsid w:val="00B93D7F"/>
    <w:rsid w:val="00B94637"/>
    <w:rsid w:val="00B94A93"/>
    <w:rsid w:val="00B95252"/>
    <w:rsid w:val="00B9567B"/>
    <w:rsid w:val="00B95D40"/>
    <w:rsid w:val="00B961D0"/>
    <w:rsid w:val="00B969CD"/>
    <w:rsid w:val="00BA0016"/>
    <w:rsid w:val="00BA00B3"/>
    <w:rsid w:val="00BA10EB"/>
    <w:rsid w:val="00BA17D6"/>
    <w:rsid w:val="00BA17E1"/>
    <w:rsid w:val="00BA29E9"/>
    <w:rsid w:val="00BA4CD2"/>
    <w:rsid w:val="00BA5743"/>
    <w:rsid w:val="00BA5CF9"/>
    <w:rsid w:val="00BA5D05"/>
    <w:rsid w:val="00BA5F84"/>
    <w:rsid w:val="00BA7142"/>
    <w:rsid w:val="00BA72A7"/>
    <w:rsid w:val="00BB00EB"/>
    <w:rsid w:val="00BB06CE"/>
    <w:rsid w:val="00BB083B"/>
    <w:rsid w:val="00BB1137"/>
    <w:rsid w:val="00BB1286"/>
    <w:rsid w:val="00BB237C"/>
    <w:rsid w:val="00BB35A4"/>
    <w:rsid w:val="00BB3F2E"/>
    <w:rsid w:val="00BB3F56"/>
    <w:rsid w:val="00BB41A3"/>
    <w:rsid w:val="00BB4835"/>
    <w:rsid w:val="00BB4B18"/>
    <w:rsid w:val="00BB63E7"/>
    <w:rsid w:val="00BB6A32"/>
    <w:rsid w:val="00BB6B58"/>
    <w:rsid w:val="00BB7038"/>
    <w:rsid w:val="00BB7575"/>
    <w:rsid w:val="00BC016D"/>
    <w:rsid w:val="00BC0B40"/>
    <w:rsid w:val="00BC111E"/>
    <w:rsid w:val="00BC18AB"/>
    <w:rsid w:val="00BC1986"/>
    <w:rsid w:val="00BC22B6"/>
    <w:rsid w:val="00BC262C"/>
    <w:rsid w:val="00BC2822"/>
    <w:rsid w:val="00BC2972"/>
    <w:rsid w:val="00BC2C66"/>
    <w:rsid w:val="00BC2EF7"/>
    <w:rsid w:val="00BC322F"/>
    <w:rsid w:val="00BC32DC"/>
    <w:rsid w:val="00BC35B6"/>
    <w:rsid w:val="00BC3D29"/>
    <w:rsid w:val="00BC4A98"/>
    <w:rsid w:val="00BC5F1F"/>
    <w:rsid w:val="00BC6F07"/>
    <w:rsid w:val="00BC6F74"/>
    <w:rsid w:val="00BC765F"/>
    <w:rsid w:val="00BD1064"/>
    <w:rsid w:val="00BD1677"/>
    <w:rsid w:val="00BD1B51"/>
    <w:rsid w:val="00BD2311"/>
    <w:rsid w:val="00BD372C"/>
    <w:rsid w:val="00BD3A35"/>
    <w:rsid w:val="00BD4087"/>
    <w:rsid w:val="00BD4596"/>
    <w:rsid w:val="00BD4BCE"/>
    <w:rsid w:val="00BD4C33"/>
    <w:rsid w:val="00BD4E9B"/>
    <w:rsid w:val="00BD4F2B"/>
    <w:rsid w:val="00BD6C80"/>
    <w:rsid w:val="00BD6ECB"/>
    <w:rsid w:val="00BD7BB4"/>
    <w:rsid w:val="00BE0403"/>
    <w:rsid w:val="00BE1405"/>
    <w:rsid w:val="00BE1695"/>
    <w:rsid w:val="00BE1B0B"/>
    <w:rsid w:val="00BE2351"/>
    <w:rsid w:val="00BE300D"/>
    <w:rsid w:val="00BE312D"/>
    <w:rsid w:val="00BE3180"/>
    <w:rsid w:val="00BE3B88"/>
    <w:rsid w:val="00BE3C07"/>
    <w:rsid w:val="00BE3D71"/>
    <w:rsid w:val="00BE41F4"/>
    <w:rsid w:val="00BE478E"/>
    <w:rsid w:val="00BE4F67"/>
    <w:rsid w:val="00BE543A"/>
    <w:rsid w:val="00BE5653"/>
    <w:rsid w:val="00BE65FA"/>
    <w:rsid w:val="00BE672F"/>
    <w:rsid w:val="00BE6C8B"/>
    <w:rsid w:val="00BE7153"/>
    <w:rsid w:val="00BE7D3B"/>
    <w:rsid w:val="00BF052D"/>
    <w:rsid w:val="00BF0D51"/>
    <w:rsid w:val="00BF164F"/>
    <w:rsid w:val="00BF1BA7"/>
    <w:rsid w:val="00BF1C20"/>
    <w:rsid w:val="00BF3198"/>
    <w:rsid w:val="00BF4698"/>
    <w:rsid w:val="00BF550A"/>
    <w:rsid w:val="00BF580E"/>
    <w:rsid w:val="00BF6840"/>
    <w:rsid w:val="00BF6848"/>
    <w:rsid w:val="00BF6D1A"/>
    <w:rsid w:val="00BF6E0F"/>
    <w:rsid w:val="00BF75E8"/>
    <w:rsid w:val="00C00A56"/>
    <w:rsid w:val="00C01289"/>
    <w:rsid w:val="00C01C24"/>
    <w:rsid w:val="00C02886"/>
    <w:rsid w:val="00C0295A"/>
    <w:rsid w:val="00C02E70"/>
    <w:rsid w:val="00C03507"/>
    <w:rsid w:val="00C039A0"/>
    <w:rsid w:val="00C0409E"/>
    <w:rsid w:val="00C040D4"/>
    <w:rsid w:val="00C041CD"/>
    <w:rsid w:val="00C04340"/>
    <w:rsid w:val="00C04651"/>
    <w:rsid w:val="00C04BC8"/>
    <w:rsid w:val="00C04F26"/>
    <w:rsid w:val="00C05A37"/>
    <w:rsid w:val="00C06539"/>
    <w:rsid w:val="00C065F0"/>
    <w:rsid w:val="00C06D88"/>
    <w:rsid w:val="00C07B18"/>
    <w:rsid w:val="00C10578"/>
    <w:rsid w:val="00C116C8"/>
    <w:rsid w:val="00C117B5"/>
    <w:rsid w:val="00C11EFF"/>
    <w:rsid w:val="00C135BC"/>
    <w:rsid w:val="00C14113"/>
    <w:rsid w:val="00C14662"/>
    <w:rsid w:val="00C14FC4"/>
    <w:rsid w:val="00C15888"/>
    <w:rsid w:val="00C158F9"/>
    <w:rsid w:val="00C15959"/>
    <w:rsid w:val="00C15C95"/>
    <w:rsid w:val="00C15FA8"/>
    <w:rsid w:val="00C15FC7"/>
    <w:rsid w:val="00C16140"/>
    <w:rsid w:val="00C161BC"/>
    <w:rsid w:val="00C16917"/>
    <w:rsid w:val="00C174EF"/>
    <w:rsid w:val="00C17B63"/>
    <w:rsid w:val="00C2069B"/>
    <w:rsid w:val="00C20A01"/>
    <w:rsid w:val="00C20C31"/>
    <w:rsid w:val="00C20DEA"/>
    <w:rsid w:val="00C21DB6"/>
    <w:rsid w:val="00C222EE"/>
    <w:rsid w:val="00C225F7"/>
    <w:rsid w:val="00C23202"/>
    <w:rsid w:val="00C2359E"/>
    <w:rsid w:val="00C247AF"/>
    <w:rsid w:val="00C24E15"/>
    <w:rsid w:val="00C250F6"/>
    <w:rsid w:val="00C252D8"/>
    <w:rsid w:val="00C2596A"/>
    <w:rsid w:val="00C26B5A"/>
    <w:rsid w:val="00C26E30"/>
    <w:rsid w:val="00C27537"/>
    <w:rsid w:val="00C279D0"/>
    <w:rsid w:val="00C30C60"/>
    <w:rsid w:val="00C32015"/>
    <w:rsid w:val="00C3221F"/>
    <w:rsid w:val="00C323A0"/>
    <w:rsid w:val="00C326F5"/>
    <w:rsid w:val="00C3271E"/>
    <w:rsid w:val="00C328B4"/>
    <w:rsid w:val="00C328FE"/>
    <w:rsid w:val="00C32E80"/>
    <w:rsid w:val="00C32F60"/>
    <w:rsid w:val="00C32FAB"/>
    <w:rsid w:val="00C33267"/>
    <w:rsid w:val="00C33507"/>
    <w:rsid w:val="00C344E1"/>
    <w:rsid w:val="00C3462D"/>
    <w:rsid w:val="00C3466B"/>
    <w:rsid w:val="00C35493"/>
    <w:rsid w:val="00C363A9"/>
    <w:rsid w:val="00C365E3"/>
    <w:rsid w:val="00C367A5"/>
    <w:rsid w:val="00C40866"/>
    <w:rsid w:val="00C42493"/>
    <w:rsid w:val="00C4409D"/>
    <w:rsid w:val="00C44E72"/>
    <w:rsid w:val="00C4515F"/>
    <w:rsid w:val="00C45A06"/>
    <w:rsid w:val="00C45B7E"/>
    <w:rsid w:val="00C45F1F"/>
    <w:rsid w:val="00C4631B"/>
    <w:rsid w:val="00C46D62"/>
    <w:rsid w:val="00C471AD"/>
    <w:rsid w:val="00C4786A"/>
    <w:rsid w:val="00C47E5B"/>
    <w:rsid w:val="00C50192"/>
    <w:rsid w:val="00C502AF"/>
    <w:rsid w:val="00C50C96"/>
    <w:rsid w:val="00C52971"/>
    <w:rsid w:val="00C52EAB"/>
    <w:rsid w:val="00C52FC6"/>
    <w:rsid w:val="00C533AA"/>
    <w:rsid w:val="00C53687"/>
    <w:rsid w:val="00C5373C"/>
    <w:rsid w:val="00C5399A"/>
    <w:rsid w:val="00C53A86"/>
    <w:rsid w:val="00C53DAF"/>
    <w:rsid w:val="00C53F99"/>
    <w:rsid w:val="00C5415D"/>
    <w:rsid w:val="00C543AC"/>
    <w:rsid w:val="00C54572"/>
    <w:rsid w:val="00C546BE"/>
    <w:rsid w:val="00C5506E"/>
    <w:rsid w:val="00C55765"/>
    <w:rsid w:val="00C55A2F"/>
    <w:rsid w:val="00C55E51"/>
    <w:rsid w:val="00C56156"/>
    <w:rsid w:val="00C5661C"/>
    <w:rsid w:val="00C57188"/>
    <w:rsid w:val="00C57605"/>
    <w:rsid w:val="00C57EC4"/>
    <w:rsid w:val="00C60069"/>
    <w:rsid w:val="00C601F5"/>
    <w:rsid w:val="00C6034E"/>
    <w:rsid w:val="00C60769"/>
    <w:rsid w:val="00C608C0"/>
    <w:rsid w:val="00C611EA"/>
    <w:rsid w:val="00C61294"/>
    <w:rsid w:val="00C61E4B"/>
    <w:rsid w:val="00C62205"/>
    <w:rsid w:val="00C62262"/>
    <w:rsid w:val="00C627CF"/>
    <w:rsid w:val="00C63243"/>
    <w:rsid w:val="00C6358D"/>
    <w:rsid w:val="00C6361F"/>
    <w:rsid w:val="00C643B8"/>
    <w:rsid w:val="00C64BFF"/>
    <w:rsid w:val="00C651E0"/>
    <w:rsid w:val="00C657D2"/>
    <w:rsid w:val="00C658F8"/>
    <w:rsid w:val="00C6602D"/>
    <w:rsid w:val="00C67D89"/>
    <w:rsid w:val="00C701F4"/>
    <w:rsid w:val="00C7030F"/>
    <w:rsid w:val="00C70498"/>
    <w:rsid w:val="00C704E9"/>
    <w:rsid w:val="00C708E7"/>
    <w:rsid w:val="00C70CDA"/>
    <w:rsid w:val="00C7103C"/>
    <w:rsid w:val="00C71291"/>
    <w:rsid w:val="00C7165E"/>
    <w:rsid w:val="00C72D07"/>
    <w:rsid w:val="00C72FB9"/>
    <w:rsid w:val="00C73015"/>
    <w:rsid w:val="00C730BE"/>
    <w:rsid w:val="00C730DD"/>
    <w:rsid w:val="00C73FF0"/>
    <w:rsid w:val="00C74EB7"/>
    <w:rsid w:val="00C758FB"/>
    <w:rsid w:val="00C763C9"/>
    <w:rsid w:val="00C767F6"/>
    <w:rsid w:val="00C768EE"/>
    <w:rsid w:val="00C7728F"/>
    <w:rsid w:val="00C77345"/>
    <w:rsid w:val="00C776FF"/>
    <w:rsid w:val="00C80057"/>
    <w:rsid w:val="00C804A2"/>
    <w:rsid w:val="00C8080D"/>
    <w:rsid w:val="00C80DBC"/>
    <w:rsid w:val="00C82232"/>
    <w:rsid w:val="00C825A8"/>
    <w:rsid w:val="00C82913"/>
    <w:rsid w:val="00C82A88"/>
    <w:rsid w:val="00C82C49"/>
    <w:rsid w:val="00C83B6A"/>
    <w:rsid w:val="00C8436F"/>
    <w:rsid w:val="00C8463E"/>
    <w:rsid w:val="00C84F99"/>
    <w:rsid w:val="00C85277"/>
    <w:rsid w:val="00C8634C"/>
    <w:rsid w:val="00C867C5"/>
    <w:rsid w:val="00C86C7F"/>
    <w:rsid w:val="00C87215"/>
    <w:rsid w:val="00C873A4"/>
    <w:rsid w:val="00C875F3"/>
    <w:rsid w:val="00C87616"/>
    <w:rsid w:val="00C87F2F"/>
    <w:rsid w:val="00C906AC"/>
    <w:rsid w:val="00C90CA9"/>
    <w:rsid w:val="00C913A6"/>
    <w:rsid w:val="00C922FD"/>
    <w:rsid w:val="00C92476"/>
    <w:rsid w:val="00C92817"/>
    <w:rsid w:val="00C92840"/>
    <w:rsid w:val="00C92EB7"/>
    <w:rsid w:val="00C92F05"/>
    <w:rsid w:val="00C94322"/>
    <w:rsid w:val="00C94638"/>
    <w:rsid w:val="00C94B4E"/>
    <w:rsid w:val="00C95336"/>
    <w:rsid w:val="00C95494"/>
    <w:rsid w:val="00C95A72"/>
    <w:rsid w:val="00C95D7F"/>
    <w:rsid w:val="00C96EFC"/>
    <w:rsid w:val="00C972B1"/>
    <w:rsid w:val="00C97449"/>
    <w:rsid w:val="00C97BE2"/>
    <w:rsid w:val="00C97FB2"/>
    <w:rsid w:val="00CA0784"/>
    <w:rsid w:val="00CA07C8"/>
    <w:rsid w:val="00CA091F"/>
    <w:rsid w:val="00CA1018"/>
    <w:rsid w:val="00CA15B7"/>
    <w:rsid w:val="00CA19D8"/>
    <w:rsid w:val="00CA1C56"/>
    <w:rsid w:val="00CA1EDF"/>
    <w:rsid w:val="00CA2480"/>
    <w:rsid w:val="00CA251B"/>
    <w:rsid w:val="00CA2CCE"/>
    <w:rsid w:val="00CA2DF0"/>
    <w:rsid w:val="00CA3716"/>
    <w:rsid w:val="00CA42E3"/>
    <w:rsid w:val="00CA43FD"/>
    <w:rsid w:val="00CA4D79"/>
    <w:rsid w:val="00CA5300"/>
    <w:rsid w:val="00CA685A"/>
    <w:rsid w:val="00CA6D30"/>
    <w:rsid w:val="00CA7930"/>
    <w:rsid w:val="00CA7BB4"/>
    <w:rsid w:val="00CA7C3E"/>
    <w:rsid w:val="00CA7EF8"/>
    <w:rsid w:val="00CB073B"/>
    <w:rsid w:val="00CB1F47"/>
    <w:rsid w:val="00CB287A"/>
    <w:rsid w:val="00CB2C77"/>
    <w:rsid w:val="00CB3E54"/>
    <w:rsid w:val="00CB40EA"/>
    <w:rsid w:val="00CB4120"/>
    <w:rsid w:val="00CB52D7"/>
    <w:rsid w:val="00CB5784"/>
    <w:rsid w:val="00CB601B"/>
    <w:rsid w:val="00CB6C8D"/>
    <w:rsid w:val="00CB77F6"/>
    <w:rsid w:val="00CB7F83"/>
    <w:rsid w:val="00CC085C"/>
    <w:rsid w:val="00CC2249"/>
    <w:rsid w:val="00CC26BC"/>
    <w:rsid w:val="00CC2E3D"/>
    <w:rsid w:val="00CC366A"/>
    <w:rsid w:val="00CC3BDC"/>
    <w:rsid w:val="00CC3CA0"/>
    <w:rsid w:val="00CC41BC"/>
    <w:rsid w:val="00CC4323"/>
    <w:rsid w:val="00CC4567"/>
    <w:rsid w:val="00CC489B"/>
    <w:rsid w:val="00CC49E8"/>
    <w:rsid w:val="00CC5992"/>
    <w:rsid w:val="00CC6017"/>
    <w:rsid w:val="00CC60AE"/>
    <w:rsid w:val="00CC79C3"/>
    <w:rsid w:val="00CC7D8A"/>
    <w:rsid w:val="00CC7E78"/>
    <w:rsid w:val="00CD09F9"/>
    <w:rsid w:val="00CD19BE"/>
    <w:rsid w:val="00CD1DB9"/>
    <w:rsid w:val="00CD1FA1"/>
    <w:rsid w:val="00CD1FFE"/>
    <w:rsid w:val="00CD25F7"/>
    <w:rsid w:val="00CD2BCD"/>
    <w:rsid w:val="00CD321B"/>
    <w:rsid w:val="00CD34B5"/>
    <w:rsid w:val="00CD3A4C"/>
    <w:rsid w:val="00CD3DCF"/>
    <w:rsid w:val="00CD45C0"/>
    <w:rsid w:val="00CD480D"/>
    <w:rsid w:val="00CD4EDD"/>
    <w:rsid w:val="00CD4F57"/>
    <w:rsid w:val="00CD56C7"/>
    <w:rsid w:val="00CD5957"/>
    <w:rsid w:val="00CD7463"/>
    <w:rsid w:val="00CE107C"/>
    <w:rsid w:val="00CE10E9"/>
    <w:rsid w:val="00CE1290"/>
    <w:rsid w:val="00CE1790"/>
    <w:rsid w:val="00CE1C6C"/>
    <w:rsid w:val="00CE1F59"/>
    <w:rsid w:val="00CE1FF5"/>
    <w:rsid w:val="00CE21FD"/>
    <w:rsid w:val="00CE2888"/>
    <w:rsid w:val="00CE2910"/>
    <w:rsid w:val="00CE2B82"/>
    <w:rsid w:val="00CE2FCF"/>
    <w:rsid w:val="00CE3AC7"/>
    <w:rsid w:val="00CE3EE2"/>
    <w:rsid w:val="00CE40AB"/>
    <w:rsid w:val="00CE444A"/>
    <w:rsid w:val="00CE4796"/>
    <w:rsid w:val="00CE4828"/>
    <w:rsid w:val="00CE5269"/>
    <w:rsid w:val="00CE5393"/>
    <w:rsid w:val="00CE5DE9"/>
    <w:rsid w:val="00CE6F0C"/>
    <w:rsid w:val="00CE7507"/>
    <w:rsid w:val="00CE76B0"/>
    <w:rsid w:val="00CE785F"/>
    <w:rsid w:val="00CE78EC"/>
    <w:rsid w:val="00CF0EE0"/>
    <w:rsid w:val="00CF1F71"/>
    <w:rsid w:val="00CF2482"/>
    <w:rsid w:val="00CF2CE8"/>
    <w:rsid w:val="00CF329B"/>
    <w:rsid w:val="00CF3655"/>
    <w:rsid w:val="00CF36BE"/>
    <w:rsid w:val="00CF3B55"/>
    <w:rsid w:val="00CF4CB3"/>
    <w:rsid w:val="00CF52F2"/>
    <w:rsid w:val="00CF5355"/>
    <w:rsid w:val="00CF56E6"/>
    <w:rsid w:val="00CF59FB"/>
    <w:rsid w:val="00CF5A3A"/>
    <w:rsid w:val="00CF6000"/>
    <w:rsid w:val="00CF64E2"/>
    <w:rsid w:val="00CF6983"/>
    <w:rsid w:val="00CF71B8"/>
    <w:rsid w:val="00CF75FE"/>
    <w:rsid w:val="00CF7BB5"/>
    <w:rsid w:val="00D003F3"/>
    <w:rsid w:val="00D00424"/>
    <w:rsid w:val="00D00E25"/>
    <w:rsid w:val="00D00FF6"/>
    <w:rsid w:val="00D00FFF"/>
    <w:rsid w:val="00D012FD"/>
    <w:rsid w:val="00D01EAF"/>
    <w:rsid w:val="00D02032"/>
    <w:rsid w:val="00D0228A"/>
    <w:rsid w:val="00D02F36"/>
    <w:rsid w:val="00D0364F"/>
    <w:rsid w:val="00D041B7"/>
    <w:rsid w:val="00D05903"/>
    <w:rsid w:val="00D05EC8"/>
    <w:rsid w:val="00D06834"/>
    <w:rsid w:val="00D0798E"/>
    <w:rsid w:val="00D07B17"/>
    <w:rsid w:val="00D1015B"/>
    <w:rsid w:val="00D105A7"/>
    <w:rsid w:val="00D10673"/>
    <w:rsid w:val="00D1088D"/>
    <w:rsid w:val="00D10CCE"/>
    <w:rsid w:val="00D111C0"/>
    <w:rsid w:val="00D1164C"/>
    <w:rsid w:val="00D11BEB"/>
    <w:rsid w:val="00D11D10"/>
    <w:rsid w:val="00D11F55"/>
    <w:rsid w:val="00D12BF4"/>
    <w:rsid w:val="00D12CF9"/>
    <w:rsid w:val="00D13866"/>
    <w:rsid w:val="00D14763"/>
    <w:rsid w:val="00D14AAA"/>
    <w:rsid w:val="00D15016"/>
    <w:rsid w:val="00D1533A"/>
    <w:rsid w:val="00D15927"/>
    <w:rsid w:val="00D159B9"/>
    <w:rsid w:val="00D16678"/>
    <w:rsid w:val="00D17927"/>
    <w:rsid w:val="00D21872"/>
    <w:rsid w:val="00D22204"/>
    <w:rsid w:val="00D2258D"/>
    <w:rsid w:val="00D2276F"/>
    <w:rsid w:val="00D22BCA"/>
    <w:rsid w:val="00D22F0B"/>
    <w:rsid w:val="00D242CC"/>
    <w:rsid w:val="00D24568"/>
    <w:rsid w:val="00D24B63"/>
    <w:rsid w:val="00D24E6C"/>
    <w:rsid w:val="00D252F0"/>
    <w:rsid w:val="00D258AC"/>
    <w:rsid w:val="00D259AE"/>
    <w:rsid w:val="00D25D9D"/>
    <w:rsid w:val="00D25FE5"/>
    <w:rsid w:val="00D267BC"/>
    <w:rsid w:val="00D2682F"/>
    <w:rsid w:val="00D26ADE"/>
    <w:rsid w:val="00D26C0C"/>
    <w:rsid w:val="00D27BDA"/>
    <w:rsid w:val="00D27F8C"/>
    <w:rsid w:val="00D3021A"/>
    <w:rsid w:val="00D308ED"/>
    <w:rsid w:val="00D30AF7"/>
    <w:rsid w:val="00D30D39"/>
    <w:rsid w:val="00D30DEB"/>
    <w:rsid w:val="00D32263"/>
    <w:rsid w:val="00D33812"/>
    <w:rsid w:val="00D34865"/>
    <w:rsid w:val="00D35742"/>
    <w:rsid w:val="00D35B48"/>
    <w:rsid w:val="00D35D4F"/>
    <w:rsid w:val="00D36D86"/>
    <w:rsid w:val="00D41251"/>
    <w:rsid w:val="00D41A08"/>
    <w:rsid w:val="00D41A53"/>
    <w:rsid w:val="00D42786"/>
    <w:rsid w:val="00D428AA"/>
    <w:rsid w:val="00D42FBE"/>
    <w:rsid w:val="00D4365B"/>
    <w:rsid w:val="00D43729"/>
    <w:rsid w:val="00D43B46"/>
    <w:rsid w:val="00D43D91"/>
    <w:rsid w:val="00D440A7"/>
    <w:rsid w:val="00D445BB"/>
    <w:rsid w:val="00D4481A"/>
    <w:rsid w:val="00D45BF7"/>
    <w:rsid w:val="00D4698D"/>
    <w:rsid w:val="00D46B8E"/>
    <w:rsid w:val="00D47788"/>
    <w:rsid w:val="00D47944"/>
    <w:rsid w:val="00D47BBD"/>
    <w:rsid w:val="00D47F01"/>
    <w:rsid w:val="00D50320"/>
    <w:rsid w:val="00D50A34"/>
    <w:rsid w:val="00D51A08"/>
    <w:rsid w:val="00D52A62"/>
    <w:rsid w:val="00D52D0A"/>
    <w:rsid w:val="00D53138"/>
    <w:rsid w:val="00D53EEE"/>
    <w:rsid w:val="00D53EFA"/>
    <w:rsid w:val="00D54605"/>
    <w:rsid w:val="00D5500F"/>
    <w:rsid w:val="00D552D7"/>
    <w:rsid w:val="00D55D1D"/>
    <w:rsid w:val="00D560C4"/>
    <w:rsid w:val="00D5666E"/>
    <w:rsid w:val="00D56875"/>
    <w:rsid w:val="00D56F69"/>
    <w:rsid w:val="00D5730E"/>
    <w:rsid w:val="00D57355"/>
    <w:rsid w:val="00D60174"/>
    <w:rsid w:val="00D6060A"/>
    <w:rsid w:val="00D60714"/>
    <w:rsid w:val="00D61167"/>
    <w:rsid w:val="00D622E3"/>
    <w:rsid w:val="00D6299E"/>
    <w:rsid w:val="00D63682"/>
    <w:rsid w:val="00D636CC"/>
    <w:rsid w:val="00D63AAA"/>
    <w:rsid w:val="00D6459D"/>
    <w:rsid w:val="00D64A6E"/>
    <w:rsid w:val="00D64BD7"/>
    <w:rsid w:val="00D65184"/>
    <w:rsid w:val="00D65A67"/>
    <w:rsid w:val="00D65F68"/>
    <w:rsid w:val="00D66263"/>
    <w:rsid w:val="00D6626E"/>
    <w:rsid w:val="00D66FC2"/>
    <w:rsid w:val="00D67374"/>
    <w:rsid w:val="00D67881"/>
    <w:rsid w:val="00D678C1"/>
    <w:rsid w:val="00D67EAB"/>
    <w:rsid w:val="00D70515"/>
    <w:rsid w:val="00D72B4C"/>
    <w:rsid w:val="00D72F76"/>
    <w:rsid w:val="00D73047"/>
    <w:rsid w:val="00D7351D"/>
    <w:rsid w:val="00D74099"/>
    <w:rsid w:val="00D74391"/>
    <w:rsid w:val="00D74480"/>
    <w:rsid w:val="00D7471E"/>
    <w:rsid w:val="00D749A8"/>
    <w:rsid w:val="00D74D28"/>
    <w:rsid w:val="00D74FED"/>
    <w:rsid w:val="00D75372"/>
    <w:rsid w:val="00D75931"/>
    <w:rsid w:val="00D75A33"/>
    <w:rsid w:val="00D75C2E"/>
    <w:rsid w:val="00D765A7"/>
    <w:rsid w:val="00D76A0A"/>
    <w:rsid w:val="00D771FF"/>
    <w:rsid w:val="00D7759E"/>
    <w:rsid w:val="00D77D41"/>
    <w:rsid w:val="00D81371"/>
    <w:rsid w:val="00D815F1"/>
    <w:rsid w:val="00D8172A"/>
    <w:rsid w:val="00D84230"/>
    <w:rsid w:val="00D85976"/>
    <w:rsid w:val="00D85A0E"/>
    <w:rsid w:val="00D86263"/>
    <w:rsid w:val="00D8679C"/>
    <w:rsid w:val="00D86BDA"/>
    <w:rsid w:val="00D86FAC"/>
    <w:rsid w:val="00D874AD"/>
    <w:rsid w:val="00D902C9"/>
    <w:rsid w:val="00D904D5"/>
    <w:rsid w:val="00D907C1"/>
    <w:rsid w:val="00D90A52"/>
    <w:rsid w:val="00D91A91"/>
    <w:rsid w:val="00D91B03"/>
    <w:rsid w:val="00D9219F"/>
    <w:rsid w:val="00D925D5"/>
    <w:rsid w:val="00D93FF4"/>
    <w:rsid w:val="00D941CB"/>
    <w:rsid w:val="00D94427"/>
    <w:rsid w:val="00D94A7C"/>
    <w:rsid w:val="00D94D04"/>
    <w:rsid w:val="00D95046"/>
    <w:rsid w:val="00D952F6"/>
    <w:rsid w:val="00D95896"/>
    <w:rsid w:val="00D968D0"/>
    <w:rsid w:val="00D96C8E"/>
    <w:rsid w:val="00D96E34"/>
    <w:rsid w:val="00D96EA3"/>
    <w:rsid w:val="00D97959"/>
    <w:rsid w:val="00D97CB2"/>
    <w:rsid w:val="00DA0311"/>
    <w:rsid w:val="00DA0575"/>
    <w:rsid w:val="00DA10AF"/>
    <w:rsid w:val="00DA113C"/>
    <w:rsid w:val="00DA1382"/>
    <w:rsid w:val="00DA1706"/>
    <w:rsid w:val="00DA201D"/>
    <w:rsid w:val="00DA2022"/>
    <w:rsid w:val="00DA2384"/>
    <w:rsid w:val="00DA2802"/>
    <w:rsid w:val="00DA295B"/>
    <w:rsid w:val="00DA2C87"/>
    <w:rsid w:val="00DA36AA"/>
    <w:rsid w:val="00DA373B"/>
    <w:rsid w:val="00DA3AF2"/>
    <w:rsid w:val="00DA4019"/>
    <w:rsid w:val="00DA46CB"/>
    <w:rsid w:val="00DA4768"/>
    <w:rsid w:val="00DA47C1"/>
    <w:rsid w:val="00DA5818"/>
    <w:rsid w:val="00DA594D"/>
    <w:rsid w:val="00DA5E46"/>
    <w:rsid w:val="00DA6099"/>
    <w:rsid w:val="00DA697C"/>
    <w:rsid w:val="00DA7ACE"/>
    <w:rsid w:val="00DB0296"/>
    <w:rsid w:val="00DB0372"/>
    <w:rsid w:val="00DB0DEA"/>
    <w:rsid w:val="00DB12C5"/>
    <w:rsid w:val="00DB17DA"/>
    <w:rsid w:val="00DB1C55"/>
    <w:rsid w:val="00DB1E90"/>
    <w:rsid w:val="00DB240E"/>
    <w:rsid w:val="00DB2983"/>
    <w:rsid w:val="00DB2A5B"/>
    <w:rsid w:val="00DB3402"/>
    <w:rsid w:val="00DB3624"/>
    <w:rsid w:val="00DB368F"/>
    <w:rsid w:val="00DB369A"/>
    <w:rsid w:val="00DB3F19"/>
    <w:rsid w:val="00DB403E"/>
    <w:rsid w:val="00DB44B0"/>
    <w:rsid w:val="00DB47EA"/>
    <w:rsid w:val="00DB55FF"/>
    <w:rsid w:val="00DB5722"/>
    <w:rsid w:val="00DB5990"/>
    <w:rsid w:val="00DB6130"/>
    <w:rsid w:val="00DB67E0"/>
    <w:rsid w:val="00DB742C"/>
    <w:rsid w:val="00DB76C6"/>
    <w:rsid w:val="00DB7B89"/>
    <w:rsid w:val="00DC019B"/>
    <w:rsid w:val="00DC045D"/>
    <w:rsid w:val="00DC1257"/>
    <w:rsid w:val="00DC276E"/>
    <w:rsid w:val="00DC28E0"/>
    <w:rsid w:val="00DC3585"/>
    <w:rsid w:val="00DC3B69"/>
    <w:rsid w:val="00DC3DC0"/>
    <w:rsid w:val="00DC47B7"/>
    <w:rsid w:val="00DC4C7C"/>
    <w:rsid w:val="00DC528B"/>
    <w:rsid w:val="00DC5B2B"/>
    <w:rsid w:val="00DC640B"/>
    <w:rsid w:val="00DC6B80"/>
    <w:rsid w:val="00DC7A37"/>
    <w:rsid w:val="00DD015C"/>
    <w:rsid w:val="00DD0643"/>
    <w:rsid w:val="00DD07A9"/>
    <w:rsid w:val="00DD0A28"/>
    <w:rsid w:val="00DD1D2B"/>
    <w:rsid w:val="00DD1EC6"/>
    <w:rsid w:val="00DD2B08"/>
    <w:rsid w:val="00DD2C46"/>
    <w:rsid w:val="00DD318D"/>
    <w:rsid w:val="00DD3202"/>
    <w:rsid w:val="00DD3EC9"/>
    <w:rsid w:val="00DD4515"/>
    <w:rsid w:val="00DD4A29"/>
    <w:rsid w:val="00DD51F8"/>
    <w:rsid w:val="00DD5ADB"/>
    <w:rsid w:val="00DD5FC7"/>
    <w:rsid w:val="00DD6D95"/>
    <w:rsid w:val="00DD6E3D"/>
    <w:rsid w:val="00DE075C"/>
    <w:rsid w:val="00DE0A17"/>
    <w:rsid w:val="00DE1273"/>
    <w:rsid w:val="00DE2D36"/>
    <w:rsid w:val="00DE3ECD"/>
    <w:rsid w:val="00DE4455"/>
    <w:rsid w:val="00DE4D30"/>
    <w:rsid w:val="00DE5384"/>
    <w:rsid w:val="00DE5579"/>
    <w:rsid w:val="00DE5B40"/>
    <w:rsid w:val="00DE6934"/>
    <w:rsid w:val="00DE6FFF"/>
    <w:rsid w:val="00DE7A6D"/>
    <w:rsid w:val="00DF00AE"/>
    <w:rsid w:val="00DF028D"/>
    <w:rsid w:val="00DF06EE"/>
    <w:rsid w:val="00DF0993"/>
    <w:rsid w:val="00DF11A6"/>
    <w:rsid w:val="00DF19B6"/>
    <w:rsid w:val="00DF28A4"/>
    <w:rsid w:val="00DF2E12"/>
    <w:rsid w:val="00DF365D"/>
    <w:rsid w:val="00DF3876"/>
    <w:rsid w:val="00DF3E69"/>
    <w:rsid w:val="00DF44C8"/>
    <w:rsid w:val="00DF514A"/>
    <w:rsid w:val="00DF62AE"/>
    <w:rsid w:val="00DF6690"/>
    <w:rsid w:val="00DF6804"/>
    <w:rsid w:val="00E0020D"/>
    <w:rsid w:val="00E002DA"/>
    <w:rsid w:val="00E0125F"/>
    <w:rsid w:val="00E01FCF"/>
    <w:rsid w:val="00E02372"/>
    <w:rsid w:val="00E024CC"/>
    <w:rsid w:val="00E024E9"/>
    <w:rsid w:val="00E02BC2"/>
    <w:rsid w:val="00E02D35"/>
    <w:rsid w:val="00E02F1B"/>
    <w:rsid w:val="00E031AB"/>
    <w:rsid w:val="00E031AF"/>
    <w:rsid w:val="00E0358D"/>
    <w:rsid w:val="00E03D1A"/>
    <w:rsid w:val="00E03DE2"/>
    <w:rsid w:val="00E040C3"/>
    <w:rsid w:val="00E04323"/>
    <w:rsid w:val="00E046B1"/>
    <w:rsid w:val="00E04A52"/>
    <w:rsid w:val="00E04BE0"/>
    <w:rsid w:val="00E05877"/>
    <w:rsid w:val="00E06BFA"/>
    <w:rsid w:val="00E070A2"/>
    <w:rsid w:val="00E07207"/>
    <w:rsid w:val="00E07581"/>
    <w:rsid w:val="00E07A77"/>
    <w:rsid w:val="00E07AEB"/>
    <w:rsid w:val="00E07F8A"/>
    <w:rsid w:val="00E109DD"/>
    <w:rsid w:val="00E11C5E"/>
    <w:rsid w:val="00E11CCA"/>
    <w:rsid w:val="00E11DA3"/>
    <w:rsid w:val="00E12DA5"/>
    <w:rsid w:val="00E134BC"/>
    <w:rsid w:val="00E134F6"/>
    <w:rsid w:val="00E1374F"/>
    <w:rsid w:val="00E13CB9"/>
    <w:rsid w:val="00E14035"/>
    <w:rsid w:val="00E14842"/>
    <w:rsid w:val="00E1484B"/>
    <w:rsid w:val="00E14D7B"/>
    <w:rsid w:val="00E14EC7"/>
    <w:rsid w:val="00E15159"/>
    <w:rsid w:val="00E15218"/>
    <w:rsid w:val="00E152A8"/>
    <w:rsid w:val="00E15625"/>
    <w:rsid w:val="00E16212"/>
    <w:rsid w:val="00E17C80"/>
    <w:rsid w:val="00E2010E"/>
    <w:rsid w:val="00E20765"/>
    <w:rsid w:val="00E2091C"/>
    <w:rsid w:val="00E20E3E"/>
    <w:rsid w:val="00E21C58"/>
    <w:rsid w:val="00E21CD2"/>
    <w:rsid w:val="00E21CD9"/>
    <w:rsid w:val="00E21DCF"/>
    <w:rsid w:val="00E23E7A"/>
    <w:rsid w:val="00E2416D"/>
    <w:rsid w:val="00E24A63"/>
    <w:rsid w:val="00E24C3F"/>
    <w:rsid w:val="00E25175"/>
    <w:rsid w:val="00E25AC2"/>
    <w:rsid w:val="00E25C22"/>
    <w:rsid w:val="00E2656A"/>
    <w:rsid w:val="00E26772"/>
    <w:rsid w:val="00E27476"/>
    <w:rsid w:val="00E30A07"/>
    <w:rsid w:val="00E31768"/>
    <w:rsid w:val="00E31B4C"/>
    <w:rsid w:val="00E31F64"/>
    <w:rsid w:val="00E322F3"/>
    <w:rsid w:val="00E33348"/>
    <w:rsid w:val="00E33E94"/>
    <w:rsid w:val="00E343F2"/>
    <w:rsid w:val="00E34986"/>
    <w:rsid w:val="00E34B44"/>
    <w:rsid w:val="00E357B4"/>
    <w:rsid w:val="00E35DD3"/>
    <w:rsid w:val="00E35E9C"/>
    <w:rsid w:val="00E36D20"/>
    <w:rsid w:val="00E36D72"/>
    <w:rsid w:val="00E3732F"/>
    <w:rsid w:val="00E374C4"/>
    <w:rsid w:val="00E37681"/>
    <w:rsid w:val="00E4081E"/>
    <w:rsid w:val="00E40D39"/>
    <w:rsid w:val="00E412D0"/>
    <w:rsid w:val="00E418B3"/>
    <w:rsid w:val="00E41B8B"/>
    <w:rsid w:val="00E431D2"/>
    <w:rsid w:val="00E435FB"/>
    <w:rsid w:val="00E4388D"/>
    <w:rsid w:val="00E443CD"/>
    <w:rsid w:val="00E443E9"/>
    <w:rsid w:val="00E46961"/>
    <w:rsid w:val="00E46FC3"/>
    <w:rsid w:val="00E47A22"/>
    <w:rsid w:val="00E47E63"/>
    <w:rsid w:val="00E50677"/>
    <w:rsid w:val="00E5078C"/>
    <w:rsid w:val="00E50EE5"/>
    <w:rsid w:val="00E51AAD"/>
    <w:rsid w:val="00E51D92"/>
    <w:rsid w:val="00E52064"/>
    <w:rsid w:val="00E527BD"/>
    <w:rsid w:val="00E52861"/>
    <w:rsid w:val="00E534AD"/>
    <w:rsid w:val="00E544C2"/>
    <w:rsid w:val="00E5509F"/>
    <w:rsid w:val="00E55D46"/>
    <w:rsid w:val="00E560FB"/>
    <w:rsid w:val="00E56293"/>
    <w:rsid w:val="00E56322"/>
    <w:rsid w:val="00E601D2"/>
    <w:rsid w:val="00E60640"/>
    <w:rsid w:val="00E60906"/>
    <w:rsid w:val="00E60982"/>
    <w:rsid w:val="00E6136B"/>
    <w:rsid w:val="00E6147C"/>
    <w:rsid w:val="00E619BA"/>
    <w:rsid w:val="00E61DA5"/>
    <w:rsid w:val="00E62C62"/>
    <w:rsid w:val="00E6488D"/>
    <w:rsid w:val="00E65100"/>
    <w:rsid w:val="00E654C1"/>
    <w:rsid w:val="00E654FE"/>
    <w:rsid w:val="00E6595F"/>
    <w:rsid w:val="00E65AAE"/>
    <w:rsid w:val="00E65D97"/>
    <w:rsid w:val="00E666AC"/>
    <w:rsid w:val="00E66858"/>
    <w:rsid w:val="00E66983"/>
    <w:rsid w:val="00E67506"/>
    <w:rsid w:val="00E675C9"/>
    <w:rsid w:val="00E70FA8"/>
    <w:rsid w:val="00E71168"/>
    <w:rsid w:val="00E71784"/>
    <w:rsid w:val="00E728AE"/>
    <w:rsid w:val="00E72A5A"/>
    <w:rsid w:val="00E72B24"/>
    <w:rsid w:val="00E72B87"/>
    <w:rsid w:val="00E73188"/>
    <w:rsid w:val="00E73354"/>
    <w:rsid w:val="00E736D8"/>
    <w:rsid w:val="00E744FC"/>
    <w:rsid w:val="00E74BBA"/>
    <w:rsid w:val="00E74EAA"/>
    <w:rsid w:val="00E75F03"/>
    <w:rsid w:val="00E76D60"/>
    <w:rsid w:val="00E773E1"/>
    <w:rsid w:val="00E77A5A"/>
    <w:rsid w:val="00E801F5"/>
    <w:rsid w:val="00E808C6"/>
    <w:rsid w:val="00E80AB9"/>
    <w:rsid w:val="00E81664"/>
    <w:rsid w:val="00E81C4A"/>
    <w:rsid w:val="00E8274A"/>
    <w:rsid w:val="00E82B7F"/>
    <w:rsid w:val="00E82F80"/>
    <w:rsid w:val="00E82F8F"/>
    <w:rsid w:val="00E83B28"/>
    <w:rsid w:val="00E85054"/>
    <w:rsid w:val="00E85757"/>
    <w:rsid w:val="00E85759"/>
    <w:rsid w:val="00E85C37"/>
    <w:rsid w:val="00E85FBC"/>
    <w:rsid w:val="00E87491"/>
    <w:rsid w:val="00E87D3D"/>
    <w:rsid w:val="00E9143A"/>
    <w:rsid w:val="00E916FC"/>
    <w:rsid w:val="00E91B1B"/>
    <w:rsid w:val="00E91F96"/>
    <w:rsid w:val="00E92031"/>
    <w:rsid w:val="00E92174"/>
    <w:rsid w:val="00E92345"/>
    <w:rsid w:val="00E9242D"/>
    <w:rsid w:val="00E928AE"/>
    <w:rsid w:val="00E93195"/>
    <w:rsid w:val="00E93989"/>
    <w:rsid w:val="00E93B7F"/>
    <w:rsid w:val="00E95540"/>
    <w:rsid w:val="00E95CC3"/>
    <w:rsid w:val="00E96081"/>
    <w:rsid w:val="00E96128"/>
    <w:rsid w:val="00E962DE"/>
    <w:rsid w:val="00E96DDA"/>
    <w:rsid w:val="00E975FF"/>
    <w:rsid w:val="00E97E58"/>
    <w:rsid w:val="00EA0DA4"/>
    <w:rsid w:val="00EA18CE"/>
    <w:rsid w:val="00EA1B61"/>
    <w:rsid w:val="00EA3AF9"/>
    <w:rsid w:val="00EA3D12"/>
    <w:rsid w:val="00EA4780"/>
    <w:rsid w:val="00EA4B57"/>
    <w:rsid w:val="00EA546C"/>
    <w:rsid w:val="00EA5D8B"/>
    <w:rsid w:val="00EA6421"/>
    <w:rsid w:val="00EA659F"/>
    <w:rsid w:val="00EA670C"/>
    <w:rsid w:val="00EA6D0F"/>
    <w:rsid w:val="00EA72E2"/>
    <w:rsid w:val="00EA73AE"/>
    <w:rsid w:val="00EA7DE9"/>
    <w:rsid w:val="00EA7F7C"/>
    <w:rsid w:val="00EB032C"/>
    <w:rsid w:val="00EB128A"/>
    <w:rsid w:val="00EB1AFB"/>
    <w:rsid w:val="00EB2932"/>
    <w:rsid w:val="00EB2F16"/>
    <w:rsid w:val="00EB398F"/>
    <w:rsid w:val="00EB5255"/>
    <w:rsid w:val="00EB5C47"/>
    <w:rsid w:val="00EB6862"/>
    <w:rsid w:val="00EB6FA4"/>
    <w:rsid w:val="00EC03D1"/>
    <w:rsid w:val="00EC11DF"/>
    <w:rsid w:val="00EC2278"/>
    <w:rsid w:val="00EC24E4"/>
    <w:rsid w:val="00EC2CF0"/>
    <w:rsid w:val="00EC3252"/>
    <w:rsid w:val="00EC3A01"/>
    <w:rsid w:val="00EC3E41"/>
    <w:rsid w:val="00EC425E"/>
    <w:rsid w:val="00EC4923"/>
    <w:rsid w:val="00EC4F13"/>
    <w:rsid w:val="00EC5135"/>
    <w:rsid w:val="00EC5642"/>
    <w:rsid w:val="00EC5CE1"/>
    <w:rsid w:val="00EC60AB"/>
    <w:rsid w:val="00EC75E5"/>
    <w:rsid w:val="00EC7946"/>
    <w:rsid w:val="00EC79E0"/>
    <w:rsid w:val="00ED0639"/>
    <w:rsid w:val="00ED0C45"/>
    <w:rsid w:val="00ED1F1F"/>
    <w:rsid w:val="00ED2EB5"/>
    <w:rsid w:val="00ED3391"/>
    <w:rsid w:val="00ED37DD"/>
    <w:rsid w:val="00ED45D1"/>
    <w:rsid w:val="00ED5B3E"/>
    <w:rsid w:val="00ED5E30"/>
    <w:rsid w:val="00ED637A"/>
    <w:rsid w:val="00ED708E"/>
    <w:rsid w:val="00ED78EC"/>
    <w:rsid w:val="00ED7B3C"/>
    <w:rsid w:val="00EE0101"/>
    <w:rsid w:val="00EE0315"/>
    <w:rsid w:val="00EE0579"/>
    <w:rsid w:val="00EE0EE0"/>
    <w:rsid w:val="00EE1C21"/>
    <w:rsid w:val="00EE2211"/>
    <w:rsid w:val="00EE2227"/>
    <w:rsid w:val="00EE3476"/>
    <w:rsid w:val="00EE377B"/>
    <w:rsid w:val="00EE45D6"/>
    <w:rsid w:val="00EE60C5"/>
    <w:rsid w:val="00EE757A"/>
    <w:rsid w:val="00EE77A2"/>
    <w:rsid w:val="00EE7AD0"/>
    <w:rsid w:val="00EF00CD"/>
    <w:rsid w:val="00EF13EF"/>
    <w:rsid w:val="00EF1831"/>
    <w:rsid w:val="00EF1BAF"/>
    <w:rsid w:val="00EF263E"/>
    <w:rsid w:val="00EF3D78"/>
    <w:rsid w:val="00EF4524"/>
    <w:rsid w:val="00EF4755"/>
    <w:rsid w:val="00EF4B2A"/>
    <w:rsid w:val="00EF577C"/>
    <w:rsid w:val="00EF5902"/>
    <w:rsid w:val="00EF6598"/>
    <w:rsid w:val="00EF7135"/>
    <w:rsid w:val="00EF77BC"/>
    <w:rsid w:val="00EF7E70"/>
    <w:rsid w:val="00F001F5"/>
    <w:rsid w:val="00F00ABA"/>
    <w:rsid w:val="00F0130E"/>
    <w:rsid w:val="00F01D70"/>
    <w:rsid w:val="00F01F78"/>
    <w:rsid w:val="00F027DB"/>
    <w:rsid w:val="00F02989"/>
    <w:rsid w:val="00F02BBD"/>
    <w:rsid w:val="00F030E7"/>
    <w:rsid w:val="00F041D1"/>
    <w:rsid w:val="00F043DE"/>
    <w:rsid w:val="00F04D73"/>
    <w:rsid w:val="00F04DA1"/>
    <w:rsid w:val="00F05CCD"/>
    <w:rsid w:val="00F06B97"/>
    <w:rsid w:val="00F06C57"/>
    <w:rsid w:val="00F06E76"/>
    <w:rsid w:val="00F070B2"/>
    <w:rsid w:val="00F105C2"/>
    <w:rsid w:val="00F107F6"/>
    <w:rsid w:val="00F111F9"/>
    <w:rsid w:val="00F123F3"/>
    <w:rsid w:val="00F12BA6"/>
    <w:rsid w:val="00F12F33"/>
    <w:rsid w:val="00F13410"/>
    <w:rsid w:val="00F145BC"/>
    <w:rsid w:val="00F14614"/>
    <w:rsid w:val="00F14A7A"/>
    <w:rsid w:val="00F1508D"/>
    <w:rsid w:val="00F1556C"/>
    <w:rsid w:val="00F15C1C"/>
    <w:rsid w:val="00F15CF9"/>
    <w:rsid w:val="00F15ECC"/>
    <w:rsid w:val="00F16334"/>
    <w:rsid w:val="00F16512"/>
    <w:rsid w:val="00F16852"/>
    <w:rsid w:val="00F16B14"/>
    <w:rsid w:val="00F174C1"/>
    <w:rsid w:val="00F179B9"/>
    <w:rsid w:val="00F17B70"/>
    <w:rsid w:val="00F2018E"/>
    <w:rsid w:val="00F206A4"/>
    <w:rsid w:val="00F20A70"/>
    <w:rsid w:val="00F20AAD"/>
    <w:rsid w:val="00F2141E"/>
    <w:rsid w:val="00F221FF"/>
    <w:rsid w:val="00F22985"/>
    <w:rsid w:val="00F229F9"/>
    <w:rsid w:val="00F22A57"/>
    <w:rsid w:val="00F22C68"/>
    <w:rsid w:val="00F22FC1"/>
    <w:rsid w:val="00F23182"/>
    <w:rsid w:val="00F2491B"/>
    <w:rsid w:val="00F2497D"/>
    <w:rsid w:val="00F27680"/>
    <w:rsid w:val="00F27D9B"/>
    <w:rsid w:val="00F3025A"/>
    <w:rsid w:val="00F3077D"/>
    <w:rsid w:val="00F307DA"/>
    <w:rsid w:val="00F30923"/>
    <w:rsid w:val="00F30EA5"/>
    <w:rsid w:val="00F317E7"/>
    <w:rsid w:val="00F3262E"/>
    <w:rsid w:val="00F32E57"/>
    <w:rsid w:val="00F33582"/>
    <w:rsid w:val="00F3383E"/>
    <w:rsid w:val="00F33D9F"/>
    <w:rsid w:val="00F340D6"/>
    <w:rsid w:val="00F34F1C"/>
    <w:rsid w:val="00F36274"/>
    <w:rsid w:val="00F3639D"/>
    <w:rsid w:val="00F3656A"/>
    <w:rsid w:val="00F36679"/>
    <w:rsid w:val="00F37100"/>
    <w:rsid w:val="00F37150"/>
    <w:rsid w:val="00F37A9F"/>
    <w:rsid w:val="00F41A56"/>
    <w:rsid w:val="00F41CD9"/>
    <w:rsid w:val="00F41FFF"/>
    <w:rsid w:val="00F4252E"/>
    <w:rsid w:val="00F42AF1"/>
    <w:rsid w:val="00F43358"/>
    <w:rsid w:val="00F446D2"/>
    <w:rsid w:val="00F44E63"/>
    <w:rsid w:val="00F4585C"/>
    <w:rsid w:val="00F465A7"/>
    <w:rsid w:val="00F467A5"/>
    <w:rsid w:val="00F477B8"/>
    <w:rsid w:val="00F47A50"/>
    <w:rsid w:val="00F500E0"/>
    <w:rsid w:val="00F50B7C"/>
    <w:rsid w:val="00F51234"/>
    <w:rsid w:val="00F51ACB"/>
    <w:rsid w:val="00F52A7C"/>
    <w:rsid w:val="00F52E08"/>
    <w:rsid w:val="00F52E5F"/>
    <w:rsid w:val="00F532CD"/>
    <w:rsid w:val="00F53484"/>
    <w:rsid w:val="00F53802"/>
    <w:rsid w:val="00F546D4"/>
    <w:rsid w:val="00F54B52"/>
    <w:rsid w:val="00F550E6"/>
    <w:rsid w:val="00F5522E"/>
    <w:rsid w:val="00F568E3"/>
    <w:rsid w:val="00F5695F"/>
    <w:rsid w:val="00F56E3F"/>
    <w:rsid w:val="00F57A5D"/>
    <w:rsid w:val="00F57AF7"/>
    <w:rsid w:val="00F6009A"/>
    <w:rsid w:val="00F6124F"/>
    <w:rsid w:val="00F61498"/>
    <w:rsid w:val="00F614DB"/>
    <w:rsid w:val="00F6154B"/>
    <w:rsid w:val="00F61F2E"/>
    <w:rsid w:val="00F626ED"/>
    <w:rsid w:val="00F62A1E"/>
    <w:rsid w:val="00F62B10"/>
    <w:rsid w:val="00F62F25"/>
    <w:rsid w:val="00F63201"/>
    <w:rsid w:val="00F64355"/>
    <w:rsid w:val="00F64587"/>
    <w:rsid w:val="00F6475A"/>
    <w:rsid w:val="00F6510C"/>
    <w:rsid w:val="00F655B8"/>
    <w:rsid w:val="00F67423"/>
    <w:rsid w:val="00F67A1D"/>
    <w:rsid w:val="00F700C9"/>
    <w:rsid w:val="00F70820"/>
    <w:rsid w:val="00F71736"/>
    <w:rsid w:val="00F71AE7"/>
    <w:rsid w:val="00F71D42"/>
    <w:rsid w:val="00F720EB"/>
    <w:rsid w:val="00F72197"/>
    <w:rsid w:val="00F7267C"/>
    <w:rsid w:val="00F72C7A"/>
    <w:rsid w:val="00F7339A"/>
    <w:rsid w:val="00F7367B"/>
    <w:rsid w:val="00F73B1D"/>
    <w:rsid w:val="00F741A2"/>
    <w:rsid w:val="00F74345"/>
    <w:rsid w:val="00F74346"/>
    <w:rsid w:val="00F744DC"/>
    <w:rsid w:val="00F74C44"/>
    <w:rsid w:val="00F75D0A"/>
    <w:rsid w:val="00F76569"/>
    <w:rsid w:val="00F76900"/>
    <w:rsid w:val="00F76991"/>
    <w:rsid w:val="00F76BCC"/>
    <w:rsid w:val="00F77B06"/>
    <w:rsid w:val="00F8019F"/>
    <w:rsid w:val="00F801CE"/>
    <w:rsid w:val="00F80A0A"/>
    <w:rsid w:val="00F81C14"/>
    <w:rsid w:val="00F8205E"/>
    <w:rsid w:val="00F82737"/>
    <w:rsid w:val="00F82B19"/>
    <w:rsid w:val="00F837EE"/>
    <w:rsid w:val="00F86C6B"/>
    <w:rsid w:val="00F87764"/>
    <w:rsid w:val="00F87BB3"/>
    <w:rsid w:val="00F87C9E"/>
    <w:rsid w:val="00F907F4"/>
    <w:rsid w:val="00F91057"/>
    <w:rsid w:val="00F92021"/>
    <w:rsid w:val="00F9212D"/>
    <w:rsid w:val="00F9258C"/>
    <w:rsid w:val="00F92928"/>
    <w:rsid w:val="00F92E06"/>
    <w:rsid w:val="00F92F76"/>
    <w:rsid w:val="00F9389D"/>
    <w:rsid w:val="00F93D8A"/>
    <w:rsid w:val="00F9477C"/>
    <w:rsid w:val="00F9484C"/>
    <w:rsid w:val="00F94B7D"/>
    <w:rsid w:val="00F95639"/>
    <w:rsid w:val="00F95B62"/>
    <w:rsid w:val="00F965DA"/>
    <w:rsid w:val="00F970F6"/>
    <w:rsid w:val="00F97E0A"/>
    <w:rsid w:val="00FA036E"/>
    <w:rsid w:val="00FA066A"/>
    <w:rsid w:val="00FA0A6C"/>
    <w:rsid w:val="00FA102C"/>
    <w:rsid w:val="00FA20FD"/>
    <w:rsid w:val="00FA27FC"/>
    <w:rsid w:val="00FA2BD9"/>
    <w:rsid w:val="00FA3597"/>
    <w:rsid w:val="00FA35DA"/>
    <w:rsid w:val="00FA3627"/>
    <w:rsid w:val="00FA380D"/>
    <w:rsid w:val="00FA38C3"/>
    <w:rsid w:val="00FA406A"/>
    <w:rsid w:val="00FA442C"/>
    <w:rsid w:val="00FA4992"/>
    <w:rsid w:val="00FA4F3B"/>
    <w:rsid w:val="00FA54BC"/>
    <w:rsid w:val="00FA5955"/>
    <w:rsid w:val="00FA5D9A"/>
    <w:rsid w:val="00FA627E"/>
    <w:rsid w:val="00FA6BDE"/>
    <w:rsid w:val="00FA72A1"/>
    <w:rsid w:val="00FA77F5"/>
    <w:rsid w:val="00FA7DC5"/>
    <w:rsid w:val="00FB011E"/>
    <w:rsid w:val="00FB0736"/>
    <w:rsid w:val="00FB0E84"/>
    <w:rsid w:val="00FB11C5"/>
    <w:rsid w:val="00FB124D"/>
    <w:rsid w:val="00FB1989"/>
    <w:rsid w:val="00FB1B1B"/>
    <w:rsid w:val="00FB21DE"/>
    <w:rsid w:val="00FB2A4F"/>
    <w:rsid w:val="00FB30A8"/>
    <w:rsid w:val="00FB4495"/>
    <w:rsid w:val="00FB4B95"/>
    <w:rsid w:val="00FB503A"/>
    <w:rsid w:val="00FB516C"/>
    <w:rsid w:val="00FB52F7"/>
    <w:rsid w:val="00FB586D"/>
    <w:rsid w:val="00FB5EF2"/>
    <w:rsid w:val="00FB6415"/>
    <w:rsid w:val="00FB6853"/>
    <w:rsid w:val="00FB6CD8"/>
    <w:rsid w:val="00FB710B"/>
    <w:rsid w:val="00FB7390"/>
    <w:rsid w:val="00FB7446"/>
    <w:rsid w:val="00FC0480"/>
    <w:rsid w:val="00FC0E75"/>
    <w:rsid w:val="00FC241D"/>
    <w:rsid w:val="00FC3033"/>
    <w:rsid w:val="00FC3102"/>
    <w:rsid w:val="00FC3152"/>
    <w:rsid w:val="00FC33D4"/>
    <w:rsid w:val="00FC3521"/>
    <w:rsid w:val="00FC3531"/>
    <w:rsid w:val="00FC35CC"/>
    <w:rsid w:val="00FC3A5B"/>
    <w:rsid w:val="00FC3DB8"/>
    <w:rsid w:val="00FC3F17"/>
    <w:rsid w:val="00FC4323"/>
    <w:rsid w:val="00FC5A9F"/>
    <w:rsid w:val="00FC608D"/>
    <w:rsid w:val="00FC67CF"/>
    <w:rsid w:val="00FC6BB4"/>
    <w:rsid w:val="00FC6C47"/>
    <w:rsid w:val="00FC6FBE"/>
    <w:rsid w:val="00FC70D4"/>
    <w:rsid w:val="00FC7237"/>
    <w:rsid w:val="00FC78A5"/>
    <w:rsid w:val="00FC7B2B"/>
    <w:rsid w:val="00FD008F"/>
    <w:rsid w:val="00FD0167"/>
    <w:rsid w:val="00FD0236"/>
    <w:rsid w:val="00FD02C1"/>
    <w:rsid w:val="00FD0B5F"/>
    <w:rsid w:val="00FD18F4"/>
    <w:rsid w:val="00FD1AA4"/>
    <w:rsid w:val="00FD1F4B"/>
    <w:rsid w:val="00FD4295"/>
    <w:rsid w:val="00FD4A4C"/>
    <w:rsid w:val="00FD535A"/>
    <w:rsid w:val="00FD54DB"/>
    <w:rsid w:val="00FD619F"/>
    <w:rsid w:val="00FD6243"/>
    <w:rsid w:val="00FD79ED"/>
    <w:rsid w:val="00FE0B58"/>
    <w:rsid w:val="00FE1554"/>
    <w:rsid w:val="00FE29BB"/>
    <w:rsid w:val="00FE2FBF"/>
    <w:rsid w:val="00FE2FF7"/>
    <w:rsid w:val="00FE3031"/>
    <w:rsid w:val="00FE37F2"/>
    <w:rsid w:val="00FE3812"/>
    <w:rsid w:val="00FE4E29"/>
    <w:rsid w:val="00FE5379"/>
    <w:rsid w:val="00FE7630"/>
    <w:rsid w:val="00FE7703"/>
    <w:rsid w:val="00FE7A92"/>
    <w:rsid w:val="00FF00A9"/>
    <w:rsid w:val="00FF118C"/>
    <w:rsid w:val="00FF1229"/>
    <w:rsid w:val="00FF1873"/>
    <w:rsid w:val="00FF1F76"/>
    <w:rsid w:val="00FF22FB"/>
    <w:rsid w:val="00FF262E"/>
    <w:rsid w:val="00FF2729"/>
    <w:rsid w:val="00FF37F9"/>
    <w:rsid w:val="00FF3864"/>
    <w:rsid w:val="00FF435F"/>
    <w:rsid w:val="00FF46C3"/>
    <w:rsid w:val="00FF5757"/>
    <w:rsid w:val="00FF57D0"/>
    <w:rsid w:val="00FF5BFE"/>
    <w:rsid w:val="00FF5C0D"/>
    <w:rsid w:val="00FF5F2B"/>
    <w:rsid w:val="00FF6267"/>
    <w:rsid w:val="00FF6471"/>
    <w:rsid w:val="00FF784D"/>
    <w:rsid w:val="00FF7A44"/>
    <w:rsid w:val="00FF7B04"/>
    <w:rsid w:val="00FF7B98"/>
    <w:rsid w:val="01290F7E"/>
    <w:rsid w:val="015D1E09"/>
    <w:rsid w:val="01774C5B"/>
    <w:rsid w:val="018519E1"/>
    <w:rsid w:val="019977FA"/>
    <w:rsid w:val="02697903"/>
    <w:rsid w:val="02F96569"/>
    <w:rsid w:val="03EA7B21"/>
    <w:rsid w:val="04AF5730"/>
    <w:rsid w:val="04D73630"/>
    <w:rsid w:val="05F83EAE"/>
    <w:rsid w:val="063E7D85"/>
    <w:rsid w:val="06FB6679"/>
    <w:rsid w:val="07293586"/>
    <w:rsid w:val="07295285"/>
    <w:rsid w:val="07636392"/>
    <w:rsid w:val="07770C56"/>
    <w:rsid w:val="07A56D47"/>
    <w:rsid w:val="092217DD"/>
    <w:rsid w:val="093A7294"/>
    <w:rsid w:val="094A7889"/>
    <w:rsid w:val="0A263993"/>
    <w:rsid w:val="0A2D3AC2"/>
    <w:rsid w:val="0AA31979"/>
    <w:rsid w:val="0AA755DF"/>
    <w:rsid w:val="0AB8394F"/>
    <w:rsid w:val="0B120D44"/>
    <w:rsid w:val="0BD27BF6"/>
    <w:rsid w:val="0C3B3C7D"/>
    <w:rsid w:val="0CAB2EAE"/>
    <w:rsid w:val="0D621C7D"/>
    <w:rsid w:val="0E73034D"/>
    <w:rsid w:val="0E965558"/>
    <w:rsid w:val="0F13775A"/>
    <w:rsid w:val="0F5F45FE"/>
    <w:rsid w:val="0F9A112B"/>
    <w:rsid w:val="105E306D"/>
    <w:rsid w:val="106D2F64"/>
    <w:rsid w:val="107A5304"/>
    <w:rsid w:val="10B63710"/>
    <w:rsid w:val="10F10820"/>
    <w:rsid w:val="111C2F7A"/>
    <w:rsid w:val="11665CA1"/>
    <w:rsid w:val="11BD12D2"/>
    <w:rsid w:val="13951726"/>
    <w:rsid w:val="14396509"/>
    <w:rsid w:val="14DD2C3C"/>
    <w:rsid w:val="16087E1D"/>
    <w:rsid w:val="17103469"/>
    <w:rsid w:val="17701D14"/>
    <w:rsid w:val="17735226"/>
    <w:rsid w:val="17F32594"/>
    <w:rsid w:val="189F624C"/>
    <w:rsid w:val="19574121"/>
    <w:rsid w:val="1A032847"/>
    <w:rsid w:val="1A1C66C0"/>
    <w:rsid w:val="1A42393B"/>
    <w:rsid w:val="1AAD45DE"/>
    <w:rsid w:val="1B046F80"/>
    <w:rsid w:val="1B3267B5"/>
    <w:rsid w:val="1B40161D"/>
    <w:rsid w:val="1B441859"/>
    <w:rsid w:val="1B6606B1"/>
    <w:rsid w:val="1C5E7925"/>
    <w:rsid w:val="1CFD070F"/>
    <w:rsid w:val="1D5606BE"/>
    <w:rsid w:val="1D5F6196"/>
    <w:rsid w:val="1D6132A5"/>
    <w:rsid w:val="1D8E56D5"/>
    <w:rsid w:val="1E387787"/>
    <w:rsid w:val="1E7A43DA"/>
    <w:rsid w:val="1FE7539E"/>
    <w:rsid w:val="20671BE0"/>
    <w:rsid w:val="20963CB8"/>
    <w:rsid w:val="20A81A1B"/>
    <w:rsid w:val="20B07FB6"/>
    <w:rsid w:val="20B646FB"/>
    <w:rsid w:val="211E386E"/>
    <w:rsid w:val="213B74B1"/>
    <w:rsid w:val="215A2310"/>
    <w:rsid w:val="21DE318A"/>
    <w:rsid w:val="21EF5B80"/>
    <w:rsid w:val="22576990"/>
    <w:rsid w:val="22F47480"/>
    <w:rsid w:val="23DE1C48"/>
    <w:rsid w:val="240210CD"/>
    <w:rsid w:val="2415373D"/>
    <w:rsid w:val="244829CE"/>
    <w:rsid w:val="24B43DC9"/>
    <w:rsid w:val="24BF09F7"/>
    <w:rsid w:val="252D53FE"/>
    <w:rsid w:val="25EC2D81"/>
    <w:rsid w:val="277057A2"/>
    <w:rsid w:val="27C2241C"/>
    <w:rsid w:val="283E135A"/>
    <w:rsid w:val="285839C6"/>
    <w:rsid w:val="29206EB8"/>
    <w:rsid w:val="29336C44"/>
    <w:rsid w:val="29595666"/>
    <w:rsid w:val="29874881"/>
    <w:rsid w:val="29E325E0"/>
    <w:rsid w:val="2A452503"/>
    <w:rsid w:val="2A52164F"/>
    <w:rsid w:val="2BA936A8"/>
    <w:rsid w:val="2C315A5A"/>
    <w:rsid w:val="2C4B1C25"/>
    <w:rsid w:val="2D9E56F5"/>
    <w:rsid w:val="2DA620AB"/>
    <w:rsid w:val="2E1A6B0F"/>
    <w:rsid w:val="2E667F96"/>
    <w:rsid w:val="2E8226AB"/>
    <w:rsid w:val="2FD065E6"/>
    <w:rsid w:val="2FD96870"/>
    <w:rsid w:val="3051171C"/>
    <w:rsid w:val="30580BC9"/>
    <w:rsid w:val="307C6B9E"/>
    <w:rsid w:val="311E2ED7"/>
    <w:rsid w:val="312C6255"/>
    <w:rsid w:val="315619EE"/>
    <w:rsid w:val="315C449C"/>
    <w:rsid w:val="31B82709"/>
    <w:rsid w:val="31D05482"/>
    <w:rsid w:val="32400B34"/>
    <w:rsid w:val="329E6876"/>
    <w:rsid w:val="33152F0A"/>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3A5696"/>
    <w:rsid w:val="3A4D6DF3"/>
    <w:rsid w:val="3A872856"/>
    <w:rsid w:val="3B3763D1"/>
    <w:rsid w:val="3C2F6E1E"/>
    <w:rsid w:val="3C4F64BA"/>
    <w:rsid w:val="3CDA245A"/>
    <w:rsid w:val="3D1E06B7"/>
    <w:rsid w:val="3E4B6011"/>
    <w:rsid w:val="3EDA0523"/>
    <w:rsid w:val="3EEA0F3D"/>
    <w:rsid w:val="3F1033B2"/>
    <w:rsid w:val="407A6407"/>
    <w:rsid w:val="41345942"/>
    <w:rsid w:val="4200449D"/>
    <w:rsid w:val="423A3BCC"/>
    <w:rsid w:val="424E57D2"/>
    <w:rsid w:val="42B26C49"/>
    <w:rsid w:val="433A6FE6"/>
    <w:rsid w:val="43480868"/>
    <w:rsid w:val="4350713C"/>
    <w:rsid w:val="436653E0"/>
    <w:rsid w:val="43BC0A1A"/>
    <w:rsid w:val="43C4431A"/>
    <w:rsid w:val="447461EC"/>
    <w:rsid w:val="44B951CC"/>
    <w:rsid w:val="44CD14E0"/>
    <w:rsid w:val="44F20B0B"/>
    <w:rsid w:val="452E5F4C"/>
    <w:rsid w:val="45612018"/>
    <w:rsid w:val="458946E9"/>
    <w:rsid w:val="45A47C0E"/>
    <w:rsid w:val="46577FD6"/>
    <w:rsid w:val="46D955A7"/>
    <w:rsid w:val="47133957"/>
    <w:rsid w:val="47291457"/>
    <w:rsid w:val="4755140A"/>
    <w:rsid w:val="47A07E0C"/>
    <w:rsid w:val="47FC73B1"/>
    <w:rsid w:val="4870272E"/>
    <w:rsid w:val="49DC7715"/>
    <w:rsid w:val="4A023139"/>
    <w:rsid w:val="4A7B576F"/>
    <w:rsid w:val="4AF561A9"/>
    <w:rsid w:val="4C4A0649"/>
    <w:rsid w:val="4C7E5ECA"/>
    <w:rsid w:val="4C876AA5"/>
    <w:rsid w:val="4D0E00FB"/>
    <w:rsid w:val="4D176606"/>
    <w:rsid w:val="4D4F67F1"/>
    <w:rsid w:val="4DEC4FB0"/>
    <w:rsid w:val="4E075D8A"/>
    <w:rsid w:val="4EC00FAD"/>
    <w:rsid w:val="4F423839"/>
    <w:rsid w:val="4F9843DC"/>
    <w:rsid w:val="4FC62A8C"/>
    <w:rsid w:val="4FE20F0D"/>
    <w:rsid w:val="4FE51552"/>
    <w:rsid w:val="50504C4B"/>
    <w:rsid w:val="509C6E7C"/>
    <w:rsid w:val="5162104E"/>
    <w:rsid w:val="51ED57EA"/>
    <w:rsid w:val="52636060"/>
    <w:rsid w:val="52FA32DF"/>
    <w:rsid w:val="53A039CC"/>
    <w:rsid w:val="53A1505A"/>
    <w:rsid w:val="54063E08"/>
    <w:rsid w:val="543437E8"/>
    <w:rsid w:val="54F73313"/>
    <w:rsid w:val="54F80955"/>
    <w:rsid w:val="555170A7"/>
    <w:rsid w:val="5587536D"/>
    <w:rsid w:val="559B174B"/>
    <w:rsid w:val="55A66DA3"/>
    <w:rsid w:val="55CE0CF4"/>
    <w:rsid w:val="56B22A9C"/>
    <w:rsid w:val="5710681C"/>
    <w:rsid w:val="57B72A76"/>
    <w:rsid w:val="57C3426C"/>
    <w:rsid w:val="57CE1F93"/>
    <w:rsid w:val="5835250E"/>
    <w:rsid w:val="58370D38"/>
    <w:rsid w:val="584F7F60"/>
    <w:rsid w:val="588743D1"/>
    <w:rsid w:val="5887701A"/>
    <w:rsid w:val="59C0439F"/>
    <w:rsid w:val="59DC100D"/>
    <w:rsid w:val="5ABE2233"/>
    <w:rsid w:val="5BDF5D95"/>
    <w:rsid w:val="5BFE7528"/>
    <w:rsid w:val="5C3D501A"/>
    <w:rsid w:val="5D7253A1"/>
    <w:rsid w:val="5E2467F1"/>
    <w:rsid w:val="5F1A2B43"/>
    <w:rsid w:val="5FB837BB"/>
    <w:rsid w:val="60CC405A"/>
    <w:rsid w:val="619077BE"/>
    <w:rsid w:val="61E215D8"/>
    <w:rsid w:val="621B3775"/>
    <w:rsid w:val="62364782"/>
    <w:rsid w:val="62F24B90"/>
    <w:rsid w:val="6394356A"/>
    <w:rsid w:val="63C61B2C"/>
    <w:rsid w:val="63D40BE9"/>
    <w:rsid w:val="64102431"/>
    <w:rsid w:val="64196F94"/>
    <w:rsid w:val="64A5243A"/>
    <w:rsid w:val="64F531DE"/>
    <w:rsid w:val="65373578"/>
    <w:rsid w:val="66B61C28"/>
    <w:rsid w:val="671F124A"/>
    <w:rsid w:val="677A33C6"/>
    <w:rsid w:val="677A7457"/>
    <w:rsid w:val="679B13D2"/>
    <w:rsid w:val="681F6961"/>
    <w:rsid w:val="68610A2F"/>
    <w:rsid w:val="68805514"/>
    <w:rsid w:val="69316E2F"/>
    <w:rsid w:val="694E2071"/>
    <w:rsid w:val="69766163"/>
    <w:rsid w:val="697A3B33"/>
    <w:rsid w:val="69D44760"/>
    <w:rsid w:val="6A4963A7"/>
    <w:rsid w:val="6A520EC7"/>
    <w:rsid w:val="6AF87E20"/>
    <w:rsid w:val="6B322639"/>
    <w:rsid w:val="6BA41DC0"/>
    <w:rsid w:val="6C5B53D2"/>
    <w:rsid w:val="6C636C38"/>
    <w:rsid w:val="6D593706"/>
    <w:rsid w:val="6DB34098"/>
    <w:rsid w:val="6DB545B6"/>
    <w:rsid w:val="6DE02FB4"/>
    <w:rsid w:val="6E514CED"/>
    <w:rsid w:val="6E910F1F"/>
    <w:rsid w:val="6EB563D5"/>
    <w:rsid w:val="6ED92677"/>
    <w:rsid w:val="6F225983"/>
    <w:rsid w:val="6F6A0F1A"/>
    <w:rsid w:val="6FFC5590"/>
    <w:rsid w:val="706D1DD0"/>
    <w:rsid w:val="70856B87"/>
    <w:rsid w:val="70D527EE"/>
    <w:rsid w:val="715B5300"/>
    <w:rsid w:val="71D27F8A"/>
    <w:rsid w:val="72280440"/>
    <w:rsid w:val="72553024"/>
    <w:rsid w:val="73122968"/>
    <w:rsid w:val="731F5D5E"/>
    <w:rsid w:val="73C51AD5"/>
    <w:rsid w:val="741E793C"/>
    <w:rsid w:val="745E3944"/>
    <w:rsid w:val="75246879"/>
    <w:rsid w:val="75E9227F"/>
    <w:rsid w:val="7635099D"/>
    <w:rsid w:val="76B73C93"/>
    <w:rsid w:val="77762421"/>
    <w:rsid w:val="77B56B1F"/>
    <w:rsid w:val="780F09F4"/>
    <w:rsid w:val="78A90480"/>
    <w:rsid w:val="78C94E33"/>
    <w:rsid w:val="799615B8"/>
    <w:rsid w:val="79FC7B16"/>
    <w:rsid w:val="7A364017"/>
    <w:rsid w:val="7A8265E1"/>
    <w:rsid w:val="7B5A5093"/>
    <w:rsid w:val="7B686D42"/>
    <w:rsid w:val="7B841746"/>
    <w:rsid w:val="7C6C5AC7"/>
    <w:rsid w:val="7CC6544B"/>
    <w:rsid w:val="7D0239FF"/>
    <w:rsid w:val="7D1969FB"/>
    <w:rsid w:val="7D5E40CD"/>
    <w:rsid w:val="7D9E510C"/>
    <w:rsid w:val="7DCD56F2"/>
    <w:rsid w:val="7E042AF9"/>
    <w:rsid w:val="7E4465B2"/>
    <w:rsid w:val="7E6D1208"/>
    <w:rsid w:val="7F001CE7"/>
    <w:rsid w:val="7F5A1D9B"/>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iPriority="99" w:semiHidden="0" w:name="Hyperlink" w:locked="1"/>
    <w:lsdException w:unhideWhenUsed="0" w:uiPriority="99"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link w:val="37"/>
    <w:semiHidden/>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qFormat/>
    <w:locked/>
    <w:uiPriority w:val="0"/>
    <w:pPr>
      <w:keepNext/>
      <w:keepLines/>
      <w:spacing w:before="260" w:after="260" w:line="416" w:lineRule="auto"/>
      <w:outlineLvl w:val="2"/>
    </w:pPr>
    <w:rPr>
      <w:b/>
      <w:bCs/>
      <w:sz w:val="32"/>
      <w:szCs w:val="32"/>
    </w:rPr>
  </w:style>
  <w:style w:type="paragraph" w:styleId="5">
    <w:name w:val="heading 4"/>
    <w:basedOn w:val="1"/>
    <w:next w:val="1"/>
    <w:link w:val="39"/>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locked/>
    <w:uiPriority w:val="0"/>
    <w:pPr>
      <w:ind w:left="100" w:leftChars="400" w:hanging="200" w:hangingChars="200"/>
      <w:contextualSpacing/>
    </w:pPr>
  </w:style>
  <w:style w:type="paragraph" w:styleId="7">
    <w:name w:val="Normal Indent"/>
    <w:basedOn w:val="1"/>
    <w:link w:val="40"/>
    <w:qFormat/>
    <w:locked/>
    <w:uiPriority w:val="0"/>
    <w:pPr>
      <w:ind w:firstLine="200" w:firstLineChars="200"/>
    </w:pPr>
    <w:rPr>
      <w:sz w:val="28"/>
      <w:szCs w:val="20"/>
    </w:rPr>
  </w:style>
  <w:style w:type="paragraph" w:styleId="8">
    <w:name w:val="caption"/>
    <w:basedOn w:val="1"/>
    <w:next w:val="1"/>
    <w:link w:val="41"/>
    <w:qFormat/>
    <w:locked/>
    <w:uiPriority w:val="0"/>
    <w:pPr>
      <w:keepNext/>
      <w:spacing w:beforeLines="50"/>
      <w:jc w:val="center"/>
    </w:pPr>
    <w:rPr>
      <w:rFonts w:eastAsia="黑体"/>
      <w:szCs w:val="20"/>
    </w:rPr>
  </w:style>
  <w:style w:type="paragraph" w:styleId="9">
    <w:name w:val="annotation text"/>
    <w:basedOn w:val="1"/>
    <w:link w:val="42"/>
    <w:qFormat/>
    <w:uiPriority w:val="99"/>
    <w:pPr>
      <w:jc w:val="left"/>
    </w:pPr>
    <w:rPr>
      <w:kern w:val="0"/>
      <w:sz w:val="24"/>
      <w:szCs w:val="20"/>
    </w:rPr>
  </w:style>
  <w:style w:type="paragraph" w:styleId="10">
    <w:name w:val="Body Text"/>
    <w:basedOn w:val="1"/>
    <w:next w:val="11"/>
    <w:link w:val="43"/>
    <w:qFormat/>
    <w:uiPriority w:val="0"/>
    <w:pPr>
      <w:widowControl/>
      <w:snapToGrid w:val="0"/>
      <w:spacing w:before="60" w:after="160" w:line="259" w:lineRule="auto"/>
      <w:ind w:right="113"/>
    </w:pPr>
    <w:rPr>
      <w:kern w:val="0"/>
      <w:sz w:val="18"/>
      <w:szCs w:val="20"/>
    </w:rPr>
  </w:style>
  <w:style w:type="paragraph" w:styleId="11">
    <w:name w:val="List Bullet 5"/>
    <w:basedOn w:val="1"/>
    <w:qFormat/>
    <w:locked/>
    <w:uiPriority w:val="0"/>
    <w:pPr>
      <w:numPr>
        <w:ilvl w:val="0"/>
        <w:numId w:val="1"/>
      </w:numPr>
    </w:pPr>
  </w:style>
  <w:style w:type="paragraph" w:styleId="12">
    <w:name w:val="Body Text Indent"/>
    <w:basedOn w:val="1"/>
    <w:link w:val="44"/>
    <w:qFormat/>
    <w:uiPriority w:val="0"/>
    <w:pPr>
      <w:spacing w:after="120"/>
      <w:ind w:left="420" w:leftChars="200"/>
    </w:pPr>
    <w:rPr>
      <w:kern w:val="0"/>
      <w:sz w:val="24"/>
      <w:szCs w:val="20"/>
    </w:rPr>
  </w:style>
  <w:style w:type="paragraph" w:styleId="13">
    <w:name w:val="Block Text"/>
    <w:basedOn w:val="1"/>
    <w:qFormat/>
    <w:locked/>
    <w:uiPriority w:val="0"/>
    <w:pPr>
      <w:spacing w:after="120"/>
      <w:ind w:left="1440" w:leftChars="700" w:right="1440" w:rightChars="700"/>
    </w:pPr>
  </w:style>
  <w:style w:type="paragraph" w:styleId="14">
    <w:name w:val="Plain Text"/>
    <w:basedOn w:val="1"/>
    <w:link w:val="45"/>
    <w:qFormat/>
    <w:locked/>
    <w:uiPriority w:val="0"/>
    <w:rPr>
      <w:rFonts w:ascii="宋体" w:hAnsi="Courier New"/>
      <w:sz w:val="20"/>
      <w:szCs w:val="20"/>
    </w:rPr>
  </w:style>
  <w:style w:type="paragraph" w:styleId="15">
    <w:name w:val="Date"/>
    <w:basedOn w:val="1"/>
    <w:next w:val="1"/>
    <w:link w:val="46"/>
    <w:qFormat/>
    <w:uiPriority w:val="0"/>
    <w:pPr>
      <w:ind w:left="100" w:leftChars="2500"/>
    </w:pPr>
    <w:rPr>
      <w:kern w:val="0"/>
      <w:sz w:val="24"/>
      <w:szCs w:val="20"/>
    </w:rPr>
  </w:style>
  <w:style w:type="paragraph" w:styleId="16">
    <w:name w:val="Balloon Text"/>
    <w:basedOn w:val="1"/>
    <w:link w:val="47"/>
    <w:semiHidden/>
    <w:qFormat/>
    <w:uiPriority w:val="0"/>
    <w:rPr>
      <w:kern w:val="0"/>
      <w:sz w:val="18"/>
      <w:szCs w:val="20"/>
    </w:rPr>
  </w:style>
  <w:style w:type="paragraph" w:styleId="17">
    <w:name w:val="footer"/>
    <w:basedOn w:val="1"/>
    <w:link w:val="48"/>
    <w:qFormat/>
    <w:uiPriority w:val="99"/>
    <w:pPr>
      <w:tabs>
        <w:tab w:val="center" w:pos="4153"/>
        <w:tab w:val="right" w:pos="8306"/>
      </w:tabs>
      <w:snapToGrid w:val="0"/>
      <w:jc w:val="left"/>
    </w:pPr>
    <w:rPr>
      <w:kern w:val="0"/>
      <w:sz w:val="18"/>
      <w:szCs w:val="20"/>
    </w:rPr>
  </w:style>
  <w:style w:type="paragraph" w:styleId="18">
    <w:name w:val="header"/>
    <w:basedOn w:val="1"/>
    <w:link w:val="49"/>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qFormat/>
    <w:locked/>
    <w:uiPriority w:val="0"/>
    <w:pPr>
      <w:widowControl/>
      <w:tabs>
        <w:tab w:val="right" w:leader="dot" w:pos="8778"/>
      </w:tabs>
      <w:spacing w:line="360" w:lineRule="auto"/>
      <w:jc w:val="left"/>
    </w:pPr>
    <w:rPr>
      <w:rFonts w:ascii="宋体" w:hAnsi="宋体" w:cs="宋体"/>
      <w:b/>
      <w:kern w:val="0"/>
      <w:sz w:val="24"/>
    </w:rPr>
  </w:style>
  <w:style w:type="paragraph" w:styleId="20">
    <w:name w:val="List"/>
    <w:basedOn w:val="1"/>
    <w:qFormat/>
    <w:locked/>
    <w:uiPriority w:val="0"/>
    <w:pPr>
      <w:spacing w:line="360" w:lineRule="auto"/>
      <w:ind w:left="200" w:hanging="200" w:hangingChars="200"/>
    </w:pPr>
    <w:rPr>
      <w:sz w:val="24"/>
      <w:szCs w:val="21"/>
    </w:rPr>
  </w:style>
  <w:style w:type="paragraph" w:styleId="21">
    <w:name w:val="Body Text Indent 3"/>
    <w:basedOn w:val="1"/>
    <w:qFormat/>
    <w:locked/>
    <w:uiPriority w:val="0"/>
    <w:pPr>
      <w:widowControl w:val="0"/>
      <w:spacing w:after="120"/>
      <w:ind w:left="420" w:leftChars="200"/>
      <w:jc w:val="both"/>
    </w:pPr>
    <w:rPr>
      <w:rFonts w:cs="Times New Roman"/>
      <w:kern w:val="2"/>
      <w:sz w:val="16"/>
      <w:szCs w:val="16"/>
    </w:rPr>
  </w:style>
  <w:style w:type="paragraph" w:styleId="22">
    <w:name w:val="Body Text 2"/>
    <w:basedOn w:val="1"/>
    <w:link w:val="112"/>
    <w:qFormat/>
    <w:locked/>
    <w:uiPriority w:val="0"/>
    <w:pPr>
      <w:spacing w:after="120" w:line="480" w:lineRule="auto"/>
    </w:pPr>
  </w:style>
  <w:style w:type="paragraph" w:styleId="23">
    <w:name w:val="Normal (Web)"/>
    <w:basedOn w:val="1"/>
    <w:link w:val="50"/>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9"/>
    <w:next w:val="9"/>
    <w:link w:val="51"/>
    <w:semiHidden/>
    <w:qFormat/>
    <w:uiPriority w:val="0"/>
    <w:rPr>
      <w:b/>
    </w:rPr>
  </w:style>
  <w:style w:type="paragraph" w:styleId="25">
    <w:name w:val="Body Text First Indent"/>
    <w:basedOn w:val="10"/>
    <w:link w:val="52"/>
    <w:qFormat/>
    <w:locked/>
    <w:uiPriority w:val="0"/>
    <w:pPr>
      <w:widowControl w:val="0"/>
      <w:snapToGrid/>
      <w:spacing w:before="0" w:after="120" w:line="240" w:lineRule="auto"/>
      <w:ind w:right="0" w:firstLine="420" w:firstLineChars="100"/>
    </w:pPr>
    <w:rPr>
      <w:kern w:val="2"/>
      <w:sz w:val="21"/>
    </w:rPr>
  </w:style>
  <w:style w:type="paragraph" w:styleId="26">
    <w:name w:val="Body Text First Indent 2"/>
    <w:basedOn w:val="12"/>
    <w:link w:val="53"/>
    <w:qFormat/>
    <w:locked/>
    <w:uiPriority w:val="0"/>
    <w:pPr>
      <w:ind w:firstLine="420" w:firstLineChars="200"/>
    </w:pPr>
    <w:rPr>
      <w:kern w:val="2"/>
      <w:sz w:val="21"/>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locked/>
    <w:uiPriority w:val="0"/>
    <w:rPr>
      <w:b/>
    </w:rPr>
  </w:style>
  <w:style w:type="character" w:styleId="31">
    <w:name w:val="page number"/>
    <w:basedOn w:val="29"/>
    <w:qFormat/>
    <w:locked/>
    <w:uiPriority w:val="0"/>
  </w:style>
  <w:style w:type="character" w:styleId="32">
    <w:name w:val="Hyperlink"/>
    <w:unhideWhenUsed/>
    <w:qFormat/>
    <w:locked/>
    <w:uiPriority w:val="99"/>
    <w:rPr>
      <w:color w:val="0000FF"/>
      <w:u w:val="single"/>
    </w:rPr>
  </w:style>
  <w:style w:type="character" w:styleId="33">
    <w:name w:val="annotation reference"/>
    <w:basedOn w:val="29"/>
    <w:qFormat/>
    <w:uiPriority w:val="0"/>
    <w:rPr>
      <w:sz w:val="21"/>
    </w:rPr>
  </w:style>
  <w:style w:type="paragraph" w:customStyle="1" w:styleId="34">
    <w:name w:val="Default"/>
    <w:basedOn w:val="3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纯文本1"/>
    <w:basedOn w:val="1"/>
    <w:qFormat/>
    <w:uiPriority w:val="0"/>
    <w:pPr>
      <w:adjustRightInd w:val="0"/>
    </w:pPr>
    <w:rPr>
      <w:rFonts w:ascii="宋体" w:hAnsi="Courier New"/>
      <w:szCs w:val="20"/>
    </w:rPr>
  </w:style>
  <w:style w:type="paragraph" w:customStyle="1" w:styleId="36">
    <w:name w:val="NormalIndent"/>
    <w:basedOn w:val="1"/>
    <w:next w:val="1"/>
    <w:qFormat/>
    <w:uiPriority w:val="99"/>
    <w:pPr>
      <w:jc w:val="left"/>
    </w:pPr>
    <w:rPr>
      <w:spacing w:val="-25"/>
    </w:rPr>
  </w:style>
  <w:style w:type="character" w:customStyle="1" w:styleId="37">
    <w:name w:val="标题 2 字符"/>
    <w:basedOn w:val="29"/>
    <w:link w:val="3"/>
    <w:semiHidden/>
    <w:qFormat/>
    <w:uiPriority w:val="0"/>
    <w:rPr>
      <w:rFonts w:asciiTheme="majorHAnsi" w:hAnsiTheme="majorHAnsi" w:eastAsiaTheme="majorEastAsia" w:cstheme="majorBidi"/>
      <w:b/>
      <w:bCs/>
      <w:kern w:val="2"/>
      <w:sz w:val="32"/>
      <w:szCs w:val="32"/>
    </w:rPr>
  </w:style>
  <w:style w:type="character" w:customStyle="1" w:styleId="38">
    <w:name w:val="标题 3 字符1"/>
    <w:link w:val="4"/>
    <w:semiHidden/>
    <w:qFormat/>
    <w:uiPriority w:val="0"/>
    <w:rPr>
      <w:b/>
      <w:bCs/>
      <w:kern w:val="2"/>
      <w:sz w:val="32"/>
      <w:szCs w:val="32"/>
    </w:rPr>
  </w:style>
  <w:style w:type="character" w:customStyle="1" w:styleId="39">
    <w:name w:val="标题 4 字符"/>
    <w:basedOn w:val="29"/>
    <w:link w:val="5"/>
    <w:qFormat/>
    <w:uiPriority w:val="0"/>
    <w:rPr>
      <w:rFonts w:asciiTheme="majorHAnsi" w:hAnsiTheme="majorHAnsi" w:eastAsiaTheme="majorEastAsia" w:cstheme="majorBidi"/>
      <w:b/>
      <w:bCs/>
      <w:kern w:val="2"/>
      <w:sz w:val="28"/>
      <w:szCs w:val="28"/>
    </w:rPr>
  </w:style>
  <w:style w:type="character" w:customStyle="1" w:styleId="40">
    <w:name w:val="正文缩进 字符"/>
    <w:link w:val="7"/>
    <w:qFormat/>
    <w:uiPriority w:val="0"/>
    <w:rPr>
      <w:kern w:val="2"/>
      <w:sz w:val="28"/>
    </w:rPr>
  </w:style>
  <w:style w:type="character" w:customStyle="1" w:styleId="41">
    <w:name w:val="题注 字符1"/>
    <w:link w:val="8"/>
    <w:qFormat/>
    <w:uiPriority w:val="0"/>
    <w:rPr>
      <w:rFonts w:eastAsia="黑体"/>
      <w:kern w:val="2"/>
      <w:sz w:val="21"/>
    </w:rPr>
  </w:style>
  <w:style w:type="character" w:customStyle="1" w:styleId="42">
    <w:name w:val="批注文字 字符2"/>
    <w:link w:val="9"/>
    <w:qFormat/>
    <w:locked/>
    <w:uiPriority w:val="99"/>
    <w:rPr>
      <w:rFonts w:ascii="Times New Roman" w:hAnsi="Times New Roman" w:eastAsia="宋体"/>
      <w:sz w:val="24"/>
    </w:rPr>
  </w:style>
  <w:style w:type="character" w:customStyle="1" w:styleId="43">
    <w:name w:val="正文文本 字符"/>
    <w:link w:val="10"/>
    <w:qFormat/>
    <w:locked/>
    <w:uiPriority w:val="0"/>
    <w:rPr>
      <w:sz w:val="18"/>
    </w:rPr>
  </w:style>
  <w:style w:type="character" w:customStyle="1" w:styleId="44">
    <w:name w:val="正文文本缩进 字符"/>
    <w:link w:val="12"/>
    <w:semiHidden/>
    <w:qFormat/>
    <w:locked/>
    <w:uiPriority w:val="0"/>
    <w:rPr>
      <w:rFonts w:ascii="Times New Roman" w:hAnsi="Times New Roman" w:eastAsia="宋体"/>
      <w:sz w:val="24"/>
    </w:rPr>
  </w:style>
  <w:style w:type="character" w:customStyle="1" w:styleId="45">
    <w:name w:val="纯文本 字符"/>
    <w:link w:val="14"/>
    <w:qFormat/>
    <w:uiPriority w:val="0"/>
    <w:rPr>
      <w:rFonts w:ascii="宋体" w:hAnsi="Courier New"/>
      <w:kern w:val="2"/>
    </w:rPr>
  </w:style>
  <w:style w:type="character" w:customStyle="1" w:styleId="46">
    <w:name w:val="日期 字符1"/>
    <w:link w:val="15"/>
    <w:qFormat/>
    <w:locked/>
    <w:uiPriority w:val="0"/>
    <w:rPr>
      <w:rFonts w:ascii="Times New Roman" w:hAnsi="Times New Roman" w:eastAsia="宋体"/>
      <w:sz w:val="24"/>
    </w:rPr>
  </w:style>
  <w:style w:type="character" w:customStyle="1" w:styleId="47">
    <w:name w:val="批注框文本 字符"/>
    <w:link w:val="16"/>
    <w:semiHidden/>
    <w:qFormat/>
    <w:locked/>
    <w:uiPriority w:val="0"/>
    <w:rPr>
      <w:rFonts w:ascii="Times New Roman" w:hAnsi="Times New Roman" w:eastAsia="宋体"/>
      <w:sz w:val="18"/>
    </w:rPr>
  </w:style>
  <w:style w:type="character" w:customStyle="1" w:styleId="48">
    <w:name w:val="页脚 字符1"/>
    <w:link w:val="17"/>
    <w:qFormat/>
    <w:locked/>
    <w:uiPriority w:val="99"/>
    <w:rPr>
      <w:sz w:val="18"/>
    </w:rPr>
  </w:style>
  <w:style w:type="character" w:customStyle="1" w:styleId="49">
    <w:name w:val="页眉 字符"/>
    <w:link w:val="18"/>
    <w:qFormat/>
    <w:locked/>
    <w:uiPriority w:val="0"/>
    <w:rPr>
      <w:sz w:val="18"/>
    </w:rPr>
  </w:style>
  <w:style w:type="character" w:customStyle="1" w:styleId="50">
    <w:name w:val="普通(网站) 字符"/>
    <w:link w:val="23"/>
    <w:qFormat/>
    <w:locked/>
    <w:uiPriority w:val="99"/>
    <w:rPr>
      <w:rFonts w:ascii="宋体" w:hAnsi="宋体" w:eastAsia="宋体"/>
      <w:sz w:val="24"/>
    </w:rPr>
  </w:style>
  <w:style w:type="character" w:customStyle="1" w:styleId="51">
    <w:name w:val="批注主题 字符"/>
    <w:link w:val="24"/>
    <w:semiHidden/>
    <w:qFormat/>
    <w:locked/>
    <w:uiPriority w:val="0"/>
    <w:rPr>
      <w:rFonts w:ascii="Times New Roman" w:hAnsi="Times New Roman" w:eastAsia="宋体"/>
      <w:b/>
      <w:kern w:val="2"/>
      <w:sz w:val="24"/>
    </w:rPr>
  </w:style>
  <w:style w:type="character" w:customStyle="1" w:styleId="52">
    <w:name w:val="正文文本首行缩进 字符"/>
    <w:link w:val="25"/>
    <w:qFormat/>
    <w:uiPriority w:val="0"/>
    <w:rPr>
      <w:kern w:val="2"/>
      <w:sz w:val="21"/>
    </w:rPr>
  </w:style>
  <w:style w:type="character" w:customStyle="1" w:styleId="53">
    <w:name w:val="正文文本首行缩进 2 字符"/>
    <w:link w:val="26"/>
    <w:qFormat/>
    <w:uiPriority w:val="0"/>
    <w:rPr>
      <w:rFonts w:ascii="Times New Roman" w:hAnsi="Times New Roman" w:eastAsia="宋体"/>
      <w:kern w:val="2"/>
      <w:sz w:val="21"/>
    </w:rPr>
  </w:style>
  <w:style w:type="character" w:customStyle="1" w:styleId="54">
    <w:name w:val="正文文本 字符1"/>
    <w:semiHidden/>
    <w:qFormat/>
    <w:uiPriority w:val="0"/>
    <w:rPr>
      <w:rFonts w:ascii="Times New Roman" w:hAnsi="Times New Roman" w:eastAsia="宋体"/>
      <w:sz w:val="24"/>
    </w:rPr>
  </w:style>
  <w:style w:type="character" w:customStyle="1" w:styleId="55">
    <w:name w:val="表标题 Char"/>
    <w:link w:val="56"/>
    <w:qFormat/>
    <w:uiPriority w:val="0"/>
    <w:rPr>
      <w:b/>
      <w:kern w:val="2"/>
      <w:sz w:val="24"/>
      <w:szCs w:val="24"/>
    </w:rPr>
  </w:style>
  <w:style w:type="paragraph" w:customStyle="1" w:styleId="56">
    <w:name w:val="表标题"/>
    <w:next w:val="1"/>
    <w:link w:val="55"/>
    <w:qFormat/>
    <w:uiPriority w:val="0"/>
    <w:pPr>
      <w:spacing w:before="60"/>
      <w:jc w:val="center"/>
    </w:pPr>
    <w:rPr>
      <w:rFonts w:ascii="Times New Roman" w:hAnsi="Times New Roman" w:eastAsia="宋体" w:cs="Times New Roman"/>
      <w:b/>
      <w:kern w:val="2"/>
      <w:sz w:val="24"/>
      <w:szCs w:val="24"/>
      <w:lang w:val="en-US" w:eastAsia="zh-CN" w:bidi="ar-SA"/>
    </w:rPr>
  </w:style>
  <w:style w:type="character" w:customStyle="1" w:styleId="57">
    <w:name w:val="表格文字 Char"/>
    <w:link w:val="58"/>
    <w:qFormat/>
    <w:uiPriority w:val="0"/>
    <w:rPr>
      <w:rFonts w:ascii="仿宋_GB2312" w:hAnsi="Arial Black" w:eastAsia="仿宋_GB2312"/>
      <w:kern w:val="44"/>
      <w:sz w:val="24"/>
    </w:rPr>
  </w:style>
  <w:style w:type="paragraph" w:customStyle="1" w:styleId="58">
    <w:name w:val="表格文字"/>
    <w:basedOn w:val="1"/>
    <w:link w:val="57"/>
    <w:qFormat/>
    <w:uiPriority w:val="0"/>
    <w:pPr>
      <w:jc w:val="center"/>
    </w:pPr>
    <w:rPr>
      <w:rFonts w:ascii="仿宋_GB2312" w:hAnsi="Arial Black" w:eastAsia="仿宋_GB2312"/>
      <w:kern w:val="44"/>
      <w:sz w:val="24"/>
      <w:szCs w:val="20"/>
    </w:rPr>
  </w:style>
  <w:style w:type="character" w:customStyle="1" w:styleId="59">
    <w:name w:val="1.....正文 Char"/>
    <w:link w:val="60"/>
    <w:qFormat/>
    <w:uiPriority w:val="0"/>
    <w:rPr>
      <w:rFonts w:ascii="仿宋_GB2312" w:eastAsia="仿宋_GB2312"/>
      <w:kern w:val="2"/>
      <w:sz w:val="28"/>
      <w:szCs w:val="28"/>
    </w:rPr>
  </w:style>
  <w:style w:type="paragraph" w:customStyle="1" w:styleId="60">
    <w:name w:val="1.....正文"/>
    <w:basedOn w:val="1"/>
    <w:link w:val="59"/>
    <w:qFormat/>
    <w:uiPriority w:val="0"/>
    <w:pPr>
      <w:adjustRightInd w:val="0"/>
      <w:snapToGrid w:val="0"/>
      <w:ind w:firstLine="560" w:firstLineChars="200"/>
    </w:pPr>
    <w:rPr>
      <w:rFonts w:ascii="仿宋_GB2312" w:eastAsia="仿宋_GB2312"/>
      <w:sz w:val="28"/>
      <w:szCs w:val="28"/>
    </w:rPr>
  </w:style>
  <w:style w:type="character" w:customStyle="1" w:styleId="61">
    <w:name w:val="1 正文 Char"/>
    <w:link w:val="62"/>
    <w:qFormat/>
    <w:uiPriority w:val="0"/>
    <w:rPr>
      <w:sz w:val="24"/>
    </w:rPr>
  </w:style>
  <w:style w:type="paragraph" w:customStyle="1" w:styleId="62">
    <w:name w:val="1 正文"/>
    <w:basedOn w:val="1"/>
    <w:link w:val="61"/>
    <w:qFormat/>
    <w:uiPriority w:val="0"/>
    <w:pPr>
      <w:adjustRightInd w:val="0"/>
      <w:snapToGrid w:val="0"/>
      <w:spacing w:line="360" w:lineRule="auto"/>
      <w:ind w:firstLine="200" w:firstLineChars="200"/>
    </w:pPr>
    <w:rPr>
      <w:kern w:val="0"/>
      <w:sz w:val="24"/>
      <w:szCs w:val="20"/>
    </w:rPr>
  </w:style>
  <w:style w:type="character" w:customStyle="1" w:styleId="63">
    <w:name w:val="批注文字 字符1"/>
    <w:semiHidden/>
    <w:qFormat/>
    <w:uiPriority w:val="0"/>
    <w:rPr>
      <w:rFonts w:ascii="Times New Roman" w:hAnsi="Times New Roman" w:eastAsia="宋体"/>
      <w:sz w:val="24"/>
    </w:rPr>
  </w:style>
  <w:style w:type="character" w:customStyle="1" w:styleId="64">
    <w:name w:val="表格 Char"/>
    <w:link w:val="65"/>
    <w:qFormat/>
    <w:locked/>
    <w:uiPriority w:val="0"/>
    <w:rPr>
      <w:rFonts w:ascii="宋体"/>
      <w:sz w:val="21"/>
    </w:rPr>
  </w:style>
  <w:style w:type="paragraph" w:customStyle="1" w:styleId="65">
    <w:name w:val="表格"/>
    <w:basedOn w:val="1"/>
    <w:next w:val="1"/>
    <w:link w:val="64"/>
    <w:qFormat/>
    <w:uiPriority w:val="0"/>
    <w:pPr>
      <w:adjustRightInd w:val="0"/>
      <w:snapToGrid w:val="0"/>
      <w:spacing w:beforeLines="10" w:afterLines="10" w:line="259" w:lineRule="auto"/>
      <w:jc w:val="center"/>
    </w:pPr>
    <w:rPr>
      <w:rFonts w:ascii="宋体"/>
      <w:kern w:val="0"/>
      <w:szCs w:val="20"/>
    </w:rPr>
  </w:style>
  <w:style w:type="character" w:customStyle="1" w:styleId="66">
    <w:name w:val="YY表格正文 字符"/>
    <w:link w:val="67"/>
    <w:qFormat/>
    <w:uiPriority w:val="0"/>
    <w:rPr>
      <w:color w:val="000000"/>
      <w:kern w:val="2"/>
      <w:sz w:val="21"/>
      <w:szCs w:val="24"/>
    </w:rPr>
  </w:style>
  <w:style w:type="paragraph" w:customStyle="1" w:styleId="67">
    <w:name w:val="YY表格正文"/>
    <w:basedOn w:val="1"/>
    <w:link w:val="66"/>
    <w:qFormat/>
    <w:uiPriority w:val="0"/>
    <w:pPr>
      <w:tabs>
        <w:tab w:val="left" w:pos="0"/>
      </w:tabs>
      <w:adjustRightInd w:val="0"/>
      <w:snapToGrid w:val="0"/>
      <w:jc w:val="center"/>
    </w:pPr>
    <w:rPr>
      <w:color w:val="000000"/>
    </w:rPr>
  </w:style>
  <w:style w:type="character" w:customStyle="1" w:styleId="68">
    <w:name w:val="页脚 字符"/>
    <w:basedOn w:val="29"/>
    <w:qFormat/>
    <w:uiPriority w:val="99"/>
  </w:style>
  <w:style w:type="character" w:customStyle="1" w:styleId="69">
    <w:name w:val="纯文本 字符1"/>
    <w:qFormat/>
    <w:uiPriority w:val="0"/>
    <w:rPr>
      <w:rFonts w:ascii="宋体" w:hAnsi="Courier New" w:cs="Courier New"/>
      <w:kern w:val="2"/>
      <w:sz w:val="21"/>
      <w:szCs w:val="21"/>
    </w:rPr>
  </w:style>
  <w:style w:type="character" w:customStyle="1" w:styleId="70">
    <w:name w:val="日期 字符"/>
    <w:semiHidden/>
    <w:qFormat/>
    <w:uiPriority w:val="0"/>
    <w:rPr>
      <w:rFonts w:ascii="Times New Roman" w:hAnsi="Times New Roman" w:eastAsia="宋体"/>
      <w:sz w:val="24"/>
    </w:rPr>
  </w:style>
  <w:style w:type="character" w:customStyle="1" w:styleId="71">
    <w:name w:val="表格内容 Char"/>
    <w:link w:val="72"/>
    <w:qFormat/>
    <w:uiPriority w:val="0"/>
    <w:rPr>
      <w:rFonts w:ascii="Arial" w:hAnsi="Arial" w:eastAsia="仿宋_GB2312"/>
      <w:sz w:val="24"/>
    </w:rPr>
  </w:style>
  <w:style w:type="paragraph" w:customStyle="1" w:styleId="72">
    <w:name w:val="表格内容"/>
    <w:basedOn w:val="1"/>
    <w:link w:val="71"/>
    <w:qFormat/>
    <w:uiPriority w:val="0"/>
    <w:pPr>
      <w:overflowPunct w:val="0"/>
      <w:spacing w:before="40" w:after="60" w:line="200" w:lineRule="atLeast"/>
      <w:textAlignment w:val="baseline"/>
    </w:pPr>
    <w:rPr>
      <w:rFonts w:ascii="Arial" w:hAnsi="Arial" w:eastAsia="仿宋_GB2312"/>
      <w:kern w:val="0"/>
      <w:sz w:val="24"/>
      <w:szCs w:val="20"/>
    </w:rPr>
  </w:style>
  <w:style w:type="character" w:customStyle="1" w:styleId="73">
    <w:name w:val="1表格 Char"/>
    <w:link w:val="74"/>
    <w:qFormat/>
    <w:locked/>
    <w:uiPriority w:val="0"/>
    <w:rPr>
      <w:spacing w:val="4"/>
      <w:szCs w:val="24"/>
    </w:rPr>
  </w:style>
  <w:style w:type="paragraph" w:customStyle="1" w:styleId="74">
    <w:name w:val="1表格"/>
    <w:basedOn w:val="1"/>
    <w:link w:val="73"/>
    <w:qFormat/>
    <w:uiPriority w:val="0"/>
    <w:pPr>
      <w:adjustRightInd w:val="0"/>
      <w:snapToGrid w:val="0"/>
      <w:jc w:val="center"/>
    </w:pPr>
    <w:rPr>
      <w:spacing w:val="4"/>
      <w:kern w:val="0"/>
      <w:sz w:val="20"/>
    </w:rPr>
  </w:style>
  <w:style w:type="character" w:customStyle="1" w:styleId="75">
    <w:name w:val="表内表 字符"/>
    <w:link w:val="76"/>
    <w:qFormat/>
    <w:uiPriority w:val="0"/>
    <w:rPr>
      <w:bCs/>
      <w:kern w:val="2"/>
      <w:sz w:val="21"/>
      <w:szCs w:val="21"/>
    </w:rPr>
  </w:style>
  <w:style w:type="paragraph" w:customStyle="1" w:styleId="76">
    <w:name w:val="表内表"/>
    <w:basedOn w:val="1"/>
    <w:link w:val="75"/>
    <w:qFormat/>
    <w:uiPriority w:val="0"/>
    <w:pPr>
      <w:spacing w:line="240" w:lineRule="atLeast"/>
      <w:jc w:val="center"/>
    </w:pPr>
    <w:rPr>
      <w:bCs/>
      <w:szCs w:val="21"/>
    </w:rPr>
  </w:style>
  <w:style w:type="character" w:customStyle="1" w:styleId="77">
    <w:name w:val="111正文 Char"/>
    <w:link w:val="78"/>
    <w:qFormat/>
    <w:uiPriority w:val="0"/>
    <w:rPr>
      <w:rFonts w:ascii="Calibri" w:hAnsi="Calibri"/>
      <w:kern w:val="0"/>
      <w:sz w:val="24"/>
    </w:rPr>
  </w:style>
  <w:style w:type="paragraph" w:customStyle="1" w:styleId="78">
    <w:name w:val="111正文"/>
    <w:basedOn w:val="1"/>
    <w:link w:val="77"/>
    <w:qFormat/>
    <w:uiPriority w:val="0"/>
    <w:pPr>
      <w:tabs>
        <w:tab w:val="left" w:pos="600"/>
      </w:tabs>
      <w:spacing w:line="360" w:lineRule="auto"/>
      <w:ind w:firstLine="200" w:firstLineChars="200"/>
    </w:pPr>
    <w:rPr>
      <w:rFonts w:ascii="Calibri" w:hAnsi="Calibri"/>
      <w:kern w:val="0"/>
      <w:sz w:val="24"/>
    </w:rPr>
  </w:style>
  <w:style w:type="character" w:customStyle="1" w:styleId="79">
    <w:name w:val="1正文 Char"/>
    <w:link w:val="80"/>
    <w:qFormat/>
    <w:uiPriority w:val="0"/>
    <w:rPr>
      <w:rFonts w:cs="宋体"/>
      <w:kern w:val="2"/>
      <w:sz w:val="24"/>
    </w:rPr>
  </w:style>
  <w:style w:type="paragraph" w:customStyle="1" w:styleId="80">
    <w:name w:val="1正文"/>
    <w:basedOn w:val="1"/>
    <w:link w:val="79"/>
    <w:qFormat/>
    <w:uiPriority w:val="0"/>
    <w:pPr>
      <w:spacing w:line="360" w:lineRule="auto"/>
      <w:ind w:firstLine="200" w:firstLineChars="200"/>
    </w:pPr>
    <w:rPr>
      <w:rFonts w:cs="宋体"/>
      <w:sz w:val="24"/>
      <w:szCs w:val="20"/>
    </w:rPr>
  </w:style>
  <w:style w:type="character" w:customStyle="1" w:styleId="81">
    <w:name w:val="A表格 Char"/>
    <w:link w:val="82"/>
    <w:qFormat/>
    <w:uiPriority w:val="0"/>
    <w:rPr>
      <w:kern w:val="2"/>
      <w:sz w:val="21"/>
      <w:szCs w:val="21"/>
    </w:rPr>
  </w:style>
  <w:style w:type="paragraph" w:customStyle="1" w:styleId="82">
    <w:name w:val="A表格"/>
    <w:basedOn w:val="1"/>
    <w:link w:val="81"/>
    <w:qFormat/>
    <w:uiPriority w:val="0"/>
    <w:pPr>
      <w:jc w:val="center"/>
    </w:pPr>
    <w:rPr>
      <w:szCs w:val="21"/>
    </w:rPr>
  </w:style>
  <w:style w:type="character" w:customStyle="1" w:styleId="83">
    <w:name w:val="题注 字符"/>
    <w:qFormat/>
    <w:uiPriority w:val="0"/>
    <w:rPr>
      <w:rFonts w:eastAsia="黑体"/>
      <w:kern w:val="2"/>
      <w:sz w:val="21"/>
    </w:rPr>
  </w:style>
  <w:style w:type="paragraph" w:customStyle="1" w:styleId="84">
    <w:name w:val="正文4号"/>
    <w:basedOn w:val="1"/>
    <w:qFormat/>
    <w:uiPriority w:val="0"/>
    <w:pPr>
      <w:adjustRightInd w:val="0"/>
      <w:snapToGrid w:val="0"/>
      <w:spacing w:line="360" w:lineRule="auto"/>
      <w:ind w:firstLine="200" w:firstLineChars="200"/>
    </w:pPr>
    <w:rPr>
      <w:sz w:val="24"/>
    </w:rPr>
  </w:style>
  <w:style w:type="paragraph" w:customStyle="1" w:styleId="8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86">
    <w:name w:val="List Paragraph"/>
    <w:basedOn w:val="1"/>
    <w:qFormat/>
    <w:uiPriority w:val="34"/>
    <w:rPr>
      <w:szCs w:val="28"/>
    </w:rPr>
  </w:style>
  <w:style w:type="paragraph" w:customStyle="1" w:styleId="87">
    <w:name w:val="Body Text 21"/>
    <w:basedOn w:val="1"/>
    <w:qFormat/>
    <w:uiPriority w:val="0"/>
    <w:pPr>
      <w:adjustRightInd w:val="0"/>
      <w:textAlignment w:val="baseline"/>
    </w:pPr>
    <w:rPr>
      <w:rFonts w:ascii="仿宋_GB2312" w:hAnsi="Calibri" w:eastAsia="仿宋体"/>
      <w:sz w:val="24"/>
      <w:szCs w:val="20"/>
    </w:rPr>
  </w:style>
  <w:style w:type="paragraph" w:customStyle="1" w:styleId="88">
    <w:name w:val="中文报告书样式"/>
    <w:basedOn w:val="1"/>
    <w:qFormat/>
    <w:uiPriority w:val="99"/>
    <w:pPr>
      <w:spacing w:line="360" w:lineRule="auto"/>
      <w:ind w:firstLine="480" w:firstLineChars="200"/>
      <w:textAlignment w:val="baseline"/>
    </w:pPr>
    <w:rPr>
      <w:kern w:val="24"/>
      <w:sz w:val="24"/>
      <w:szCs w:val="22"/>
    </w:rPr>
  </w:style>
  <w:style w:type="paragraph" w:customStyle="1" w:styleId="89">
    <w:name w:val="正文-lcc"/>
    <w:basedOn w:val="1"/>
    <w:qFormat/>
    <w:uiPriority w:val="0"/>
    <w:pPr>
      <w:snapToGrid w:val="0"/>
      <w:spacing w:line="360" w:lineRule="auto"/>
      <w:ind w:firstLine="200" w:firstLineChars="200"/>
    </w:pPr>
    <w:rPr>
      <w:rFonts w:ascii="等线" w:hAnsi="等线" w:eastAsia="仿宋"/>
      <w:color w:val="000000"/>
      <w:sz w:val="24"/>
      <w:szCs w:val="20"/>
    </w:rPr>
  </w:style>
  <w:style w:type="paragraph" w:customStyle="1" w:styleId="90">
    <w:name w:val="111表头"/>
    <w:basedOn w:val="1"/>
    <w:qFormat/>
    <w:uiPriority w:val="0"/>
    <w:pPr>
      <w:tabs>
        <w:tab w:val="left" w:pos="600"/>
      </w:tabs>
      <w:spacing w:line="400" w:lineRule="exact"/>
      <w:jc w:val="center"/>
    </w:pPr>
    <w:rPr>
      <w:rFonts w:ascii="Calibri" w:hAnsi="Calibri"/>
      <w:b/>
      <w:kern w:val="0"/>
      <w:sz w:val="24"/>
    </w:rPr>
  </w:style>
  <w:style w:type="paragraph" w:customStyle="1" w:styleId="9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92">
    <w:name w:val="表文字"/>
    <w:basedOn w:val="1"/>
    <w:qFormat/>
    <w:uiPriority w:val="0"/>
    <w:pPr>
      <w:widowControl/>
      <w:jc w:val="center"/>
    </w:pPr>
    <w:rPr>
      <w:kern w:val="0"/>
      <w:szCs w:val="21"/>
    </w:rPr>
  </w:style>
  <w:style w:type="paragraph" w:customStyle="1" w:styleId="93">
    <w:name w:val="正文 首行缩进:  2 字符"/>
    <w:basedOn w:val="1"/>
    <w:qFormat/>
    <w:uiPriority w:val="99"/>
    <w:pPr>
      <w:ind w:firstLine="579" w:firstLineChars="200"/>
    </w:pPr>
    <w:rPr>
      <w:rFonts w:eastAsia="等线" w:cs="宋体"/>
      <w:szCs w:val="20"/>
    </w:rPr>
  </w:style>
  <w:style w:type="character" w:customStyle="1" w:styleId="94">
    <w:name w:val="批注文字 字符"/>
    <w:qFormat/>
    <w:locked/>
    <w:uiPriority w:val="99"/>
    <w:rPr>
      <w:rFonts w:ascii="Times New Roman" w:hAnsi="Times New Roman" w:eastAsia="宋体"/>
      <w:sz w:val="24"/>
    </w:rPr>
  </w:style>
  <w:style w:type="paragraph" w:customStyle="1" w:styleId="95">
    <w:name w:val="Table Paragraph"/>
    <w:basedOn w:val="1"/>
    <w:qFormat/>
    <w:uiPriority w:val="1"/>
    <w:pPr>
      <w:jc w:val="left"/>
    </w:pPr>
    <w:rPr>
      <w:rFonts w:ascii="Calibri" w:hAnsi="Calibri"/>
      <w:kern w:val="0"/>
      <w:sz w:val="22"/>
      <w:szCs w:val="22"/>
      <w:lang w:eastAsia="en-US"/>
    </w:rPr>
  </w:style>
  <w:style w:type="character" w:customStyle="1" w:styleId="96">
    <w:name w:val="正文缩进 字符1"/>
    <w:qFormat/>
    <w:uiPriority w:val="0"/>
    <w:rPr>
      <w:kern w:val="2"/>
      <w:sz w:val="28"/>
    </w:rPr>
  </w:style>
  <w:style w:type="character" w:customStyle="1" w:styleId="97">
    <w:name w:val="标题 3 字符"/>
    <w:semiHidden/>
    <w:qFormat/>
    <w:uiPriority w:val="0"/>
    <w:rPr>
      <w:b/>
      <w:bCs/>
      <w:kern w:val="2"/>
      <w:sz w:val="32"/>
      <w:szCs w:val="32"/>
    </w:rPr>
  </w:style>
  <w:style w:type="character" w:customStyle="1" w:styleId="98">
    <w:name w:val="3 正文 Char"/>
    <w:link w:val="99"/>
    <w:qFormat/>
    <w:uiPriority w:val="0"/>
    <w:rPr>
      <w:kern w:val="2"/>
      <w:sz w:val="24"/>
      <w:szCs w:val="24"/>
      <w:lang w:val="zh-CN"/>
    </w:rPr>
  </w:style>
  <w:style w:type="paragraph" w:customStyle="1" w:styleId="99">
    <w:name w:val="3 正文"/>
    <w:basedOn w:val="1"/>
    <w:link w:val="98"/>
    <w:qFormat/>
    <w:uiPriority w:val="0"/>
    <w:pPr>
      <w:adjustRightInd w:val="0"/>
      <w:snapToGrid w:val="0"/>
      <w:spacing w:line="360" w:lineRule="auto"/>
      <w:ind w:firstLine="480" w:firstLineChars="200"/>
    </w:pPr>
    <w:rPr>
      <w:sz w:val="24"/>
      <w:lang w:val="zh-CN"/>
    </w:rPr>
  </w:style>
  <w:style w:type="character" w:customStyle="1" w:styleId="100">
    <w:name w:val="YY正文 字符"/>
    <w:link w:val="101"/>
    <w:qFormat/>
    <w:uiPriority w:val="0"/>
    <w:rPr>
      <w:kern w:val="2"/>
      <w:sz w:val="24"/>
      <w:szCs w:val="24"/>
      <w:lang w:val="zh-CN"/>
    </w:rPr>
  </w:style>
  <w:style w:type="paragraph" w:customStyle="1" w:styleId="101">
    <w:name w:val="YY正文"/>
    <w:basedOn w:val="1"/>
    <w:link w:val="100"/>
    <w:qFormat/>
    <w:uiPriority w:val="0"/>
    <w:pPr>
      <w:adjustRightInd w:val="0"/>
      <w:snapToGrid w:val="0"/>
      <w:spacing w:line="360" w:lineRule="auto"/>
      <w:ind w:firstLine="200" w:firstLineChars="200"/>
    </w:pPr>
    <w:rPr>
      <w:sz w:val="24"/>
      <w:lang w:val="zh-CN"/>
    </w:rPr>
  </w:style>
  <w:style w:type="character" w:customStyle="1" w:styleId="102">
    <w:name w:val="表、图标题 Char"/>
    <w:link w:val="103"/>
    <w:qFormat/>
    <w:uiPriority w:val="0"/>
    <w:rPr>
      <w:b/>
      <w:bCs/>
      <w:sz w:val="24"/>
      <w:szCs w:val="24"/>
    </w:rPr>
  </w:style>
  <w:style w:type="paragraph" w:customStyle="1" w:styleId="103">
    <w:name w:val="表、图标题"/>
    <w:basedOn w:val="1"/>
    <w:link w:val="102"/>
    <w:qFormat/>
    <w:uiPriority w:val="0"/>
    <w:pPr>
      <w:widowControl/>
      <w:adjustRightInd w:val="0"/>
      <w:snapToGrid w:val="0"/>
      <w:spacing w:line="360" w:lineRule="auto"/>
      <w:jc w:val="center"/>
    </w:pPr>
    <w:rPr>
      <w:b/>
      <w:bCs/>
      <w:kern w:val="0"/>
      <w:sz w:val="24"/>
    </w:rPr>
  </w:style>
  <w:style w:type="paragraph" w:customStyle="1" w:styleId="10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0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06">
    <w:name w:val="列表段落1"/>
    <w:autoRedefine/>
    <w:qFormat/>
    <w:uiPriority w:val="0"/>
    <w:pPr>
      <w:widowControl w:val="0"/>
      <w:ind w:left="420"/>
      <w:jc w:val="center"/>
    </w:pPr>
    <w:rPr>
      <w:rFonts w:ascii="Times New Roman" w:hAnsi="Times New Roman" w:eastAsia="宋体" w:cs="Times New Roman"/>
      <w:b/>
      <w:kern w:val="2"/>
      <w:sz w:val="21"/>
      <w:szCs w:val="21"/>
      <w:lang w:val="en-US" w:eastAsia="zh-CN" w:bidi="ar-SA"/>
    </w:rPr>
  </w:style>
  <w:style w:type="paragraph" w:customStyle="1" w:styleId="107">
    <w:name w:val="表头"/>
    <w:basedOn w:val="1"/>
    <w:link w:val="108"/>
    <w:qFormat/>
    <w:uiPriority w:val="0"/>
    <w:pPr>
      <w:spacing w:line="360" w:lineRule="auto"/>
      <w:jc w:val="center"/>
    </w:pPr>
    <w:rPr>
      <w:rFonts w:eastAsia="仿宋_GB2312" w:cstheme="minorBidi"/>
      <w:b/>
      <w:szCs w:val="22"/>
    </w:rPr>
  </w:style>
  <w:style w:type="character" w:customStyle="1" w:styleId="108">
    <w:name w:val="表头 Char"/>
    <w:link w:val="107"/>
    <w:qFormat/>
    <w:uiPriority w:val="0"/>
    <w:rPr>
      <w:rFonts w:eastAsia="仿宋_GB2312" w:cstheme="minorBidi"/>
      <w:b/>
      <w:kern w:val="2"/>
      <w:sz w:val="21"/>
      <w:szCs w:val="22"/>
    </w:rPr>
  </w:style>
  <w:style w:type="character" w:customStyle="1" w:styleId="109">
    <w:name w:val="表头1 Char Char"/>
    <w:qFormat/>
    <w:uiPriority w:val="0"/>
    <w:rPr>
      <w:rFonts w:ascii="Times New Roman" w:hAnsi="Times New Roman" w:eastAsia="仿宋_GB2312"/>
      <w:sz w:val="21"/>
      <w:szCs w:val="28"/>
    </w:rPr>
  </w:style>
  <w:style w:type="paragraph" w:customStyle="1" w:styleId="110">
    <w:name w:val="仿宋GB正文"/>
    <w:basedOn w:val="1"/>
    <w:link w:val="111"/>
    <w:qFormat/>
    <w:uiPriority w:val="0"/>
    <w:pPr>
      <w:spacing w:line="360" w:lineRule="auto"/>
      <w:ind w:firstLine="200" w:firstLineChars="200"/>
    </w:pPr>
    <w:rPr>
      <w:rFonts w:eastAsia="仿宋_GB2312" w:cstheme="minorBidi"/>
      <w:sz w:val="24"/>
      <w:szCs w:val="22"/>
    </w:rPr>
  </w:style>
  <w:style w:type="character" w:customStyle="1" w:styleId="111">
    <w:name w:val="仿宋GB正文 Char"/>
    <w:link w:val="110"/>
    <w:qFormat/>
    <w:uiPriority w:val="0"/>
    <w:rPr>
      <w:rFonts w:eastAsia="仿宋_GB2312" w:cstheme="minorBidi"/>
      <w:kern w:val="2"/>
      <w:sz w:val="24"/>
      <w:szCs w:val="22"/>
    </w:rPr>
  </w:style>
  <w:style w:type="character" w:customStyle="1" w:styleId="112">
    <w:name w:val="正文文本 2 字符"/>
    <w:basedOn w:val="29"/>
    <w:link w:val="22"/>
    <w:qFormat/>
    <w:uiPriority w:val="0"/>
    <w:rPr>
      <w:kern w:val="2"/>
      <w:sz w:val="21"/>
      <w:szCs w:val="24"/>
    </w:rPr>
  </w:style>
  <w:style w:type="paragraph" w:customStyle="1" w:styleId="113">
    <w:name w:val="列出段落1"/>
    <w:basedOn w:val="1"/>
    <w:next w:val="1"/>
    <w:qFormat/>
    <w:uiPriority w:val="99"/>
    <w:pPr>
      <w:spacing w:line="360" w:lineRule="exact"/>
      <w:jc w:val="center"/>
    </w:pPr>
    <w:rPr>
      <w:color w:val="000000"/>
      <w:szCs w:val="21"/>
    </w:rPr>
  </w:style>
  <w:style w:type="paragraph" w:customStyle="1" w:styleId="114">
    <w:name w:val="*正文"/>
    <w:qFormat/>
    <w:uiPriority w:val="0"/>
    <w:pPr>
      <w:spacing w:line="360" w:lineRule="auto"/>
      <w:ind w:firstLine="200" w:firstLineChars="200"/>
      <w:jc w:val="both"/>
      <w:textAlignment w:val="baseline"/>
    </w:pPr>
    <w:rPr>
      <w:rFonts w:ascii="Times New Roman" w:hAnsi="Times New Roman" w:eastAsia="宋体" w:cs="Times New Roman"/>
      <w:color w:val="000000"/>
      <w:sz w:val="24"/>
      <w:lang w:val="en-US" w:eastAsia="zh-CN" w:bidi="ar-SA"/>
    </w:rPr>
  </w:style>
  <w:style w:type="paragraph" w:customStyle="1" w:styleId="115">
    <w:name w:val="表/图"/>
    <w:basedOn w:val="1"/>
    <w:link w:val="116"/>
    <w:qFormat/>
    <w:uiPriority w:val="0"/>
    <w:pPr>
      <w:adjustRightInd w:val="0"/>
      <w:snapToGrid w:val="0"/>
      <w:spacing w:line="276" w:lineRule="auto"/>
      <w:jc w:val="center"/>
    </w:pPr>
    <w:rPr>
      <w:rFonts w:eastAsia="仿宋"/>
      <w:sz w:val="24"/>
    </w:rPr>
  </w:style>
  <w:style w:type="character" w:customStyle="1" w:styleId="116">
    <w:name w:val="表/图 字符"/>
    <w:link w:val="115"/>
    <w:qFormat/>
    <w:uiPriority w:val="0"/>
    <w:rPr>
      <w:rFonts w:eastAsia="仿宋"/>
      <w:kern w:val="2"/>
      <w:sz w:val="24"/>
      <w:szCs w:val="24"/>
    </w:rPr>
  </w:style>
  <w:style w:type="character" w:customStyle="1" w:styleId="117">
    <w:name w:val="表格 首行文字 Char"/>
    <w:link w:val="118"/>
    <w:qFormat/>
    <w:uiPriority w:val="0"/>
    <w:rPr>
      <w:rFonts w:eastAsia="仿宋_GB2312"/>
      <w:b/>
    </w:rPr>
  </w:style>
  <w:style w:type="paragraph" w:customStyle="1" w:styleId="118">
    <w:name w:val="表格 首行文字"/>
    <w:link w:val="117"/>
    <w:qFormat/>
    <w:uiPriority w:val="0"/>
    <w:pPr>
      <w:snapToGrid w:val="0"/>
      <w:jc w:val="center"/>
    </w:pPr>
    <w:rPr>
      <w:rFonts w:ascii="Times New Roman" w:hAnsi="Times New Roman" w:eastAsia="仿宋_GB2312" w:cs="Times New Roman"/>
      <w:b/>
      <w:lang w:val="en-US" w:eastAsia="zh-CN" w:bidi="ar-SA"/>
    </w:rPr>
  </w:style>
  <w:style w:type="character" w:customStyle="1" w:styleId="119">
    <w:name w:val="表格 普通文字 Char"/>
    <w:link w:val="120"/>
    <w:qFormat/>
    <w:uiPriority w:val="0"/>
    <w:rPr>
      <w:rFonts w:eastAsia="仿宋_GB2312"/>
      <w:szCs w:val="21"/>
    </w:rPr>
  </w:style>
  <w:style w:type="paragraph" w:customStyle="1" w:styleId="120">
    <w:name w:val="表格 普通文字"/>
    <w:link w:val="119"/>
    <w:qFormat/>
    <w:uiPriority w:val="0"/>
    <w:pPr>
      <w:snapToGrid w:val="0"/>
      <w:jc w:val="center"/>
    </w:pPr>
    <w:rPr>
      <w:rFonts w:ascii="Times New Roman" w:hAnsi="Times New Roman" w:eastAsia="仿宋_GB2312" w:cs="Times New Roman"/>
      <w:szCs w:val="21"/>
      <w:lang w:val="en-US" w:eastAsia="zh-CN" w:bidi="ar-SA"/>
    </w:rPr>
  </w:style>
  <w:style w:type="character" w:customStyle="1" w:styleId="121">
    <w:name w:val="YY表头 字符"/>
    <w:link w:val="122"/>
    <w:qFormat/>
    <w:uiPriority w:val="0"/>
    <w:rPr>
      <w:b/>
      <w:bCs/>
      <w:sz w:val="24"/>
    </w:rPr>
  </w:style>
  <w:style w:type="paragraph" w:customStyle="1" w:styleId="122">
    <w:name w:val="YY表头"/>
    <w:basedOn w:val="1"/>
    <w:link w:val="121"/>
    <w:qFormat/>
    <w:uiPriority w:val="0"/>
    <w:pPr>
      <w:adjustRightInd w:val="0"/>
      <w:snapToGrid w:val="0"/>
      <w:spacing w:line="324" w:lineRule="auto"/>
      <w:jc w:val="center"/>
    </w:pPr>
    <w:rPr>
      <w:b/>
      <w:bCs/>
      <w:kern w:val="0"/>
      <w:sz w:val="24"/>
      <w:szCs w:val="20"/>
    </w:rPr>
  </w:style>
  <w:style w:type="paragraph" w:customStyle="1" w:styleId="123">
    <w:name w:val="图片"/>
    <w:basedOn w:val="1"/>
    <w:next w:val="110"/>
    <w:qFormat/>
    <w:uiPriority w:val="0"/>
    <w:pPr>
      <w:jc w:val="center"/>
    </w:pPr>
    <w:rPr>
      <w:rFonts w:eastAsia="仿宋" w:cstheme="minorBidi"/>
      <w:sz w:val="28"/>
      <w:szCs w:val="22"/>
    </w:rPr>
  </w:style>
  <w:style w:type="paragraph" w:customStyle="1" w:styleId="124">
    <w:name w:val="YY书正文"/>
    <w:basedOn w:val="1"/>
    <w:link w:val="125"/>
    <w:qFormat/>
    <w:uiPriority w:val="0"/>
    <w:pPr>
      <w:adjustRightInd w:val="0"/>
      <w:snapToGrid w:val="0"/>
      <w:spacing w:line="324" w:lineRule="auto"/>
      <w:ind w:firstLine="200" w:firstLineChars="200"/>
    </w:pPr>
    <w:rPr>
      <w:rFonts w:eastAsia="仿宋_GB2312"/>
      <w:sz w:val="24"/>
    </w:rPr>
  </w:style>
  <w:style w:type="character" w:customStyle="1" w:styleId="125">
    <w:name w:val="YY书正文 字符"/>
    <w:link w:val="124"/>
    <w:qFormat/>
    <w:uiPriority w:val="0"/>
    <w:rPr>
      <w:rFonts w:eastAsia="仿宋_GB2312"/>
      <w:kern w:val="2"/>
      <w:sz w:val="24"/>
      <w:szCs w:val="24"/>
    </w:rPr>
  </w:style>
  <w:style w:type="paragraph" w:customStyle="1" w:styleId="126">
    <w:name w:val="表格第一行"/>
    <w:basedOn w:val="1"/>
    <w:link w:val="127"/>
    <w:qFormat/>
    <w:uiPriority w:val="0"/>
    <w:pPr>
      <w:jc w:val="center"/>
    </w:pPr>
    <w:rPr>
      <w:rFonts w:eastAsia="仿宋" w:cstheme="minorBidi"/>
      <w:b/>
      <w:szCs w:val="22"/>
    </w:rPr>
  </w:style>
  <w:style w:type="character" w:customStyle="1" w:styleId="127">
    <w:name w:val="表格第一行 字符"/>
    <w:link w:val="126"/>
    <w:qFormat/>
    <w:uiPriority w:val="0"/>
    <w:rPr>
      <w:rFonts w:eastAsia="仿宋" w:cstheme="minorBidi"/>
      <w:b/>
      <w:kern w:val="2"/>
      <w:sz w:val="21"/>
      <w:szCs w:val="22"/>
    </w:rPr>
  </w:style>
  <w:style w:type="character" w:customStyle="1" w:styleId="128">
    <w:name w:val="书籍标题1"/>
    <w:qFormat/>
    <w:uiPriority w:val="33"/>
    <w:rPr>
      <w:rFonts w:eastAsia="宋体"/>
      <w:b/>
      <w:bCs/>
      <w:sz w:val="30"/>
      <w:szCs w:val="30"/>
    </w:rPr>
  </w:style>
  <w:style w:type="paragraph" w:customStyle="1" w:styleId="129">
    <w:name w:val="报告文本"/>
    <w:basedOn w:val="1"/>
    <w:link w:val="130"/>
    <w:qFormat/>
    <w:uiPriority w:val="0"/>
    <w:pPr>
      <w:spacing w:line="500" w:lineRule="exact"/>
      <w:ind w:firstLine="420" w:firstLineChars="200"/>
    </w:pPr>
    <w:rPr>
      <w:rFonts w:eastAsiaTheme="minorEastAsia" w:cstheme="minorBidi"/>
      <w:sz w:val="24"/>
    </w:rPr>
  </w:style>
  <w:style w:type="character" w:customStyle="1" w:styleId="130">
    <w:name w:val="报告文本 Char"/>
    <w:link w:val="129"/>
    <w:qFormat/>
    <w:uiPriority w:val="0"/>
    <w:rPr>
      <w:rFonts w:eastAsiaTheme="minorEastAsia" w:cstheme="minorBidi"/>
      <w:kern w:val="2"/>
      <w:sz w:val="24"/>
      <w:szCs w:val="24"/>
    </w:rPr>
  </w:style>
  <w:style w:type="paragraph" w:customStyle="1" w:styleId="131">
    <w:name w:val="表格内文字"/>
    <w:basedOn w:val="1"/>
    <w:next w:val="1"/>
    <w:qFormat/>
    <w:uiPriority w:val="0"/>
    <w:pPr>
      <w:tabs>
        <w:tab w:val="left" w:pos="0"/>
      </w:tabs>
      <w:jc w:val="center"/>
    </w:pPr>
    <w:rPr>
      <w:rFonts w:ascii="Calibri" w:hAnsi="Calibri"/>
      <w:bCs/>
      <w:spacing w:val="4"/>
      <w:kern w:val="18"/>
      <w:szCs w:val="22"/>
    </w:rPr>
  </w:style>
  <w:style w:type="paragraph" w:customStyle="1" w:styleId="132">
    <w:name w:val="1表格内字体"/>
    <w:basedOn w:val="1"/>
    <w:qFormat/>
    <w:uiPriority w:val="0"/>
    <w:pPr>
      <w:snapToGrid w:val="0"/>
      <w:jc w:val="center"/>
    </w:pPr>
    <w:rPr>
      <w:szCs w:val="21"/>
    </w:rPr>
  </w:style>
  <w:style w:type="paragraph" w:customStyle="1" w:styleId="13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kern w:val="0"/>
      <w:szCs w:val="21"/>
    </w:rPr>
  </w:style>
  <w:style w:type="paragraph" w:customStyle="1" w:styleId="134">
    <w:name w:val="表格 居中"/>
    <w:basedOn w:val="1"/>
    <w:qFormat/>
    <w:uiPriority w:val="0"/>
    <w:pPr>
      <w:snapToGrid w:val="0"/>
      <w:spacing w:line="240" w:lineRule="auto"/>
      <w:jc w:val="center"/>
    </w:pPr>
  </w:style>
  <w:style w:type="paragraph" w:customStyle="1" w:styleId="135">
    <w:name w:val="正文1"/>
    <w:basedOn w:val="1"/>
    <w:link w:val="144"/>
    <w:qFormat/>
    <w:uiPriority w:val="0"/>
    <w:pPr>
      <w:snapToGrid w:val="0"/>
      <w:spacing w:line="360" w:lineRule="auto"/>
      <w:ind w:firstLine="428" w:firstLineChars="200"/>
      <w:jc w:val="both"/>
      <w:outlineLvl w:val="4"/>
    </w:pPr>
    <w:rPr>
      <w:spacing w:val="4"/>
      <w:szCs w:val="21"/>
    </w:rPr>
  </w:style>
  <w:style w:type="paragraph" w:customStyle="1" w:styleId="136">
    <w:name w:val="！正文"/>
    <w:basedOn w:val="1"/>
    <w:qFormat/>
    <w:uiPriority w:val="0"/>
    <w:pPr>
      <w:widowControl w:val="0"/>
      <w:adjustRightInd w:val="0"/>
      <w:snapToGrid w:val="0"/>
      <w:spacing w:line="360" w:lineRule="auto"/>
      <w:ind w:firstLine="200" w:firstLineChars="200"/>
      <w:jc w:val="both"/>
    </w:pPr>
    <w:rPr>
      <w:rFonts w:cs="Times New Roman"/>
      <w:kern w:val="2"/>
      <w:sz w:val="21"/>
      <w:szCs w:val="21"/>
    </w:rPr>
  </w:style>
  <w:style w:type="paragraph" w:customStyle="1" w:styleId="137">
    <w:name w:val="图表标题"/>
    <w:basedOn w:val="1"/>
    <w:qFormat/>
    <w:uiPriority w:val="0"/>
    <w:pPr>
      <w:autoSpaceDE w:val="0"/>
      <w:autoSpaceDN w:val="0"/>
      <w:adjustRightInd w:val="0"/>
      <w:snapToGrid w:val="0"/>
      <w:jc w:val="center"/>
    </w:pPr>
    <w:rPr>
      <w:rFonts w:cs="Times New Roman"/>
      <w:b/>
      <w:kern w:val="2"/>
      <w:sz w:val="21"/>
      <w:szCs w:val="21"/>
    </w:rPr>
  </w:style>
  <w:style w:type="paragraph" w:customStyle="1" w:styleId="138">
    <w:name w:val="小四宋居中1.0"/>
    <w:basedOn w:val="1"/>
    <w:next w:val="1"/>
    <w:qFormat/>
    <w:uiPriority w:val="0"/>
    <w:pPr>
      <w:spacing w:line="400" w:lineRule="exact"/>
      <w:jc w:val="center"/>
    </w:pPr>
    <w:rPr>
      <w:rFonts w:ascii="宋体" w:hAnsi="宋体"/>
      <w:sz w:val="24"/>
    </w:rPr>
  </w:style>
  <w:style w:type="paragraph" w:customStyle="1" w:styleId="139">
    <w:name w:val="列表2"/>
    <w:basedOn w:val="1"/>
    <w:qFormat/>
    <w:uiPriority w:val="0"/>
    <w:pPr>
      <w:spacing w:line="360" w:lineRule="exact"/>
      <w:jc w:val="center"/>
    </w:pPr>
    <w:rPr>
      <w:rFonts w:ascii="仿宋_GB2312" w:eastAsia="仿宋_GB2312"/>
    </w:rPr>
  </w:style>
  <w:style w:type="paragraph" w:customStyle="1" w:styleId="140">
    <w:name w:val="1正文--使用此"/>
    <w:basedOn w:val="1"/>
    <w:qFormat/>
    <w:uiPriority w:val="0"/>
    <w:pPr>
      <w:spacing w:line="360" w:lineRule="auto"/>
      <w:ind w:firstLine="720" w:firstLineChars="200"/>
    </w:pPr>
    <w:rPr>
      <w:kern w:val="0"/>
      <w:sz w:val="20"/>
      <w:szCs w:val="20"/>
    </w:rPr>
  </w:style>
  <w:style w:type="paragraph" w:customStyle="1" w:styleId="141">
    <w:name w:val="首行缩进"/>
    <w:basedOn w:val="1"/>
    <w:qFormat/>
    <w:uiPriority w:val="0"/>
    <w:pPr>
      <w:spacing w:line="360" w:lineRule="auto"/>
      <w:ind w:firstLine="480" w:firstLineChars="200"/>
    </w:pPr>
    <w:rPr>
      <w:sz w:val="24"/>
    </w:rPr>
  </w:style>
  <w:style w:type="paragraph" w:customStyle="1" w:styleId="142">
    <w:name w:val="UserStyle_8"/>
    <w:basedOn w:val="1"/>
    <w:next w:val="1"/>
    <w:qFormat/>
    <w:uiPriority w:val="0"/>
    <w:pPr>
      <w:widowControl/>
      <w:snapToGrid w:val="0"/>
      <w:spacing w:line="259" w:lineRule="auto"/>
      <w:jc w:val="center"/>
      <w:textAlignment w:val="baseline"/>
    </w:pPr>
    <w:rPr>
      <w:rFonts w:ascii="宋体"/>
      <w:kern w:val="0"/>
      <w:szCs w:val="20"/>
    </w:rPr>
  </w:style>
  <w:style w:type="paragraph" w:customStyle="1" w:styleId="143">
    <w:name w:val="常用表格样式"/>
    <w:qFormat/>
    <w:uiPriority w:val="0"/>
    <w:pPr>
      <w:widowControl w:val="0"/>
      <w:adjustRightInd w:val="0"/>
      <w:jc w:val="center"/>
    </w:pPr>
    <w:rPr>
      <w:rFonts w:ascii="宋体" w:hAnsi="宋体" w:eastAsia="仿宋" w:cs="宋体"/>
      <w:color w:val="000000"/>
      <w:kern w:val="2"/>
      <w:sz w:val="18"/>
      <w:szCs w:val="18"/>
      <w:lang w:val="en-US" w:eastAsia="zh-CN" w:bidi="ar-SA"/>
    </w:rPr>
  </w:style>
  <w:style w:type="character" w:customStyle="1" w:styleId="144">
    <w:name w:val="正文1 Char"/>
    <w:link w:val="135"/>
    <w:qFormat/>
    <w:uiPriority w:val="0"/>
    <w:rPr>
      <w:spacing w:val="4"/>
      <w:szCs w:val="21"/>
    </w:rPr>
  </w:style>
  <w:style w:type="paragraph" w:customStyle="1" w:styleId="145">
    <w:name w:val="1图表标题"/>
    <w:basedOn w:val="1"/>
    <w:next w:val="140"/>
    <w:qFormat/>
    <w:uiPriority w:val="0"/>
    <w:pPr>
      <w:snapToGrid w:val="0"/>
      <w:spacing w:line="240" w:lineRule="auto"/>
      <w:jc w:val="center"/>
    </w:pPr>
    <w:rPr>
      <w:bCs/>
      <w:szCs w:val="20"/>
    </w:rPr>
  </w:style>
  <w:style w:type="table" w:customStyle="1" w:styleId="146">
    <w:name w:val="网格型1"/>
    <w:basedOn w:val="27"/>
    <w:qFormat/>
    <w:uiPriority w:val="99"/>
    <w:pPr>
      <w:adjustRightInd w:val="0"/>
      <w:snapToGrid w:val="0"/>
      <w:jc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Times New Roman" w:hAnsi="Times New Roman" w:eastAsia="宋体"/>
        <w:b/>
        <w:sz w:val="21"/>
      </w:rPr>
      <w:tcPr>
        <w:tcBorders>
          <w:top w:val="single" w:color="auto" w:sz="4" w:space="0"/>
          <w:left w:val="nil"/>
          <w:bottom w:val="single" w:color="auto" w:sz="4" w:space="0"/>
          <w:right w:val="nil"/>
          <w:insideH w:val="nil"/>
          <w:insideV w:val="nil"/>
          <w:tl2br w:val="nil"/>
          <w:tr2bl w:val="nil"/>
        </w:tcBorders>
      </w:tcPr>
    </w:tblStylePr>
  </w:style>
  <w:style w:type="paragraph" w:customStyle="1" w:styleId="147">
    <w:name w:val="样式5"/>
    <w:basedOn w:val="148"/>
    <w:next w:val="1"/>
    <w:qFormat/>
    <w:uiPriority w:val="0"/>
    <w:pPr>
      <w:adjustRightInd w:val="0"/>
      <w:snapToGrid w:val="0"/>
    </w:pPr>
    <w:rPr>
      <w:rFonts w:eastAsia="仿宋_GB2312" w:asciiTheme="minorHAnsi" w:hAnsiTheme="minorHAnsi" w:cstheme="minorBidi"/>
      <w:sz w:val="24"/>
    </w:rPr>
  </w:style>
  <w:style w:type="paragraph" w:customStyle="1" w:styleId="148">
    <w:name w:val="图框文字"/>
    <w:basedOn w:val="1"/>
    <w:qFormat/>
    <w:uiPriority w:val="0"/>
    <w:pPr>
      <w:jc w:val="center"/>
      <w:textAlignment w:val="center"/>
    </w:pPr>
  </w:style>
  <w:style w:type="paragraph" w:customStyle="1" w:styleId="149">
    <w:name w:val="正文（首行缩进）"/>
    <w:basedOn w:val="1"/>
    <w:qFormat/>
    <w:uiPriority w:val="0"/>
    <w:pPr>
      <w:ind w:firstLine="480"/>
      <w:jc w:val="left"/>
    </w:pPr>
    <w:rPr>
      <w:snapToGrid w:val="0"/>
      <w:kern w:val="0"/>
    </w:rPr>
  </w:style>
  <w:style w:type="paragraph" w:customStyle="1" w:styleId="150">
    <w:name w:val="xl24"/>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2.wmf"/><Relationship Id="rId25" Type="http://schemas.openxmlformats.org/officeDocument/2006/relationships/oleObject" Target="embeddings/oleObject7.bin"/><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oleObject" Target="embeddings/oleObject6.bin"/><Relationship Id="rId21" Type="http://schemas.openxmlformats.org/officeDocument/2006/relationships/image" Target="media/image9.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4.bin"/><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3E29A-A6FA-4CB8-9FAA-AFB25EF550A1}">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41</Pages>
  <Words>11801</Words>
  <Characters>12453</Characters>
  <Lines>597</Lines>
  <Paragraphs>168</Paragraphs>
  <TotalTime>8</TotalTime>
  <ScaleCrop>false</ScaleCrop>
  <LinksUpToDate>false</LinksUpToDate>
  <CharactersWithSpaces>12475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2025-09-10T07:08:00Z</dcterms:created>
  <dc:creator>lhj</dc:creator>
  <cp:lastModifiedBy>FF</cp:lastModifiedBy>
  <cp:lastPrinted>2025-09-12T04:16:00Z</cp:lastPrinted>
  <dcterms:modified xsi:type="dcterms:W3CDTF">2026-02-02T03:01:43Z</dcterms:modified>
  <dc:title>附件2</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eyJoZGlkIjoiNzM5NmYxNWY5MjQzMzM3Y2I5MjFkZTQxZjJlZWFmODAiLCJ1c2VySWQiOiIzMjQzNDg5NzUifQ==</vt:lpwstr>
  </property>
  <property fmtid="{D5CDD505-2E9C-101B-9397-08002B2CF9AE}" pid="4" name="ICV">
    <vt:lpwstr>D73B71A8CC504C209DDE8381C005A366_12</vt:lpwstr>
  </property>
</Properties>
</file>