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A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eastAsia="方正小标宋_GBK"/>
          <w:bCs/>
          <w:sz w:val="44"/>
          <w:lang w:val="en-US" w:eastAsia="zh-CN"/>
        </w:rPr>
      </w:pPr>
      <w:r>
        <w:rPr>
          <w:rFonts w:hint="eastAsia" w:eastAsia="方正小标宋_GBK"/>
          <w:bCs/>
          <w:sz w:val="44"/>
          <w:lang w:val="en-US" w:eastAsia="zh-CN"/>
        </w:rPr>
        <w:t>2025年度江阴市科学技术局政府信息公开</w:t>
      </w:r>
    </w:p>
    <w:p w14:paraId="2BFF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eastAsia="方正小标宋_GBK"/>
          <w:bCs/>
          <w:sz w:val="44"/>
          <w:lang w:val="en-US" w:eastAsia="zh-CN"/>
        </w:rPr>
      </w:pPr>
      <w:r>
        <w:rPr>
          <w:rFonts w:hint="eastAsia" w:eastAsia="方正小标宋_GBK"/>
          <w:bCs/>
          <w:sz w:val="44"/>
          <w:lang w:val="en-US" w:eastAsia="zh-CN"/>
        </w:rPr>
        <w:t>工作年报</w:t>
      </w:r>
    </w:p>
    <w:p w14:paraId="13B9D332">
      <w:pPr>
        <w:rPr>
          <w:rFonts w:hint="eastAsia"/>
          <w:lang w:val="en-US" w:eastAsia="zh-CN"/>
        </w:rPr>
      </w:pPr>
    </w:p>
    <w:p w14:paraId="66904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年报是根据《江阴市政府信息公开规定》要求，由江阴市科技局编制的2025年度政府信息公开年度报告。全文包括总体情况、主动公开政府信息情况、收到和处理政府信息公开申请情况、政府信息公开行政复议、行政诉讼情况、存在的主要问题及改进情况。</w:t>
      </w:r>
    </w:p>
    <w:p w14:paraId="14792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方正黑体_GBK"/>
          <w:bCs/>
          <w:lang w:val="en-US" w:eastAsia="zh-CN"/>
        </w:rPr>
      </w:pPr>
      <w:r>
        <w:rPr>
          <w:rFonts w:hint="eastAsia" w:eastAsia="方正黑体_GBK"/>
          <w:bCs/>
          <w:lang w:val="en-US" w:eastAsia="zh-CN"/>
        </w:rPr>
        <w:t>一、总体情况</w:t>
      </w:r>
    </w:p>
    <w:p w14:paraId="4EB3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一是严格规范执行，夯实主动公开基础。</w:t>
      </w:r>
      <w:r>
        <w:rPr>
          <w:rFonts w:hint="eastAsia"/>
          <w:lang w:val="en-US" w:eastAsia="zh-CN"/>
        </w:rPr>
        <w:t>认真落实信息公开相关规定，持续做好网站政务公开专栏的维护与更新。今年以来，我局通过网站“信息公开”专栏，主动公开政府信息</w:t>
      </w:r>
      <w:r>
        <w:rPr>
          <w:rFonts w:hint="eastAsia"/>
          <w:highlight w:val="none"/>
          <w:lang w:val="en-US" w:eastAsia="zh-CN"/>
        </w:rPr>
        <w:t>11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条</w:t>
      </w:r>
      <w:r>
        <w:rPr>
          <w:rFonts w:hint="eastAsia"/>
          <w:lang w:val="en-US" w:eastAsia="zh-CN"/>
        </w:rPr>
        <w:t>；按照规定及时更新机构概况，并向市档案局报送纸质和电子版本新公开政府信息。此外，依托局网站“科技动态”“工作动态”“科技项目”等栏目，及时向社会公布科技领域相关工作信息，保障公众知情权。</w:t>
      </w:r>
    </w:p>
    <w:p w14:paraId="73356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二是加强动态管理，健全监督保障机制。</w:t>
      </w:r>
      <w:r>
        <w:rPr>
          <w:rFonts w:hint="eastAsia"/>
          <w:lang w:val="en-US" w:eastAsia="zh-CN"/>
        </w:rPr>
        <w:t>我局进一步强化信息日常维护与动态更新，确保公众及时准确获取我局相关政府信息。严格执行《中华人民共和国保守国家秘密法》《江阴市政府信息公开规定》等法规，定期梳理并补充新增信息，做到应公开尽公开、数据报送全面准确。严格落实信息发布保密审查程序，自觉接受社会各界监督，认真听取意见建议，及时研究解决政务公开工作中发现的问题，持续优化公开流程与效果。</w:t>
      </w:r>
    </w:p>
    <w:p w14:paraId="4B41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三是完善审核机制，及时回应社会关切。</w:t>
      </w:r>
      <w:r>
        <w:rPr>
          <w:rFonts w:hint="eastAsia"/>
          <w:lang w:val="en-US" w:eastAsia="zh-CN"/>
        </w:rPr>
        <w:t>建立健全信息发布审核与民意反馈机制，不断畅通民意收集渠道。密切关注社会舆论动向，对公众关切和合理诉求第一时间响应、依法依规答复。在实际工作中注重听取群众意见，将社会反馈作为改进工作的重要依据，切实提升政务公开工作质量与社会满意度。</w:t>
      </w:r>
    </w:p>
    <w:p w14:paraId="1E0C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黑体_GBK"/>
          <w:bCs/>
          <w:lang w:val="en-US" w:eastAsia="zh-CN"/>
        </w:rPr>
      </w:pPr>
      <w:r>
        <w:rPr>
          <w:rFonts w:hint="eastAsia" w:ascii="Times New Roman" w:hAnsi="Times New Roman" w:eastAsia="方正黑体_GBK"/>
          <w:bCs/>
          <w:lang w:val="en-US" w:eastAsia="zh-CN"/>
        </w:rPr>
        <w:t>二、主动公开政府信息情况</w:t>
      </w:r>
    </w:p>
    <w:tbl>
      <w:tblPr>
        <w:tblStyle w:val="5"/>
        <w:tblW w:w="90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536"/>
        <w:gridCol w:w="2536"/>
        <w:gridCol w:w="1890"/>
      </w:tblGrid>
      <w:tr w14:paraId="6AC3E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7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112095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 w14:paraId="2A587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01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591E9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D4AA5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9FDCE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本年废止件数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95CFD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现行有效件</w:t>
            </w: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数</w:t>
            </w:r>
          </w:p>
        </w:tc>
      </w:tr>
      <w:tr w14:paraId="2CBD3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01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8DC5D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C5AA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8B770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87109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10713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01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8198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95894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C6D6F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楷体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7AB0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楷体_GBK"/>
                <w:sz w:val="21"/>
                <w:szCs w:val="21"/>
                <w:lang w:val="en-US" w:eastAsia="zh-CN"/>
              </w:rPr>
              <w:t>1</w:t>
            </w:r>
          </w:p>
        </w:tc>
      </w:tr>
      <w:tr w14:paraId="66C4F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700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AF458F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 w14:paraId="264EF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01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10996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66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CC38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 w14:paraId="6B23E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01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9F244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66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1712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楷体_GBK"/>
                <w:sz w:val="21"/>
                <w:szCs w:val="21"/>
                <w:lang w:val="en-US" w:eastAsia="zh-CN"/>
              </w:rPr>
              <w:t>230</w:t>
            </w:r>
          </w:p>
        </w:tc>
      </w:tr>
      <w:tr w14:paraId="2A10D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700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138A7A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 w14:paraId="5710B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01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E8EEB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66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3F3F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 w14:paraId="55DAE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01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CF14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66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8D565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35860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01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00653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66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29771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5489F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700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F81D55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 w14:paraId="29E24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01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28817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66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48C6D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本年收费金额（单位：万元）</w:t>
            </w:r>
          </w:p>
        </w:tc>
      </w:tr>
      <w:tr w14:paraId="6B371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01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F5236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668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127A97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CBC85AD">
      <w:pPr>
        <w:tabs>
          <w:tab w:val="left" w:pos="2066"/>
        </w:tabs>
        <w:spacing w:line="20" w:lineRule="exact"/>
        <w:ind w:left="51"/>
        <w:jc w:val="left"/>
        <w:rPr>
          <w:rFonts w:hint="eastAsia" w:ascii="Times New Roman" w:hAnsi="Times New Roman" w:eastAsia="方正楷体_GBK"/>
          <w:sz w:val="21"/>
          <w:szCs w:val="21"/>
        </w:rPr>
      </w:pPr>
      <w:r>
        <w:rPr>
          <w:rFonts w:hint="eastAsia" w:ascii="Times New Roman" w:hAnsi="Times New Roman" w:eastAsia="方正楷体_GBK" w:cs="宋体"/>
          <w:color w:val="000000"/>
          <w:kern w:val="0"/>
          <w:sz w:val="21"/>
          <w:szCs w:val="21"/>
        </w:rPr>
        <w:tab/>
      </w:r>
    </w:p>
    <w:p w14:paraId="1E35C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/>
          <w:bCs/>
          <w:lang w:val="en-US" w:eastAsia="zh-CN"/>
        </w:rPr>
      </w:pPr>
      <w:r>
        <w:rPr>
          <w:rFonts w:hint="eastAsia" w:ascii="Times New Roman" w:hAnsi="Times New Roman" w:eastAsia="方正黑体_GBK"/>
          <w:bCs/>
          <w:lang w:val="en-US" w:eastAsia="zh-CN"/>
        </w:rPr>
        <w:t>三、</w:t>
      </w:r>
      <w:r>
        <w:rPr>
          <w:rFonts w:hint="default" w:ascii="Times New Roman" w:hAnsi="Times New Roman" w:eastAsia="方正黑体_GBK"/>
          <w:bCs/>
          <w:lang w:val="en-US" w:eastAsia="zh-CN"/>
        </w:rPr>
        <w:t>收到和处理政府信息公开申请情况</w:t>
      </w:r>
    </w:p>
    <w:tbl>
      <w:tblPr>
        <w:tblStyle w:val="5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875"/>
        <w:gridCol w:w="2973"/>
        <w:gridCol w:w="638"/>
        <w:gridCol w:w="643"/>
        <w:gridCol w:w="642"/>
        <w:gridCol w:w="643"/>
        <w:gridCol w:w="643"/>
        <w:gridCol w:w="651"/>
        <w:gridCol w:w="642"/>
      </w:tblGrid>
      <w:tr w14:paraId="59691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534" w:type="dxa"/>
            <w:gridSpan w:val="3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B46C1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楷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楷体"/>
                <w:kern w:val="0"/>
                <w:sz w:val="21"/>
                <w:szCs w:val="21"/>
              </w:rPr>
              <w:t>（本列数据的勾稽关系为：第一项加第二项</w:t>
            </w:r>
          </w:p>
          <w:p w14:paraId="400CFA1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楷体"/>
                <w:kern w:val="0"/>
                <w:sz w:val="21"/>
                <w:szCs w:val="21"/>
              </w:rPr>
              <w:t>之和，等于第三项加第四项之和）</w:t>
            </w:r>
          </w:p>
        </w:tc>
        <w:tc>
          <w:tcPr>
            <w:tcW w:w="4479" w:type="dxa"/>
            <w:gridSpan w:val="7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6D3D2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申请人情况</w:t>
            </w:r>
          </w:p>
        </w:tc>
      </w:tr>
      <w:tr w14:paraId="5A313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534" w:type="dxa"/>
            <w:gridSpan w:val="3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484BB7">
            <w:pPr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261FB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3206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EEECA1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63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603F5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总计</w:t>
            </w:r>
          </w:p>
        </w:tc>
      </w:tr>
      <w:tr w14:paraId="6968F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534" w:type="dxa"/>
            <w:gridSpan w:val="3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3599CA4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635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8A36DE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64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C49C55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商业</w:t>
            </w:r>
          </w:p>
          <w:p w14:paraId="0A9A534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企业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3E4A9B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科研</w:t>
            </w:r>
          </w:p>
          <w:p w14:paraId="04ACF3B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机构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B9DAA9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FE6D75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430C22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其他</w:t>
            </w:r>
          </w:p>
        </w:tc>
        <w:tc>
          <w:tcPr>
            <w:tcW w:w="63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C9923D0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</w:tr>
      <w:tr w14:paraId="3AD94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534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C147C3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300A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035F7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9EDE2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68296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103AA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1A67F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E37C1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1</w:t>
            </w:r>
          </w:p>
        </w:tc>
      </w:tr>
      <w:tr w14:paraId="6C2F2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534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DC88F3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1EC45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E79D2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BCA69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FD4D5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08141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6D049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14658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4F381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6BD5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三、</w:t>
            </w:r>
          </w:p>
          <w:p w14:paraId="6ADFF6FB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本年度</w:t>
            </w:r>
          </w:p>
          <w:p w14:paraId="1AE7245D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办理</w:t>
            </w:r>
          </w:p>
          <w:p w14:paraId="6BF9CF7E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结果</w:t>
            </w:r>
          </w:p>
        </w:tc>
        <w:tc>
          <w:tcPr>
            <w:tcW w:w="3828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757575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（一）</w:t>
            </w:r>
            <w:r>
              <w:rPr>
                <w:rFonts w:hint="eastAsia" w:ascii="Times New Roman" w:hAnsi="Times New Roman" w:eastAsia="方正楷体_GBK"/>
                <w:sz w:val="21"/>
                <w:szCs w:val="21"/>
              </w:rPr>
              <w:t>予以</w:t>
            </w: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公开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460D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20F33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0CADD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0A5C3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42B4E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CE7B3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89451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1</w:t>
            </w:r>
          </w:p>
        </w:tc>
      </w:tr>
      <w:tr w14:paraId="76F71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B51F9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6D5027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（二）部分公开</w:t>
            </w:r>
            <w:r>
              <w:rPr>
                <w:rFonts w:hint="eastAsia" w:ascii="Times New Roman" w:hAnsi="Times New Roman" w:eastAsia="方正楷体_GBK" w:cs="楷体"/>
                <w:kern w:val="0"/>
                <w:sz w:val="21"/>
                <w:szCs w:val="21"/>
              </w:rPr>
              <w:t>（区分处理的，只计这一情形，不计其他情形）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1B03C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D697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141F9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28887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C6AD2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6D82C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5E77A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420D8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F71CA4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A9CB4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（三）</w:t>
            </w:r>
          </w:p>
          <w:p w14:paraId="0E2F8B5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不予</w:t>
            </w:r>
          </w:p>
          <w:p w14:paraId="54AE025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公开</w:t>
            </w: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C20FA8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1．属于国家秘密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88765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9FE54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497BA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14E95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0BBD5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86DB2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B99F9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617BF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82B26B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5CA885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71C43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2．其他法律行政法规禁止公开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98EF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D6058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D23BD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A64A9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4D2C7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66A83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43515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6982B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92CFA5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7227CF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BE3ED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3．危及“三安全一稳定”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1006C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3D823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D2633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C5F52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C0F92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60EC2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7E9F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791FA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F043CD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BA98F0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0C35E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4．保护第三方合法权益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E065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F0F61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BBA96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29140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53822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B8ADB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838B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157CA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BFC09F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FBB10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30A4DD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5．属于三类内部事务信息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9D7DC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71B2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4656E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CADFC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C9C1E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8008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EAF04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50719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9F232F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DD8FBB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AA9687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6．属于四类过程性信息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CF4B3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3D0E2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909FC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CB62E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FA6D6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3066D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FDCD3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5A95A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837061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150542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5989D2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7．属于行政执法案卷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E93D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FAB83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551D0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0C960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03D67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275EA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05AC9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33447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A623DE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45CAC6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34A4FB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8．属于行政查询事项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4EDF7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C3247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D6339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BF87F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3B856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3A826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CBE3E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16E15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19C35D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587F3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（四）</w:t>
            </w:r>
          </w:p>
          <w:p w14:paraId="28F8EDD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无法</w:t>
            </w:r>
          </w:p>
          <w:p w14:paraId="7B2EBD9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提供</w:t>
            </w: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1C3A3E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1．本机关不掌握相关政府信息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AA5DE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4F387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46E12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E53C1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C63F3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6BAEB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D320E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483CE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6F81C8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FEC35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816CB2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2．没有现成信息需要另行制作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AA7B7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D9873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1BCF6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0534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9AF3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8254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3645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5E5FF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47789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A65F8A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08CF82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3．补正后申请内容仍不明确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8AAB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D80F3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B8683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4902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D159D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A7B9A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45CBB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398FD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547EB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03B5D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（五）</w:t>
            </w:r>
          </w:p>
          <w:p w14:paraId="243D7EE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不予</w:t>
            </w:r>
          </w:p>
          <w:p w14:paraId="39F3751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处理</w:t>
            </w: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8CCA50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1．信访举报投诉类申请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38C8A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E4B9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53909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773F9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9F110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987C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CE3ED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425FD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3088C1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68B5EF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1897A8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2．重复申请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E1636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B9742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EEAB2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2C4EE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4CA7E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9B290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142F9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631DC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B36089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723E36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1882B4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3．要求提供公开出版物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D4BC6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93B60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37389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EA978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EF299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37A5B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AFF37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1811B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1776D9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DAD9F2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04D945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4．无正当理由大量反复申请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9600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D1E49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6F02F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F7CEF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504F4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D85EE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F45F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4A628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BAD22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F0EA4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421FCC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75980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CE6D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58095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4949D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1FCDB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F177F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5F0A7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76A8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150A0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46F74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（六）</w:t>
            </w:r>
          </w:p>
          <w:p w14:paraId="43745AF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其他</w:t>
            </w:r>
          </w:p>
          <w:p w14:paraId="6B71744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处理</w:t>
            </w: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8E2A33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1．申请人无正当理由逾期不补正、行政机关不再处理其政府信息公开申请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6372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80CFF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4B93F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8E2ED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F5648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A13C7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A7647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28B3F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1924DC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CDC3D7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A0D2AC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2．申请人逾期未按收费通知要求缴纳费用、行政机关不再处理其政府信息公开申请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BDF7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F99F0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A7A3C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8BBC1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E62AA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C3E5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F11D0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7DFFA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9A95C6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0E2D2E">
            <w:pPr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1557C9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3．其他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D7548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1C8CC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B97D5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46E08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A0EDB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CA565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47B20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  <w:tr w14:paraId="1D310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06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D9E3C0">
            <w:pPr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0B4757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0F01F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B259C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BF9A5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8050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D44AF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2673C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ACFD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1</w:t>
            </w:r>
          </w:p>
        </w:tc>
      </w:tr>
      <w:tr w14:paraId="5AF3C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534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587232">
            <w:pPr>
              <w:widowControl/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 w:cs="宋体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6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7E91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11215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AEE57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8E12D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9B692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3FE19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1856F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5A35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/>
          <w:bCs/>
          <w:lang w:val="en-US" w:eastAsia="zh-CN"/>
        </w:rPr>
      </w:pPr>
      <w:r>
        <w:rPr>
          <w:rFonts w:hint="eastAsia" w:ascii="Times New Roman" w:hAnsi="Times New Roman" w:eastAsia="方正黑体_GBK"/>
          <w:bCs/>
          <w:lang w:val="en-US" w:eastAsia="zh-CN"/>
        </w:rPr>
        <w:t>四、</w:t>
      </w:r>
      <w:r>
        <w:rPr>
          <w:rFonts w:hint="default" w:ascii="Times New Roman" w:hAnsi="Times New Roman" w:eastAsia="方正黑体_GBK"/>
          <w:bCs/>
          <w:lang w:val="en-US" w:eastAsia="zh-CN"/>
        </w:rPr>
        <w:t>政府信息公开行政复议、行政诉讼情况</w:t>
      </w:r>
    </w:p>
    <w:tbl>
      <w:tblPr>
        <w:tblStyle w:val="5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603"/>
        <w:gridCol w:w="604"/>
        <w:gridCol w:w="603"/>
        <w:gridCol w:w="614"/>
        <w:gridCol w:w="603"/>
        <w:gridCol w:w="603"/>
        <w:gridCol w:w="604"/>
        <w:gridCol w:w="604"/>
        <w:gridCol w:w="605"/>
        <w:gridCol w:w="603"/>
        <w:gridCol w:w="604"/>
        <w:gridCol w:w="604"/>
        <w:gridCol w:w="603"/>
        <w:gridCol w:w="600"/>
      </w:tblGrid>
      <w:tr w14:paraId="29112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7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D52F1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033" w:type="dxa"/>
            <w:gridSpan w:val="10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922E9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行政诉讼</w:t>
            </w:r>
          </w:p>
        </w:tc>
      </w:tr>
      <w:tr w14:paraId="2C4B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3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47B2D76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结果</w:t>
            </w:r>
          </w:p>
          <w:p w14:paraId="07B5B571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维持</w:t>
            </w:r>
          </w:p>
        </w:tc>
        <w:tc>
          <w:tcPr>
            <w:tcW w:w="603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94EC4D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结果</w:t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纠正</w:t>
            </w:r>
          </w:p>
        </w:tc>
        <w:tc>
          <w:tcPr>
            <w:tcW w:w="604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59E2C13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其他</w:t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结果</w:t>
            </w:r>
          </w:p>
        </w:tc>
        <w:tc>
          <w:tcPr>
            <w:tcW w:w="603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034F5D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尚未</w:t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审结</w:t>
            </w:r>
          </w:p>
        </w:tc>
        <w:tc>
          <w:tcPr>
            <w:tcW w:w="614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0688404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总计</w:t>
            </w:r>
          </w:p>
        </w:tc>
        <w:tc>
          <w:tcPr>
            <w:tcW w:w="3019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801B8DB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014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3AE57ED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复议后起诉</w:t>
            </w:r>
          </w:p>
        </w:tc>
      </w:tr>
      <w:tr w14:paraId="50262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3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0737B67">
            <w:pPr>
              <w:spacing w:line="300" w:lineRule="exact"/>
              <w:ind w:left="-160" w:leftChars="-50" w:right="-160" w:rightChars="-50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6A52AFB">
            <w:pPr>
              <w:spacing w:line="300" w:lineRule="exact"/>
              <w:ind w:left="-160" w:leftChars="-50" w:right="-160" w:rightChars="-50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B945E27">
            <w:pPr>
              <w:spacing w:line="300" w:lineRule="exact"/>
              <w:ind w:left="-160" w:leftChars="-50" w:right="-160" w:rightChars="-50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710882">
            <w:pPr>
              <w:spacing w:line="300" w:lineRule="exact"/>
              <w:ind w:left="-160" w:leftChars="-50" w:right="-160" w:rightChars="-50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</w:p>
        </w:tc>
        <w:tc>
          <w:tcPr>
            <w:tcW w:w="614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C48C5B3">
            <w:pPr>
              <w:spacing w:line="300" w:lineRule="exact"/>
              <w:ind w:left="-160" w:leftChars="-50" w:right="-160" w:rightChars="-50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</w:p>
        </w:tc>
        <w:tc>
          <w:tcPr>
            <w:tcW w:w="6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D5BC47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结果</w:t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维持</w:t>
            </w:r>
          </w:p>
        </w:tc>
        <w:tc>
          <w:tcPr>
            <w:tcW w:w="6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C281AB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结果</w:t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纠正</w:t>
            </w:r>
          </w:p>
        </w:tc>
        <w:tc>
          <w:tcPr>
            <w:tcW w:w="60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D3D4143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其他</w:t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结果</w:t>
            </w:r>
          </w:p>
        </w:tc>
        <w:tc>
          <w:tcPr>
            <w:tcW w:w="60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3129338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尚未</w:t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审结</w:t>
            </w:r>
          </w:p>
        </w:tc>
        <w:tc>
          <w:tcPr>
            <w:tcW w:w="60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4938880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380F9D3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结果</w:t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维持</w:t>
            </w:r>
          </w:p>
        </w:tc>
        <w:tc>
          <w:tcPr>
            <w:tcW w:w="60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B5B044B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结果</w:t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纠正</w:t>
            </w:r>
          </w:p>
        </w:tc>
        <w:tc>
          <w:tcPr>
            <w:tcW w:w="60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D1F3062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2D7781D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尚未</w:t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kern w:val="0"/>
                <w:sz w:val="21"/>
                <w:szCs w:val="21"/>
              </w:rPr>
              <w:t>审结</w:t>
            </w:r>
          </w:p>
        </w:tc>
        <w:tc>
          <w:tcPr>
            <w:tcW w:w="60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A80B81"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 w14:paraId="1D4E0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6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AEE31D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44568B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3BB2CF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3837CF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6040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18A008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E091E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64E881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95161F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3AE016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BD62F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EE701C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2D8BC3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7C6E40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15281A5">
            <w:pPr>
              <w:spacing w:line="300" w:lineRule="exact"/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4986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黑体_GBK"/>
          <w:bCs/>
          <w:lang w:val="en-US" w:eastAsia="zh-CN"/>
        </w:rPr>
      </w:pPr>
      <w:r>
        <w:rPr>
          <w:rFonts w:hint="eastAsia" w:ascii="Times New Roman" w:hAnsi="Times New Roman" w:eastAsia="方正黑体_GBK"/>
          <w:bCs/>
          <w:lang w:val="en-US" w:eastAsia="zh-CN"/>
        </w:rPr>
        <w:t>五、存在的主要问题及改进情况</w:t>
      </w:r>
    </w:p>
    <w:p w14:paraId="08BC3BDB"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政府信息公开工作仍存在一些薄弱环节：一是政府信息公开工作的信息公开方式有待进一步规范，互动性和服务性有待提升；二是政府信息公开专栏形式单一，形式多样化有待进一步加强。</w:t>
      </w:r>
    </w:p>
    <w:p w14:paraId="60D601E1"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目前在政府信息公开方面存在的问题，我局将从以下几个方面进行改进：一是深入推进信息公开工作标准化规范化建设。严格落实中央、省、市关于政府信息公开和政务公开的决策部署，健全主动公开、依申请公开及公众回应机制，完善相关制度流程。二是持续深化重点领域信息公开。遵循“公开为常态、不公开为例外”原则，细化公开与免公开信息界定，依据《政府信息公开条例》等规定，系统梳理社会关注度高的信息，确保公开内容真实、准确、全面。三是积极拓展公开形式与载体。加强政府网站、政务新媒体等功能融合与内容创新，探索运用多样化手段，丰富信息公开维度，切实保障人民群众的知情权、参与权和监督权。</w:t>
      </w:r>
    </w:p>
    <w:p w14:paraId="24332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黑体_GBK"/>
          <w:bCs/>
          <w:lang w:val="en-US" w:eastAsia="zh-CN"/>
        </w:rPr>
      </w:pPr>
      <w:r>
        <w:rPr>
          <w:rFonts w:hint="eastAsia" w:ascii="Times New Roman" w:hAnsi="Times New Roman" w:eastAsia="方正黑体_GBK"/>
          <w:bCs/>
          <w:lang w:val="en-US" w:eastAsia="zh-CN"/>
        </w:rPr>
        <w:t>六、其他需要报告的事项</w:t>
      </w:r>
    </w:p>
    <w:p w14:paraId="4FD576A9">
      <w:pPr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年，江阴市科学技术局未收取信息处理费。此外，无其他需要报告事项。</w:t>
      </w:r>
    </w:p>
    <w:sectPr>
      <w:pgSz w:w="11906" w:h="16838"/>
      <w:pgMar w:top="2041" w:right="1587" w:bottom="1417" w:left="187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7D14"/>
    <w:rsid w:val="1F7C658B"/>
    <w:rsid w:val="1FEF2BC0"/>
    <w:rsid w:val="23EC3DB0"/>
    <w:rsid w:val="24051B45"/>
    <w:rsid w:val="2C6E6DBD"/>
    <w:rsid w:val="2DCC66E1"/>
    <w:rsid w:val="2F1A78D2"/>
    <w:rsid w:val="323E6CDF"/>
    <w:rsid w:val="35780CA4"/>
    <w:rsid w:val="35F74E85"/>
    <w:rsid w:val="371F6DFF"/>
    <w:rsid w:val="3B567D14"/>
    <w:rsid w:val="3F7F26A2"/>
    <w:rsid w:val="3FBBB444"/>
    <w:rsid w:val="3FDF8B3C"/>
    <w:rsid w:val="4F5C0AD7"/>
    <w:rsid w:val="4FAF386C"/>
    <w:rsid w:val="65EE49B9"/>
    <w:rsid w:val="664C0D88"/>
    <w:rsid w:val="66FF75B9"/>
    <w:rsid w:val="67DD363C"/>
    <w:rsid w:val="6B265072"/>
    <w:rsid w:val="6BDF1E6A"/>
    <w:rsid w:val="6CD7FEEE"/>
    <w:rsid w:val="6E22F03A"/>
    <w:rsid w:val="6FFE8856"/>
    <w:rsid w:val="73AF517E"/>
    <w:rsid w:val="77FE0409"/>
    <w:rsid w:val="79DB5917"/>
    <w:rsid w:val="7D7288A9"/>
    <w:rsid w:val="7E39A09C"/>
    <w:rsid w:val="7ECB3C1A"/>
    <w:rsid w:val="7FD75996"/>
    <w:rsid w:val="97FC141E"/>
    <w:rsid w:val="9FBFE25F"/>
    <w:rsid w:val="AE33EC9B"/>
    <w:rsid w:val="B6FBDA43"/>
    <w:rsid w:val="BCFDEF7A"/>
    <w:rsid w:val="BD3D9A21"/>
    <w:rsid w:val="BF7DDE66"/>
    <w:rsid w:val="BFF7A286"/>
    <w:rsid w:val="D5FF787A"/>
    <w:rsid w:val="DD7F99B9"/>
    <w:rsid w:val="DEA76203"/>
    <w:rsid w:val="DF7D5C81"/>
    <w:rsid w:val="DFFF8279"/>
    <w:rsid w:val="EDAF9CED"/>
    <w:rsid w:val="EE5D07DB"/>
    <w:rsid w:val="FCB71AE6"/>
    <w:rsid w:val="FD5FB498"/>
    <w:rsid w:val="FFFDC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jc w:val="both"/>
    </w:pPr>
    <w:rPr>
      <w:rFonts w:ascii="Times New Roman" w:hAnsi="Times New Roman" w:eastAsia="方正仿宋_GBK" w:cs="宋体"/>
      <w:bCs/>
      <w:kern w:val="44"/>
      <w:sz w:val="32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note text"/>
    <w:basedOn w:val="1"/>
    <w:next w:val="2"/>
    <w:qFormat/>
    <w:uiPriority w:val="0"/>
    <w:pPr>
      <w:snapToGrid w:val="0"/>
      <w:jc w:val="left"/>
    </w:pPr>
    <w:rPr>
      <w:rFonts w:cs="Calibri"/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2025-01-03T17:18:00Z</dcterms:created>
  <dc:creator>陶静祎</dc:creator>
  <cp:lastModifiedBy>user</cp:lastModifiedBy>
  <cp:lastPrinted>2025-12-25T18:22:00Z</cp:lastPrinted>
  <dcterms:modified xsi:type="dcterms:W3CDTF">2026-01-19T11:14:58Z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CDEDFB3E4E074A609DB725B7F74590E0_11</vt:lpwstr>
  </property>
  <property fmtid="{D5CDD505-2E9C-101B-9397-08002B2CF9AE}" pid="4" name="KSOTemplateDocerSaveRecord">
    <vt:lpwstr>eyJoZGlkIjoiN2MzYTM1NjcxMTAxZjljMTFhYjQ3MThjYjQzN2EwMGMiLCJ1c2VySWQiOiI1ODIzMjE0NjIifQ==</vt:lpwstr>
  </property>
</Properties>
</file>