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4889">
      <w:pPr>
        <w:keepNext w:val="0"/>
        <w:keepLines w:val="0"/>
        <w:pageBreakBefore w:val="0"/>
        <w:widowControl w:val="0"/>
        <w:kinsoku/>
        <w:wordWrap/>
        <w:overflowPunct w:val="0"/>
        <w:topLinePunct w:val="0"/>
        <w:autoSpaceDE/>
        <w:autoSpaceDN/>
        <w:bidi w:val="0"/>
        <w:adjustRightInd/>
        <w:snapToGrid/>
        <w:spacing w:before="176" w:beforeLines="30" w:line="0" w:lineRule="atLeast"/>
        <w:jc w:val="center"/>
        <w:textAlignment w:val="baseline"/>
        <w:rPr>
          <w:rFonts w:hint="eastAsia" w:ascii="Times New Roman" w:hAnsi="Times New Roman" w:eastAsia="方正小标宋_GBK" w:cs="方正小标宋_GBK"/>
          <w:snapToGrid/>
          <w:spacing w:val="0"/>
          <w:kern w:val="21"/>
          <w:sz w:val="44"/>
          <w:szCs w:val="44"/>
          <w:lang w:eastAsia="zh-CN"/>
        </w:rPr>
      </w:pPr>
      <w:r>
        <w:rPr>
          <w:rFonts w:hint="eastAsia" w:ascii="Times New Roman" w:hAnsi="Times New Roman" w:eastAsia="方正小标宋_GBK" w:cs="方正小标宋_GBK"/>
          <w:snapToGrid/>
          <w:spacing w:val="0"/>
          <w:kern w:val="21"/>
          <w:sz w:val="44"/>
          <w:szCs w:val="44"/>
          <w:lang w:eastAsia="zh-CN"/>
        </w:rPr>
        <w:t>江阴市</w:t>
      </w:r>
      <w:r>
        <w:rPr>
          <w:rFonts w:ascii="Times New Roman" w:hAnsi="Times New Roman" w:eastAsia="方正小标宋_GBK" w:cs="方正小标宋_GBK"/>
          <w:snapToGrid/>
          <w:spacing w:val="0"/>
          <w:kern w:val="21"/>
          <w:sz w:val="44"/>
          <w:szCs w:val="44"/>
        </w:rPr>
        <w:t>重大产业技术创新项目</w:t>
      </w:r>
      <w:r>
        <w:rPr>
          <w:rFonts w:hint="eastAsia" w:ascii="Times New Roman" w:hAnsi="Times New Roman" w:eastAsia="方正小标宋_GBK" w:cs="方正小标宋_GBK"/>
          <w:snapToGrid/>
          <w:spacing w:val="0"/>
          <w:kern w:val="21"/>
          <w:sz w:val="44"/>
          <w:szCs w:val="44"/>
          <w:lang w:eastAsia="zh-CN"/>
        </w:rPr>
        <w:t>“</w:t>
      </w:r>
      <w:r>
        <w:rPr>
          <w:rFonts w:ascii="Times New Roman" w:hAnsi="Times New Roman" w:eastAsia="方正小标宋_GBK" w:cs="方正小标宋_GBK"/>
          <w:snapToGrid/>
          <w:spacing w:val="0"/>
          <w:kern w:val="21"/>
          <w:sz w:val="44"/>
          <w:szCs w:val="44"/>
        </w:rPr>
        <w:t>拨投结合</w:t>
      </w:r>
      <w:r>
        <w:rPr>
          <w:rFonts w:hint="eastAsia" w:ascii="Times New Roman" w:hAnsi="Times New Roman" w:eastAsia="方正小标宋_GBK" w:cs="方正小标宋_GBK"/>
          <w:snapToGrid/>
          <w:spacing w:val="0"/>
          <w:kern w:val="21"/>
          <w:sz w:val="44"/>
          <w:szCs w:val="44"/>
          <w:lang w:eastAsia="zh-CN"/>
        </w:rPr>
        <w:t>”</w:t>
      </w:r>
    </w:p>
    <w:p w14:paraId="476C5A08">
      <w:pPr>
        <w:keepNext w:val="0"/>
        <w:keepLines w:val="0"/>
        <w:pageBreakBefore w:val="0"/>
        <w:widowControl w:val="0"/>
        <w:kinsoku/>
        <w:wordWrap/>
        <w:overflowPunct w:val="0"/>
        <w:topLinePunct w:val="0"/>
        <w:autoSpaceDE/>
        <w:autoSpaceDN/>
        <w:bidi w:val="0"/>
        <w:adjustRightInd/>
        <w:snapToGrid/>
        <w:spacing w:line="0" w:lineRule="atLeast"/>
        <w:jc w:val="center"/>
        <w:textAlignment w:val="baseline"/>
        <w:rPr>
          <w:rFonts w:ascii="Times New Roman" w:hAnsi="Times New Roman" w:eastAsia="方正小标宋_GBK" w:cs="方正小标宋_GBK"/>
          <w:snapToGrid/>
          <w:spacing w:val="0"/>
          <w:kern w:val="21"/>
          <w:sz w:val="44"/>
          <w:szCs w:val="44"/>
        </w:rPr>
      </w:pPr>
      <w:r>
        <w:rPr>
          <w:rFonts w:ascii="Times New Roman" w:hAnsi="Times New Roman" w:eastAsia="方正小标宋_GBK" w:cs="方正小标宋_GBK"/>
          <w:snapToGrid/>
          <w:spacing w:val="0"/>
          <w:kern w:val="21"/>
          <w:sz w:val="44"/>
          <w:szCs w:val="44"/>
        </w:rPr>
        <w:t>管理办法（试行）</w:t>
      </w:r>
    </w:p>
    <w:p w14:paraId="68E4E95E">
      <w:pPr>
        <w:keepNext w:val="0"/>
        <w:keepLines w:val="0"/>
        <w:pageBreakBefore w:val="0"/>
        <w:widowControl w:val="0"/>
        <w:kinsoku/>
        <w:wordWrap/>
        <w:overflowPunct w:val="0"/>
        <w:topLinePunct w:val="0"/>
        <w:autoSpaceDE/>
        <w:autoSpaceDN/>
        <w:bidi w:val="0"/>
        <w:adjustRightInd/>
        <w:snapToGrid/>
        <w:spacing w:line="560" w:lineRule="exact"/>
        <w:ind w:right="0"/>
        <w:jc w:val="center"/>
        <w:rPr>
          <w:rFonts w:hint="eastAsia" w:ascii="Times New Roman" w:hAnsi="Times New Roman" w:eastAsia="方正仿宋_GBK" w:cs="方正仿宋_GBK"/>
          <w:b w:val="0"/>
          <w:bCs w:val="0"/>
          <w:snapToGrid/>
          <w:spacing w:val="0"/>
          <w:kern w:val="21"/>
          <w:sz w:val="32"/>
          <w:szCs w:val="32"/>
          <w:lang w:eastAsia="zh-CN"/>
        </w:rPr>
      </w:pPr>
      <w:bookmarkStart w:id="0" w:name="_GoBack"/>
      <w:bookmarkEnd w:id="0"/>
      <w:r>
        <w:rPr>
          <w:rFonts w:hint="eastAsia" w:eastAsia="方正仿宋_GBK" w:cs="方正仿宋_GBK"/>
          <w:b w:val="0"/>
          <w:bCs w:val="0"/>
          <w:snapToGrid/>
          <w:spacing w:val="0"/>
          <w:kern w:val="21"/>
          <w:sz w:val="32"/>
          <w:szCs w:val="32"/>
          <w:lang w:eastAsia="zh-CN"/>
        </w:rPr>
        <w:t>（</w:t>
      </w:r>
      <w:r>
        <w:rPr>
          <w:rFonts w:hint="eastAsia" w:eastAsia="方正仿宋_GBK" w:cs="方正仿宋_GBK"/>
          <w:b w:val="0"/>
          <w:bCs w:val="0"/>
          <w:snapToGrid/>
          <w:spacing w:val="0"/>
          <w:kern w:val="21"/>
          <w:sz w:val="32"/>
          <w:szCs w:val="32"/>
          <w:lang w:val="en-US" w:eastAsia="zh-CN"/>
        </w:rPr>
        <w:t>征求意见稿</w:t>
      </w:r>
      <w:r>
        <w:rPr>
          <w:rFonts w:hint="eastAsia" w:eastAsia="方正仿宋_GBK" w:cs="方正仿宋_GBK"/>
          <w:b w:val="0"/>
          <w:bCs w:val="0"/>
          <w:snapToGrid/>
          <w:spacing w:val="0"/>
          <w:kern w:val="21"/>
          <w:sz w:val="32"/>
          <w:szCs w:val="32"/>
          <w:lang w:eastAsia="zh-CN"/>
        </w:rPr>
        <w:t>）</w:t>
      </w:r>
    </w:p>
    <w:p w14:paraId="23C7DD27">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仿宋_GBK" w:cs="方正仿宋_GBK"/>
          <w:snapToGrid/>
          <w:spacing w:val="0"/>
          <w:kern w:val="21"/>
          <w:sz w:val="32"/>
          <w:szCs w:val="32"/>
          <w:lang w:eastAsia="zh-CN"/>
        </w:rPr>
        <w:t>为推动科技成果转化，加快培育未来创新产业，助力江阴市打造全国有影响力的产业科技创新高地，根据</w:t>
      </w:r>
      <w:r>
        <w:rPr>
          <w:rFonts w:hint="eastAsia" w:ascii="Times New Roman" w:hAnsi="Times New Roman" w:eastAsia="方正仿宋_GBK" w:cs="方正仿宋_GBK"/>
          <w:snapToGrid/>
          <w:spacing w:val="0"/>
          <w:kern w:val="21"/>
          <w:sz w:val="32"/>
          <w:szCs w:val="32"/>
        </w:rPr>
        <w:t>《关于支持无锡市产业创新研究院改革发展的若</w:t>
      </w:r>
      <w:r>
        <w:rPr>
          <w:rFonts w:hint="eastAsia" w:ascii="Times New Roman" w:hAnsi="Times New Roman" w:eastAsia="方正仿宋_GBK" w:cs="方正仿宋_GBK"/>
          <w:snapToGrid/>
          <w:spacing w:val="0"/>
          <w:kern w:val="21"/>
          <w:sz w:val="32"/>
          <w:szCs w:val="32"/>
          <w:lang w:val="en-US" w:eastAsia="zh-CN"/>
        </w:rPr>
        <w:t>干</w:t>
      </w:r>
      <w:r>
        <w:rPr>
          <w:rFonts w:hint="eastAsia" w:ascii="Times New Roman" w:hAnsi="Times New Roman" w:eastAsia="方正仿宋_GBK" w:cs="方正仿宋_GBK"/>
          <w:snapToGrid/>
          <w:spacing w:val="0"/>
          <w:kern w:val="21"/>
          <w:sz w:val="32"/>
          <w:szCs w:val="32"/>
        </w:rPr>
        <w:t>政策措施》</w:t>
      </w:r>
      <w:r>
        <w:rPr>
          <w:rFonts w:hint="eastAsia" w:ascii="Times New Roman" w:hAnsi="Times New Roman" w:eastAsia="方正仿宋_GBK" w:cs="方正仿宋_GBK"/>
          <w:snapToGrid/>
          <w:spacing w:val="0"/>
          <w:kern w:val="21"/>
          <w:sz w:val="32"/>
          <w:szCs w:val="32"/>
          <w:lang w:eastAsia="zh-CN"/>
        </w:rPr>
        <w:t>《无锡市产业创新研究院重大项目拨投结合及资金使用管理办法》等相关规定，对无锡市产业创新研究院（以下简称“</w:t>
      </w:r>
      <w:r>
        <w:rPr>
          <w:rFonts w:hint="eastAsia" w:ascii="Times New Roman" w:hAnsi="Times New Roman" w:eastAsia="方正仿宋_GBK" w:cs="方正仿宋_GBK"/>
          <w:snapToGrid/>
          <w:spacing w:val="0"/>
          <w:kern w:val="21"/>
          <w:sz w:val="32"/>
          <w:szCs w:val="32"/>
          <w:lang w:val="en-US" w:eastAsia="zh-CN"/>
        </w:rPr>
        <w:t>无锡</w:t>
      </w:r>
      <w:r>
        <w:rPr>
          <w:rFonts w:hint="eastAsia" w:ascii="Times New Roman" w:hAnsi="Times New Roman" w:eastAsia="方正仿宋_GBK" w:cs="方正仿宋_GBK"/>
          <w:snapToGrid/>
          <w:spacing w:val="0"/>
          <w:kern w:val="21"/>
          <w:sz w:val="32"/>
          <w:szCs w:val="32"/>
          <w:lang w:eastAsia="zh-CN"/>
        </w:rPr>
        <w:t>产研院”）采取“拨投结合”方式支持的江阴市重大产业技术创新项目（以下简称“重大创新项目”）予以资金配套支持。为规范项目管理，结合江阴市实际，特制定本办法。</w:t>
      </w:r>
    </w:p>
    <w:p w14:paraId="168FE903">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第一章   总</w:t>
      </w:r>
      <w:r>
        <w:rPr>
          <w:rFonts w:hint="eastAsia" w:ascii="Times New Roman" w:hAnsi="Times New Roman" w:eastAsia="方正黑体_GBK" w:cs="方正黑体_GBK"/>
          <w:snapToGrid/>
          <w:spacing w:val="0"/>
          <w:kern w:val="21"/>
          <w:sz w:val="32"/>
          <w:szCs w:val="32"/>
          <w:lang w:val="en-US" w:eastAsia="zh-CN"/>
        </w:rPr>
        <w:t xml:space="preserve">  </w:t>
      </w:r>
      <w:r>
        <w:rPr>
          <w:rFonts w:hint="eastAsia" w:ascii="Times New Roman" w:hAnsi="Times New Roman" w:eastAsia="方正黑体_GBK" w:cs="方正黑体_GBK"/>
          <w:snapToGrid/>
          <w:spacing w:val="0"/>
          <w:kern w:val="21"/>
          <w:sz w:val="32"/>
          <w:szCs w:val="32"/>
        </w:rPr>
        <w:t>则</w:t>
      </w:r>
    </w:p>
    <w:p w14:paraId="1DBB1714">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第一条</w:t>
      </w:r>
      <w:r>
        <w:rPr>
          <w:rFonts w:hint="eastAsia" w:ascii="Times New Roman" w:hAnsi="Times New Roman" w:eastAsia="方正仿宋_GBK" w:cs="方正仿宋_GBK"/>
          <w:snapToGrid/>
          <w:spacing w:val="0"/>
          <w:kern w:val="21"/>
          <w:sz w:val="32"/>
          <w:szCs w:val="32"/>
          <w:lang w:val="en-US" w:eastAsia="zh-CN"/>
        </w:rPr>
        <w:t xml:space="preserve">  </w:t>
      </w:r>
      <w:r>
        <w:rPr>
          <w:rFonts w:hint="eastAsia" w:ascii="Times New Roman" w:hAnsi="Times New Roman" w:eastAsia="方正仿宋_GBK" w:cs="方正仿宋_GBK"/>
          <w:snapToGrid/>
          <w:spacing w:val="0"/>
          <w:kern w:val="21"/>
          <w:sz w:val="32"/>
          <w:szCs w:val="32"/>
          <w:lang w:eastAsia="zh-CN"/>
        </w:rPr>
        <w:t>本办法所称“拨投结合”，是指针对重大创新项目先期拨入一定财政支持资金，在项目进行市场化股权融资时转化为相应投资权益的支持模式。</w:t>
      </w:r>
    </w:p>
    <w:p w14:paraId="19274C8B">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第二条</w:t>
      </w:r>
      <w:r>
        <w:rPr>
          <w:rFonts w:hint="eastAsia" w:ascii="Times New Roman" w:hAnsi="Times New Roman" w:eastAsia="方正仿宋_GBK" w:cs="方正仿宋_GBK"/>
          <w:snapToGrid/>
          <w:spacing w:val="0"/>
          <w:kern w:val="21"/>
          <w:sz w:val="32"/>
          <w:szCs w:val="32"/>
          <w:lang w:eastAsia="zh-CN"/>
        </w:rPr>
        <w:t xml:space="preserve">  “拨投结合”旨在发挥财政资金在创新项目中的引导作用，承担创新项目研发风险，以市场化方式合理控制项目研发成本。</w:t>
      </w:r>
    </w:p>
    <w:p w14:paraId="7E9B9DF5">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第三条</w:t>
      </w:r>
      <w:r>
        <w:rPr>
          <w:rFonts w:hint="eastAsia" w:ascii="Times New Roman" w:hAnsi="Times New Roman" w:eastAsia="方正仿宋_GBK" w:cs="方正仿宋_GBK"/>
          <w:snapToGrid/>
          <w:spacing w:val="0"/>
          <w:kern w:val="21"/>
          <w:sz w:val="32"/>
          <w:szCs w:val="32"/>
          <w:lang w:eastAsia="zh-CN"/>
        </w:rPr>
        <w:t xml:space="preserve">  江阴市“拨投结合”项目来源为无锡产研院论证通过并参投的项目。</w:t>
      </w:r>
      <w:r>
        <w:rPr>
          <w:rFonts w:hint="eastAsia" w:ascii="Times New Roman" w:hAnsi="Times New Roman" w:eastAsia="方正仿宋_GBK" w:cs="方正仿宋_GBK"/>
          <w:snapToGrid/>
          <w:spacing w:val="0"/>
          <w:kern w:val="21"/>
          <w:sz w:val="32"/>
          <w:szCs w:val="32"/>
        </w:rPr>
        <w:t>项目由</w:t>
      </w:r>
      <w:r>
        <w:rPr>
          <w:rFonts w:hint="eastAsia" w:ascii="Times New Roman" w:hAnsi="Times New Roman" w:eastAsia="方正仿宋_GBK" w:cs="方正仿宋_GBK"/>
          <w:snapToGrid/>
          <w:spacing w:val="0"/>
          <w:kern w:val="21"/>
          <w:sz w:val="32"/>
          <w:szCs w:val="32"/>
          <w:lang w:eastAsia="zh-CN"/>
        </w:rPr>
        <w:t>无锡产研院、</w:t>
      </w:r>
      <w:r>
        <w:rPr>
          <w:rFonts w:hint="eastAsia" w:ascii="Times New Roman" w:hAnsi="Times New Roman" w:eastAsia="方正仿宋_GBK" w:cs="方正仿宋_GBK"/>
          <w:snapToGrid/>
          <w:spacing w:val="0"/>
          <w:kern w:val="21"/>
          <w:sz w:val="32"/>
          <w:szCs w:val="32"/>
          <w:lang w:val="en-US" w:eastAsia="zh-CN"/>
        </w:rPr>
        <w:t>江阴市各“双招双引”单位、</w:t>
      </w:r>
      <w:r>
        <w:rPr>
          <w:rFonts w:hint="eastAsia" w:ascii="Times New Roman" w:hAnsi="Times New Roman" w:eastAsia="方正仿宋_GBK" w:cs="方正仿宋_GBK"/>
          <w:snapToGrid/>
          <w:spacing w:val="0"/>
          <w:kern w:val="21"/>
          <w:sz w:val="32"/>
          <w:szCs w:val="32"/>
        </w:rPr>
        <w:t>各功能区</w:t>
      </w:r>
      <w:r>
        <w:rPr>
          <w:rFonts w:hint="eastAsia" w:ascii="Times New Roman" w:hAnsi="Times New Roman" w:eastAsia="方正仿宋_GBK" w:cs="方正仿宋_GBK"/>
          <w:snapToGrid/>
          <w:spacing w:val="0"/>
          <w:kern w:val="21"/>
          <w:sz w:val="32"/>
          <w:szCs w:val="32"/>
          <w:lang w:eastAsia="zh-CN"/>
        </w:rPr>
        <w:t>（</w:t>
      </w:r>
      <w:r>
        <w:rPr>
          <w:rFonts w:hint="eastAsia" w:ascii="Times New Roman" w:hAnsi="Times New Roman" w:eastAsia="方正仿宋_GBK" w:cs="方正仿宋_GBK"/>
          <w:snapToGrid/>
          <w:spacing w:val="0"/>
          <w:kern w:val="21"/>
          <w:sz w:val="32"/>
          <w:szCs w:val="32"/>
        </w:rPr>
        <w:t>镇、街道</w:t>
      </w:r>
      <w:r>
        <w:rPr>
          <w:rFonts w:hint="eastAsia" w:ascii="Times New Roman" w:hAnsi="Times New Roman" w:eastAsia="方正仿宋_GBK" w:cs="方正仿宋_GBK"/>
          <w:snapToGrid/>
          <w:spacing w:val="0"/>
          <w:kern w:val="21"/>
          <w:sz w:val="32"/>
          <w:szCs w:val="32"/>
          <w:lang w:eastAsia="zh-CN"/>
        </w:rPr>
        <w:t>）</w:t>
      </w:r>
      <w:r>
        <w:rPr>
          <w:rFonts w:hint="eastAsia" w:ascii="Times New Roman" w:hAnsi="Times New Roman" w:eastAsia="方正仿宋_GBK" w:cs="方正仿宋_GBK"/>
          <w:snapToGrid/>
          <w:spacing w:val="0"/>
          <w:kern w:val="21"/>
          <w:sz w:val="32"/>
          <w:szCs w:val="32"/>
        </w:rPr>
        <w:t>，以及</w:t>
      </w:r>
      <w:r>
        <w:rPr>
          <w:rFonts w:hint="eastAsia" w:ascii="Times New Roman" w:hAnsi="Times New Roman" w:eastAsia="方正仿宋_GBK" w:cs="方正仿宋_GBK"/>
          <w:snapToGrid/>
          <w:spacing w:val="0"/>
          <w:kern w:val="21"/>
          <w:sz w:val="32"/>
          <w:szCs w:val="32"/>
          <w:lang w:eastAsia="zh-CN"/>
        </w:rPr>
        <w:t>江阴市</w:t>
      </w:r>
      <w:r>
        <w:rPr>
          <w:rFonts w:hint="eastAsia" w:ascii="Times New Roman" w:hAnsi="Times New Roman" w:eastAsia="方正仿宋_GBK" w:cs="方正仿宋_GBK"/>
          <w:snapToGrid/>
          <w:spacing w:val="0"/>
          <w:kern w:val="21"/>
          <w:sz w:val="32"/>
          <w:szCs w:val="32"/>
        </w:rPr>
        <w:t>内新型研发机构、市场化基金团队、各类所有制企业等推荐。</w:t>
      </w:r>
    </w:p>
    <w:p w14:paraId="1BCDCA17">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第四条</w:t>
      </w:r>
      <w:r>
        <w:rPr>
          <w:rFonts w:hint="eastAsia" w:ascii="Times New Roman" w:hAnsi="Times New Roman" w:eastAsia="方正仿宋_GBK" w:cs="方正仿宋_GBK"/>
          <w:snapToGrid/>
          <w:spacing w:val="0"/>
          <w:kern w:val="21"/>
          <w:sz w:val="32"/>
          <w:szCs w:val="32"/>
          <w:lang w:eastAsia="zh-CN"/>
        </w:rPr>
        <w:t xml:space="preserve">  江阴市重大创新项目在</w:t>
      </w:r>
      <w:r>
        <w:rPr>
          <w:rFonts w:hint="eastAsia" w:ascii="Times New Roman" w:hAnsi="Times New Roman" w:eastAsia="方正仿宋_GBK" w:cs="方正仿宋_GBK"/>
          <w:snapToGrid/>
          <w:spacing w:val="0"/>
          <w:kern w:val="21"/>
          <w:sz w:val="32"/>
          <w:szCs w:val="32"/>
          <w:lang w:val="en-US" w:eastAsia="zh-CN"/>
        </w:rPr>
        <w:t>拨</w:t>
      </w:r>
      <w:r>
        <w:rPr>
          <w:rFonts w:hint="eastAsia" w:ascii="Times New Roman" w:hAnsi="Times New Roman" w:eastAsia="方正仿宋_GBK" w:cs="方正仿宋_GBK"/>
          <w:snapToGrid/>
          <w:spacing w:val="0"/>
          <w:kern w:val="21"/>
          <w:sz w:val="32"/>
          <w:szCs w:val="32"/>
          <w:lang w:eastAsia="zh-CN"/>
        </w:rPr>
        <w:t>后至转股前阶段，项目管理原则上与无锡产研院保持一致，转股后管理按照国有企业投资相关规定执行。</w:t>
      </w:r>
    </w:p>
    <w:p w14:paraId="6D5E6A44">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第二章   支持标准</w:t>
      </w:r>
    </w:p>
    <w:p w14:paraId="57AC2E56">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第五条</w:t>
      </w:r>
      <w:r>
        <w:rPr>
          <w:rFonts w:hint="eastAsia" w:ascii="Times New Roman" w:hAnsi="Times New Roman" w:eastAsia="方正仿宋_GBK" w:cs="方正仿宋_GBK"/>
          <w:snapToGrid/>
          <w:spacing w:val="0"/>
          <w:kern w:val="21"/>
          <w:sz w:val="32"/>
          <w:szCs w:val="32"/>
          <w:lang w:eastAsia="zh-CN"/>
        </w:rPr>
        <w:t xml:space="preserve">  重大创新项目应符合无锡产研院“拨投结合”项目需具备的条件。采用“拨投结合”支持的项目，自实施起三年内仅可获得江阴市财政一次性支持，申报</w:t>
      </w:r>
      <w:r>
        <w:rPr>
          <w:rFonts w:hint="eastAsia" w:ascii="Times New Roman" w:hAnsi="Times New Roman" w:eastAsia="方正仿宋_GBK" w:cs="方正仿宋_GBK"/>
          <w:snapToGrid/>
          <w:spacing w:val="0"/>
          <w:kern w:val="21"/>
          <w:sz w:val="32"/>
          <w:szCs w:val="32"/>
          <w:lang w:val="en-US" w:eastAsia="zh-CN"/>
        </w:rPr>
        <w:t>无锡</w:t>
      </w:r>
      <w:r>
        <w:rPr>
          <w:rFonts w:hint="eastAsia" w:ascii="Times New Roman" w:hAnsi="Times New Roman" w:eastAsia="方正仿宋_GBK" w:cs="方正仿宋_GBK"/>
          <w:snapToGrid/>
          <w:spacing w:val="0"/>
          <w:kern w:val="21"/>
          <w:sz w:val="32"/>
          <w:szCs w:val="32"/>
          <w:lang w:eastAsia="zh-CN"/>
        </w:rPr>
        <w:t>市级以上支持资金不受限制。</w:t>
      </w:r>
    </w:p>
    <w:p w14:paraId="5AAEBCA3">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val="en-US" w:eastAsia="zh-CN"/>
        </w:rPr>
      </w:pPr>
      <w:r>
        <w:rPr>
          <w:rFonts w:hint="eastAsia" w:ascii="Times New Roman" w:hAnsi="Times New Roman" w:eastAsia="方正楷体_GBK" w:cs="方正楷体_GBK"/>
          <w:b w:val="0"/>
          <w:bCs w:val="0"/>
          <w:snapToGrid/>
          <w:spacing w:val="0"/>
          <w:kern w:val="21"/>
          <w:sz w:val="32"/>
          <w:szCs w:val="32"/>
          <w:lang w:eastAsia="zh-CN"/>
        </w:rPr>
        <w:t>第六条</w:t>
      </w:r>
      <w:r>
        <w:rPr>
          <w:rFonts w:hint="eastAsia" w:ascii="Times New Roman" w:hAnsi="Times New Roman" w:eastAsia="方正仿宋_GBK" w:cs="方正仿宋_GBK"/>
          <w:snapToGrid/>
          <w:spacing w:val="0"/>
          <w:kern w:val="21"/>
          <w:sz w:val="32"/>
          <w:szCs w:val="32"/>
          <w:lang w:eastAsia="zh-CN"/>
        </w:rPr>
        <w:t xml:space="preserve">  原则上，江阴市（含项目所属</w:t>
      </w:r>
      <w:r>
        <w:rPr>
          <w:rFonts w:hint="eastAsia" w:ascii="Times New Roman" w:hAnsi="Times New Roman" w:eastAsia="方正仿宋_GBK" w:cs="方正仿宋_GBK"/>
          <w:snapToGrid/>
          <w:spacing w:val="0"/>
          <w:kern w:val="21"/>
          <w:sz w:val="32"/>
          <w:szCs w:val="32"/>
          <w:lang w:val="en-US" w:eastAsia="zh-CN"/>
        </w:rPr>
        <w:t>功能区</w:t>
      </w:r>
      <w:r>
        <w:rPr>
          <w:rFonts w:hint="eastAsia" w:ascii="Times New Roman" w:hAnsi="Times New Roman" w:eastAsia="方正仿宋_GBK" w:cs="方正仿宋_GBK"/>
          <w:snapToGrid/>
          <w:spacing w:val="0"/>
          <w:kern w:val="21"/>
          <w:sz w:val="32"/>
          <w:szCs w:val="32"/>
          <w:lang w:eastAsia="zh-CN"/>
        </w:rPr>
        <w:t>）</w:t>
      </w:r>
      <w:r>
        <w:rPr>
          <w:rFonts w:hint="eastAsia" w:ascii="Times New Roman" w:hAnsi="Times New Roman" w:eastAsia="方正仿宋_GBK" w:cs="方正仿宋_GBK"/>
          <w:snapToGrid/>
          <w:spacing w:val="0"/>
          <w:kern w:val="21"/>
          <w:sz w:val="32"/>
          <w:szCs w:val="32"/>
          <w:lang w:val="en-US" w:eastAsia="zh-CN"/>
        </w:rPr>
        <w:t>出资总额不超过</w:t>
      </w:r>
      <w:r>
        <w:rPr>
          <w:rFonts w:hint="eastAsia" w:ascii="Times New Roman" w:hAnsi="Times New Roman" w:eastAsia="方正仿宋_GBK" w:cs="方正仿宋_GBK"/>
          <w:snapToGrid/>
          <w:spacing w:val="0"/>
          <w:kern w:val="21"/>
          <w:sz w:val="32"/>
          <w:szCs w:val="32"/>
          <w:lang w:eastAsia="zh-CN"/>
        </w:rPr>
        <w:t>无锡产研院给予</w:t>
      </w:r>
      <w:r>
        <w:rPr>
          <w:rFonts w:hint="eastAsia" w:ascii="Times New Roman" w:hAnsi="Times New Roman" w:eastAsia="方正仿宋_GBK" w:cs="方正仿宋_GBK"/>
          <w:snapToGrid/>
          <w:spacing w:val="0"/>
          <w:kern w:val="21"/>
          <w:sz w:val="32"/>
          <w:szCs w:val="32"/>
          <w:lang w:val="en-US" w:eastAsia="zh-CN"/>
        </w:rPr>
        <w:t>的</w:t>
      </w:r>
      <w:r>
        <w:rPr>
          <w:rFonts w:hint="eastAsia" w:ascii="Times New Roman" w:hAnsi="Times New Roman" w:eastAsia="方正仿宋_GBK" w:cs="方正仿宋_GBK"/>
          <w:snapToGrid/>
          <w:spacing w:val="0"/>
          <w:kern w:val="21"/>
          <w:sz w:val="32"/>
          <w:szCs w:val="32"/>
          <w:lang w:eastAsia="zh-CN"/>
        </w:rPr>
        <w:t>项目研发资金支持，对单个项目支持金额不超过</w:t>
      </w:r>
      <w:r>
        <w:rPr>
          <w:rFonts w:hint="eastAsia" w:ascii="Times New Roman" w:hAnsi="Times New Roman" w:eastAsia="方正仿宋_GBK" w:cs="方正仿宋_GBK"/>
          <w:snapToGrid/>
          <w:spacing w:val="0"/>
          <w:kern w:val="21"/>
          <w:sz w:val="32"/>
          <w:szCs w:val="32"/>
          <w:lang w:val="en-US" w:eastAsia="zh-CN"/>
        </w:rPr>
        <w:t>1</w:t>
      </w:r>
      <w:r>
        <w:rPr>
          <w:rFonts w:hint="eastAsia" w:ascii="Times New Roman" w:hAnsi="Times New Roman" w:eastAsia="方正仿宋_GBK" w:cs="方正仿宋_GBK"/>
          <w:snapToGrid/>
          <w:spacing w:val="0"/>
          <w:kern w:val="21"/>
          <w:sz w:val="32"/>
          <w:szCs w:val="32"/>
          <w:lang w:eastAsia="zh-CN"/>
        </w:rPr>
        <w:t>000万元，特别重大项目</w:t>
      </w:r>
      <w:r>
        <w:rPr>
          <w:rFonts w:hint="eastAsia" w:ascii="Times New Roman" w:hAnsi="Times New Roman" w:eastAsia="方正仿宋_GBK" w:cs="方正仿宋_GBK"/>
          <w:snapToGrid/>
          <w:spacing w:val="0"/>
          <w:kern w:val="21"/>
          <w:sz w:val="32"/>
          <w:szCs w:val="32"/>
          <w:lang w:val="en-US" w:eastAsia="zh-CN"/>
        </w:rPr>
        <w:t>单个支持金额最高上浮50%</w:t>
      </w:r>
      <w:r>
        <w:rPr>
          <w:rFonts w:hint="eastAsia" w:ascii="Times New Roman" w:hAnsi="Times New Roman" w:eastAsia="方正仿宋_GBK" w:cs="方正仿宋_GBK"/>
          <w:snapToGrid/>
          <w:spacing w:val="0"/>
          <w:kern w:val="21"/>
          <w:sz w:val="32"/>
          <w:szCs w:val="32"/>
          <w:lang w:eastAsia="zh-CN"/>
        </w:rPr>
        <w:t>。</w:t>
      </w:r>
      <w:r>
        <w:rPr>
          <w:rFonts w:hint="eastAsia" w:ascii="Times New Roman" w:hAnsi="Times New Roman" w:eastAsia="方正仿宋_GBK" w:cs="方正仿宋_GBK"/>
          <w:snapToGrid/>
          <w:spacing w:val="0"/>
          <w:kern w:val="21"/>
          <w:sz w:val="32"/>
          <w:szCs w:val="32"/>
          <w:lang w:val="en-US" w:eastAsia="zh-CN"/>
        </w:rPr>
        <w:t>江阴市出资部分，由市级和项目所属功能区按1:1比例出资。</w:t>
      </w:r>
      <w:r>
        <w:rPr>
          <w:rFonts w:hint="eastAsia" w:ascii="Times New Roman" w:hAnsi="Times New Roman" w:eastAsia="方正仿宋_GBK" w:cs="方正仿宋_GBK"/>
          <w:snapToGrid/>
          <w:spacing w:val="0"/>
          <w:kern w:val="21"/>
          <w:sz w:val="32"/>
          <w:szCs w:val="32"/>
          <w:lang w:eastAsia="zh-CN"/>
        </w:rPr>
        <w:t>项目团队投入的自有资金不低于江阴市（含项目所属</w:t>
      </w:r>
      <w:r>
        <w:rPr>
          <w:rFonts w:hint="eastAsia" w:ascii="Times New Roman" w:hAnsi="Times New Roman" w:eastAsia="方正仿宋_GBK" w:cs="方正仿宋_GBK"/>
          <w:snapToGrid/>
          <w:spacing w:val="0"/>
          <w:kern w:val="21"/>
          <w:sz w:val="32"/>
          <w:szCs w:val="32"/>
          <w:lang w:val="en-US" w:eastAsia="zh-CN"/>
        </w:rPr>
        <w:t>功能区</w:t>
      </w:r>
      <w:r>
        <w:rPr>
          <w:rFonts w:hint="eastAsia" w:ascii="Times New Roman" w:hAnsi="Times New Roman" w:eastAsia="方正仿宋_GBK" w:cs="方正仿宋_GBK"/>
          <w:snapToGrid/>
          <w:spacing w:val="0"/>
          <w:kern w:val="21"/>
          <w:sz w:val="32"/>
          <w:szCs w:val="32"/>
          <w:lang w:eastAsia="zh-CN"/>
        </w:rPr>
        <w:t>）和无锡产研院投入资金总额的</w:t>
      </w:r>
      <w:r>
        <w:rPr>
          <w:rFonts w:hint="eastAsia" w:ascii="Times New Roman" w:hAnsi="Times New Roman" w:eastAsia="方正仿宋_GBK" w:cs="方正仿宋_GBK"/>
          <w:snapToGrid/>
          <w:spacing w:val="0"/>
          <w:kern w:val="21"/>
          <w:sz w:val="32"/>
          <w:szCs w:val="32"/>
          <w:lang w:val="en-US" w:eastAsia="zh-CN"/>
        </w:rPr>
        <w:t>3</w:t>
      </w:r>
      <w:r>
        <w:rPr>
          <w:rFonts w:hint="eastAsia" w:ascii="Times New Roman" w:hAnsi="Times New Roman" w:eastAsia="方正仿宋_GBK" w:cs="方正仿宋_GBK"/>
          <w:snapToGrid/>
          <w:spacing w:val="0"/>
          <w:kern w:val="21"/>
          <w:sz w:val="32"/>
          <w:szCs w:val="32"/>
          <w:lang w:eastAsia="zh-CN"/>
        </w:rPr>
        <w:t>0%。</w:t>
      </w:r>
    </w:p>
    <w:p w14:paraId="51FA5E48">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第三章   组织实施</w:t>
      </w:r>
    </w:p>
    <w:p w14:paraId="46910E8B">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 xml:space="preserve">第七条  </w:t>
      </w:r>
      <w:r>
        <w:rPr>
          <w:rFonts w:hint="eastAsia" w:ascii="Times New Roman" w:hAnsi="Times New Roman" w:eastAsia="方正仿宋_GBK" w:cs="方正仿宋_GBK"/>
          <w:snapToGrid/>
          <w:spacing w:val="0"/>
          <w:kern w:val="21"/>
          <w:sz w:val="32"/>
          <w:szCs w:val="32"/>
          <w:lang w:eastAsia="zh-CN"/>
        </w:rPr>
        <w:t>设立江阴市重大产业技术创新项目“拨投结合 ”专项资金（以下简称“专项资金”），实行按需预算保障。江阴市出资由功能区先行垫付，市级承担部分由市科技局与功能区清算后，列入市科技局下一年度专项预算，拨付功能区。</w:t>
      </w:r>
    </w:p>
    <w:p w14:paraId="6EE118ED">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rPr>
      </w:pPr>
      <w:r>
        <w:rPr>
          <w:rFonts w:hint="eastAsia" w:ascii="Times New Roman" w:hAnsi="Times New Roman" w:eastAsia="方正楷体_GBK" w:cs="方正楷体_GBK"/>
          <w:b w:val="0"/>
          <w:bCs w:val="0"/>
          <w:snapToGrid/>
          <w:spacing w:val="0"/>
          <w:kern w:val="21"/>
          <w:sz w:val="32"/>
          <w:szCs w:val="32"/>
          <w:lang w:eastAsia="zh-CN"/>
        </w:rPr>
        <w:t>第八条</w:t>
      </w:r>
      <w:r>
        <w:rPr>
          <w:rFonts w:hint="eastAsia" w:ascii="Times New Roman" w:hAnsi="Times New Roman" w:eastAsia="方正仿宋_GBK" w:cs="方正仿宋_GBK"/>
          <w:snapToGrid/>
          <w:spacing w:val="0"/>
          <w:kern w:val="21"/>
          <w:sz w:val="32"/>
          <w:szCs w:val="32"/>
          <w:lang w:eastAsia="zh-CN"/>
        </w:rPr>
        <w:t xml:space="preserve">  市</w:t>
      </w:r>
      <w:r>
        <w:rPr>
          <w:rFonts w:hint="eastAsia" w:ascii="Times New Roman" w:hAnsi="Times New Roman" w:eastAsia="方正仿宋_GBK" w:cs="方正仿宋_GBK"/>
          <w:snapToGrid/>
          <w:spacing w:val="0"/>
          <w:kern w:val="21"/>
          <w:sz w:val="32"/>
          <w:szCs w:val="32"/>
        </w:rPr>
        <w:t>政府委托</w:t>
      </w:r>
      <w:r>
        <w:rPr>
          <w:rFonts w:hint="eastAsia" w:ascii="Times New Roman" w:hAnsi="Times New Roman" w:eastAsia="方正仿宋_GBK" w:cs="方正仿宋_GBK"/>
          <w:snapToGrid/>
          <w:spacing w:val="0"/>
          <w:kern w:val="21"/>
          <w:sz w:val="32"/>
          <w:szCs w:val="32"/>
          <w:lang w:eastAsia="zh-CN"/>
        </w:rPr>
        <w:t>科技人才集团</w:t>
      </w:r>
      <w:r>
        <w:rPr>
          <w:rFonts w:hint="eastAsia" w:ascii="Times New Roman" w:hAnsi="Times New Roman" w:eastAsia="方正仿宋_GBK" w:cs="方正仿宋_GBK"/>
          <w:snapToGrid/>
          <w:spacing w:val="0"/>
          <w:kern w:val="21"/>
          <w:sz w:val="32"/>
          <w:szCs w:val="32"/>
        </w:rPr>
        <w:t>作为项目公司的</w:t>
      </w:r>
      <w:r>
        <w:rPr>
          <w:rFonts w:hint="eastAsia" w:ascii="Times New Roman" w:hAnsi="Times New Roman" w:eastAsia="方正仿宋_GBK" w:cs="方正仿宋_GBK"/>
          <w:snapToGrid/>
          <w:spacing w:val="0"/>
          <w:kern w:val="21"/>
          <w:sz w:val="32"/>
          <w:szCs w:val="32"/>
          <w:lang w:val="en-US" w:eastAsia="zh-CN"/>
        </w:rPr>
        <w:t>投资持股</w:t>
      </w:r>
      <w:r>
        <w:rPr>
          <w:rFonts w:hint="eastAsia" w:ascii="Times New Roman" w:hAnsi="Times New Roman" w:eastAsia="方正仿宋_GBK" w:cs="方正仿宋_GBK"/>
          <w:snapToGrid/>
          <w:spacing w:val="0"/>
          <w:kern w:val="21"/>
          <w:sz w:val="32"/>
          <w:szCs w:val="32"/>
        </w:rPr>
        <w:t>主体，承担相关协议签署、转股、投资协议履行、项目公司股东等工作。</w:t>
      </w:r>
    </w:p>
    <w:p w14:paraId="3BA776B2">
      <w:pPr>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w:t>
      </w:r>
      <w:r>
        <w:rPr>
          <w:rFonts w:hint="eastAsia" w:ascii="Times New Roman" w:hAnsi="Times New Roman" w:eastAsia="方正楷体_GBK" w:cs="方正楷体_GBK"/>
          <w:b w:val="0"/>
          <w:bCs w:val="0"/>
          <w:snapToGrid/>
          <w:spacing w:val="0"/>
          <w:kern w:val="21"/>
          <w:sz w:val="32"/>
          <w:szCs w:val="32"/>
          <w:lang w:val="en-US" w:eastAsia="zh-CN"/>
        </w:rPr>
        <w:t>九</w:t>
      </w:r>
      <w:r>
        <w:rPr>
          <w:rFonts w:hint="eastAsia" w:ascii="Times New Roman" w:hAnsi="Times New Roman" w:eastAsia="方正楷体_GBK" w:cs="方正楷体_GBK"/>
          <w:b w:val="0"/>
          <w:bCs w:val="0"/>
          <w:snapToGrid/>
          <w:spacing w:val="0"/>
          <w:kern w:val="21"/>
          <w:sz w:val="32"/>
          <w:szCs w:val="32"/>
          <w:lang w:eastAsia="zh-CN"/>
        </w:rPr>
        <w:t>条</w:t>
      </w:r>
      <w:r>
        <w:rPr>
          <w:rFonts w:hint="eastAsia" w:ascii="Times New Roman" w:hAnsi="Times New Roman" w:eastAsia="方正仿宋_GBK" w:cs="方正仿宋_GBK"/>
          <w:snapToGrid/>
          <w:spacing w:val="0"/>
          <w:kern w:val="21"/>
          <w:sz w:val="32"/>
          <w:szCs w:val="32"/>
          <w:lang w:eastAsia="zh-CN"/>
        </w:rPr>
        <w:t xml:space="preserve">  重大创新项目按照“成熟一个，启动一个”的原则组织实施，采用“拨投结合”的方式予以支持。重大创新项目原则上按立项论证、项目实施、权益实现三个阶段进行管理。</w:t>
      </w:r>
    </w:p>
    <w:p w14:paraId="597A1C4B">
      <w:pPr>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第十条</w:t>
      </w:r>
      <w:r>
        <w:rPr>
          <w:rFonts w:hint="eastAsia" w:ascii="Times New Roman" w:hAnsi="Times New Roman" w:eastAsia="方正仿宋_GBK" w:cs="方正仿宋_GBK"/>
          <w:snapToGrid/>
          <w:spacing w:val="0"/>
          <w:kern w:val="21"/>
          <w:sz w:val="32"/>
          <w:szCs w:val="32"/>
          <w:lang w:eastAsia="zh-CN"/>
        </w:rPr>
        <w:t xml:space="preserve">  重大创新项目的立项论证由无锡产研院按照项目经理制的方式组织实施。立项采用专家论证、尽职调查等方式形成相关报告，明确项目目标、研发团队、技术指标和成果、里程碑节点、研发经费预算和拨付方式等关键内容。对于</w:t>
      </w:r>
      <w:r>
        <w:rPr>
          <w:rFonts w:hint="eastAsia" w:ascii="Times New Roman" w:hAnsi="Times New Roman" w:eastAsia="方正仿宋_GBK" w:cs="方正仿宋_GBK"/>
          <w:snapToGrid/>
          <w:spacing w:val="0"/>
          <w:kern w:val="21"/>
          <w:sz w:val="32"/>
          <w:szCs w:val="32"/>
          <w:lang w:val="en-US" w:eastAsia="zh-CN"/>
        </w:rPr>
        <w:t>江阴</w:t>
      </w:r>
      <w:r>
        <w:rPr>
          <w:rFonts w:hint="eastAsia" w:ascii="Times New Roman" w:hAnsi="Times New Roman" w:eastAsia="方正仿宋_GBK" w:cs="方正仿宋_GBK"/>
          <w:snapToGrid/>
          <w:spacing w:val="0"/>
          <w:kern w:val="21"/>
          <w:sz w:val="32"/>
          <w:szCs w:val="32"/>
          <w:lang w:eastAsia="zh-CN"/>
        </w:rPr>
        <w:t>市级财政资金参与扶持的项目，依托无锡产研院相关立项论证意见，项目所属功能区提出申请，</w:t>
      </w:r>
      <w:r>
        <w:rPr>
          <w:rFonts w:hint="eastAsia" w:ascii="Times New Roman" w:hAnsi="Times New Roman" w:eastAsia="方正仿宋_GBK" w:cs="方正仿宋_GBK"/>
          <w:snapToGrid/>
          <w:color w:val="000000"/>
          <w:spacing w:val="0"/>
          <w:kern w:val="21"/>
          <w:lang w:val="en-US" w:eastAsia="zh-CN"/>
        </w:rPr>
        <w:t>市委</w:t>
      </w:r>
      <w:r>
        <w:rPr>
          <w:rFonts w:hint="eastAsia" w:ascii="Times New Roman" w:hAnsi="Times New Roman" w:eastAsia="方正仿宋_GBK" w:cs="方正仿宋_GBK"/>
          <w:snapToGrid/>
          <w:spacing w:val="0"/>
          <w:kern w:val="21"/>
          <w:sz w:val="32"/>
          <w:szCs w:val="32"/>
          <w:lang w:val="en-US" w:eastAsia="zh-CN"/>
        </w:rPr>
        <w:t>科创委办公室</w:t>
      </w:r>
      <w:r>
        <w:rPr>
          <w:rFonts w:hint="eastAsia" w:ascii="Times New Roman" w:hAnsi="Times New Roman" w:eastAsia="方正仿宋_GBK" w:cs="方正仿宋_GBK"/>
          <w:snapToGrid/>
          <w:spacing w:val="0"/>
          <w:kern w:val="21"/>
          <w:sz w:val="32"/>
          <w:szCs w:val="32"/>
          <w:lang w:eastAsia="zh-CN"/>
        </w:rPr>
        <w:t>牵头市发改委、市工信局、市财政局、市商务局、</w:t>
      </w:r>
      <w:r>
        <w:rPr>
          <w:rFonts w:hint="eastAsia" w:ascii="Times New Roman" w:hAnsi="Times New Roman" w:eastAsia="方正仿宋_GBK" w:cs="方正仿宋_GBK"/>
          <w:snapToGrid/>
          <w:spacing w:val="0"/>
          <w:kern w:val="21"/>
          <w:sz w:val="32"/>
          <w:szCs w:val="32"/>
          <w:lang w:val="en-US" w:eastAsia="zh-CN"/>
        </w:rPr>
        <w:t>市数据局、</w:t>
      </w:r>
      <w:r>
        <w:rPr>
          <w:rFonts w:hint="eastAsia" w:ascii="Times New Roman" w:hAnsi="Times New Roman" w:eastAsia="方正仿宋_GBK" w:cs="方正仿宋_GBK"/>
          <w:snapToGrid/>
          <w:spacing w:val="0"/>
          <w:kern w:val="21"/>
          <w:sz w:val="32"/>
          <w:szCs w:val="32"/>
          <w:lang w:eastAsia="zh-CN"/>
        </w:rPr>
        <w:t>科技人才集团等单位召开形式评审会，形式评审通过后，报请</w:t>
      </w:r>
      <w:r>
        <w:rPr>
          <w:rFonts w:hint="eastAsia" w:ascii="Times New Roman" w:hAnsi="Times New Roman" w:eastAsia="方正仿宋_GBK" w:cs="方正仿宋_GBK"/>
          <w:snapToGrid/>
          <w:spacing w:val="0"/>
          <w:kern w:val="21"/>
          <w:sz w:val="32"/>
          <w:szCs w:val="32"/>
          <w:lang w:val="en-US" w:eastAsia="zh-CN"/>
        </w:rPr>
        <w:t>市委科创委</w:t>
      </w:r>
      <w:r>
        <w:rPr>
          <w:rFonts w:hint="eastAsia" w:ascii="Times New Roman" w:hAnsi="Times New Roman" w:eastAsia="方正仿宋_GBK" w:cs="方正仿宋_GBK"/>
          <w:snapToGrid/>
          <w:spacing w:val="0"/>
          <w:kern w:val="21"/>
          <w:sz w:val="32"/>
          <w:szCs w:val="32"/>
          <w:lang w:eastAsia="zh-CN"/>
        </w:rPr>
        <w:t>决策立项。</w:t>
      </w:r>
    </w:p>
    <w:p w14:paraId="3975ECAA">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 xml:space="preserve">第十一条 </w:t>
      </w:r>
      <w:r>
        <w:rPr>
          <w:rFonts w:hint="eastAsia" w:ascii="Times New Roman" w:hAnsi="Times New Roman" w:eastAsia="方正仿宋_GBK" w:cs="方正仿宋_GBK"/>
          <w:snapToGrid/>
          <w:spacing w:val="0"/>
          <w:kern w:val="21"/>
          <w:sz w:val="32"/>
          <w:szCs w:val="32"/>
          <w:lang w:eastAsia="zh-CN"/>
        </w:rPr>
        <w:t xml:space="preserve"> 重大创新项目的研发工作以项目公司为主体组织实施，无锡产研院、江阴市（含项目所属</w:t>
      </w:r>
      <w:r>
        <w:rPr>
          <w:rFonts w:hint="eastAsia" w:ascii="Times New Roman" w:hAnsi="Times New Roman" w:eastAsia="方正仿宋_GBK" w:cs="方正仿宋_GBK"/>
          <w:snapToGrid/>
          <w:spacing w:val="0"/>
          <w:kern w:val="21"/>
          <w:sz w:val="32"/>
          <w:szCs w:val="32"/>
          <w:lang w:val="en-US" w:eastAsia="zh-CN"/>
        </w:rPr>
        <w:t>功能区</w:t>
      </w:r>
      <w:r>
        <w:rPr>
          <w:rFonts w:hint="eastAsia" w:ascii="Times New Roman" w:hAnsi="Times New Roman" w:eastAsia="方正仿宋_GBK" w:cs="方正仿宋_GBK"/>
          <w:snapToGrid/>
          <w:spacing w:val="0"/>
          <w:kern w:val="21"/>
          <w:sz w:val="32"/>
          <w:szCs w:val="32"/>
          <w:lang w:eastAsia="zh-CN"/>
        </w:rPr>
        <w:t>）和项目公司签署研发合作协议。</w:t>
      </w:r>
    </w:p>
    <w:p w14:paraId="7CCFBAEB">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第十二条</w:t>
      </w:r>
      <w:r>
        <w:rPr>
          <w:rFonts w:hint="eastAsia" w:ascii="Times New Roman" w:hAnsi="Times New Roman" w:eastAsia="方正仿宋_GBK" w:cs="方正仿宋_GBK"/>
          <w:snapToGrid/>
          <w:spacing w:val="0"/>
          <w:kern w:val="21"/>
          <w:sz w:val="32"/>
          <w:szCs w:val="32"/>
          <w:lang w:eastAsia="zh-CN"/>
        </w:rPr>
        <w:t xml:space="preserve">  项目公司由无锡产研院公司、项目所属功能区国资主体、科技人才集团、项目团队共同另行出资组建。项目公司由项目团队控股，项目团队占股原则上不高于90%，剩余股权由项目所属功能区国资主体、科技人才集团和无锡产研院公司按扶持款比例分配持有。江阴市出资部分和无锡产研院同比例同步实缴到位。</w:t>
      </w:r>
    </w:p>
    <w:p w14:paraId="12634B57">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第十三条</w:t>
      </w:r>
      <w:r>
        <w:rPr>
          <w:rFonts w:hint="eastAsia" w:ascii="Times New Roman" w:hAnsi="Times New Roman" w:eastAsia="方正仿宋_GBK" w:cs="方正仿宋_GBK"/>
          <w:snapToGrid/>
          <w:spacing w:val="0"/>
          <w:kern w:val="21"/>
          <w:sz w:val="32"/>
          <w:szCs w:val="32"/>
          <w:lang w:eastAsia="zh-CN"/>
        </w:rPr>
        <w:t xml:space="preserve">  项目实施期原则上不超过三年，生物医药等特殊行业可适当延长拨款周期，原则上不超过五年。研发合作期内，未经各出资方同意，项目团队不得转让其股权。</w:t>
      </w:r>
    </w:p>
    <w:p w14:paraId="5428CEE8">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第四章   权益实现</w:t>
      </w:r>
    </w:p>
    <w:p w14:paraId="5374646F">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第十四条</w:t>
      </w:r>
      <w:r>
        <w:rPr>
          <w:rFonts w:hint="eastAsia" w:ascii="Times New Roman" w:hAnsi="Times New Roman" w:eastAsia="方正仿宋_GBK" w:cs="方正仿宋_GBK"/>
          <w:snapToGrid/>
          <w:spacing w:val="0"/>
          <w:kern w:val="21"/>
          <w:sz w:val="32"/>
          <w:szCs w:val="32"/>
          <w:lang w:eastAsia="zh-CN"/>
        </w:rPr>
        <w:t xml:space="preserve">  项目研发合作期内，项目公司开展市场化股权融资时，江阴市实际投入的研发合作资金参照无锡产研院转化方式完成转化。具体转化方式包括股权转化和资金返还。</w:t>
      </w:r>
    </w:p>
    <w:p w14:paraId="17445A65">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仿宋_GBK" w:cs="方正仿宋_GBK"/>
          <w:snapToGrid/>
          <w:spacing w:val="0"/>
          <w:kern w:val="21"/>
          <w:sz w:val="32"/>
          <w:szCs w:val="32"/>
          <w:lang w:eastAsia="zh-CN"/>
        </w:rPr>
        <w:t>（一）股权转化：指以股权转让或增资的方式使项目所属功能区国资主体、科技人才集团获得项目公司的相应股份。</w:t>
      </w:r>
    </w:p>
    <w:p w14:paraId="18C96D7C">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highlight w:val="none"/>
          <w:lang w:eastAsia="zh-CN"/>
        </w:rPr>
      </w:pPr>
      <w:r>
        <w:rPr>
          <w:rFonts w:hint="eastAsia" w:ascii="Times New Roman" w:hAnsi="Times New Roman" w:eastAsia="方正仿宋_GBK" w:cs="方正仿宋_GBK"/>
          <w:snapToGrid/>
          <w:spacing w:val="0"/>
          <w:kern w:val="21"/>
          <w:sz w:val="32"/>
          <w:szCs w:val="32"/>
          <w:lang w:eastAsia="zh-CN"/>
        </w:rPr>
        <w:t>（二）资金返还：</w:t>
      </w:r>
      <w:r>
        <w:rPr>
          <w:rFonts w:hint="eastAsia" w:ascii="Times New Roman" w:hAnsi="Times New Roman" w:eastAsia="方正仿宋_GBK" w:cs="方正仿宋_GBK"/>
          <w:snapToGrid/>
          <w:spacing w:val="0"/>
          <w:kern w:val="21"/>
          <w:sz w:val="32"/>
          <w:szCs w:val="32"/>
          <w:highlight w:val="none"/>
          <w:lang w:eastAsia="zh-CN"/>
        </w:rPr>
        <w:t>指项目公司向项目所属功能区返还研发合作资金，其中市本级出资部分由项目所属功能区按原途径同步返还。</w:t>
      </w:r>
    </w:p>
    <w:p w14:paraId="4DFB76B1">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第十五条</w:t>
      </w:r>
      <w:r>
        <w:rPr>
          <w:rFonts w:hint="eastAsia" w:ascii="Times New Roman" w:hAnsi="Times New Roman" w:eastAsia="方正仿宋_GBK" w:cs="方正仿宋_GBK"/>
          <w:snapToGrid/>
          <w:spacing w:val="0"/>
          <w:kern w:val="21"/>
          <w:sz w:val="32"/>
          <w:szCs w:val="32"/>
          <w:lang w:eastAsia="zh-CN"/>
        </w:rPr>
        <w:t xml:space="preserve">  研发合作资金的权益转化方式由项目团队在第十</w:t>
      </w:r>
      <w:r>
        <w:rPr>
          <w:rFonts w:hint="eastAsia" w:ascii="Times New Roman" w:hAnsi="Times New Roman" w:eastAsia="方正仿宋_GBK" w:cs="方正仿宋_GBK"/>
          <w:snapToGrid/>
          <w:spacing w:val="0"/>
          <w:kern w:val="21"/>
          <w:sz w:val="32"/>
          <w:szCs w:val="32"/>
          <w:lang w:val="en-US" w:eastAsia="zh-CN"/>
        </w:rPr>
        <w:t>四</w:t>
      </w:r>
      <w:r>
        <w:rPr>
          <w:rFonts w:hint="eastAsia" w:ascii="Times New Roman" w:hAnsi="Times New Roman" w:eastAsia="方正仿宋_GBK" w:cs="方正仿宋_GBK"/>
          <w:snapToGrid/>
          <w:spacing w:val="0"/>
          <w:kern w:val="21"/>
          <w:sz w:val="32"/>
          <w:szCs w:val="32"/>
          <w:lang w:eastAsia="zh-CN"/>
        </w:rPr>
        <w:t>条规定中的方式选择或组合使用。股权转化、资金返回相关要求按照无锡产研院要求执行，其中选择返还超过50%支持研发合作资金的，应取得各投资方同意。</w:t>
      </w:r>
    </w:p>
    <w:p w14:paraId="33E7F835">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第十六条</w:t>
      </w:r>
      <w:r>
        <w:rPr>
          <w:rFonts w:hint="eastAsia" w:ascii="Times New Roman" w:hAnsi="Times New Roman" w:eastAsia="方正仿宋_GBK" w:cs="方正仿宋_GBK"/>
          <w:snapToGrid/>
          <w:spacing w:val="0"/>
          <w:kern w:val="21"/>
          <w:sz w:val="32"/>
          <w:szCs w:val="32"/>
          <w:lang w:eastAsia="zh-CN"/>
        </w:rPr>
        <w:t xml:space="preserve"> </w:t>
      </w:r>
      <w:r>
        <w:rPr>
          <w:rFonts w:hint="eastAsia" w:ascii="Times New Roman" w:hAnsi="Times New Roman" w:cs="方正仿宋_GBK"/>
          <w:snapToGrid/>
          <w:spacing w:val="0"/>
          <w:kern w:val="21"/>
          <w:sz w:val="32"/>
          <w:szCs w:val="32"/>
          <w:lang w:val="en-US" w:eastAsia="zh-CN"/>
        </w:rPr>
        <w:t xml:space="preserve"> </w:t>
      </w:r>
      <w:r>
        <w:rPr>
          <w:rFonts w:hint="eastAsia" w:ascii="Times New Roman" w:hAnsi="Times New Roman" w:eastAsia="方正仿宋_GBK" w:cs="方正仿宋_GBK"/>
          <w:snapToGrid/>
          <w:spacing w:val="0"/>
          <w:kern w:val="21"/>
          <w:sz w:val="32"/>
          <w:szCs w:val="32"/>
          <w:lang w:eastAsia="zh-CN"/>
        </w:rPr>
        <w:t>项目在研发合作期内，有市场化投资资金进入时，由项目公司提出项目研发结题验收申请，结题验收工作由无锡产研院、</w:t>
      </w:r>
      <w:r>
        <w:rPr>
          <w:rFonts w:hint="eastAsia" w:ascii="Times New Roman" w:hAnsi="Times New Roman" w:eastAsia="方正仿宋_GBK" w:cs="方正仿宋_GBK"/>
          <w:snapToGrid/>
          <w:spacing w:val="0"/>
          <w:kern w:val="21"/>
          <w:sz w:val="32"/>
          <w:szCs w:val="32"/>
          <w:lang w:val="en-US" w:eastAsia="zh-CN"/>
        </w:rPr>
        <w:t>市科技局、</w:t>
      </w:r>
      <w:r>
        <w:rPr>
          <w:rFonts w:hint="eastAsia" w:ascii="Times New Roman" w:hAnsi="Times New Roman" w:eastAsia="方正仿宋_GBK" w:cs="方正仿宋_GBK"/>
          <w:snapToGrid/>
          <w:spacing w:val="0"/>
          <w:kern w:val="21"/>
          <w:sz w:val="32"/>
          <w:szCs w:val="32"/>
          <w:lang w:eastAsia="zh-CN"/>
        </w:rPr>
        <w:t>项目所属功能区等参投主体共同负责实施并进行审计。项目实施期满后，已拨完研发合作资金，但暂未实现权益转化的项目，应进行结题验收，江阴市保留对研发合作资金进行权益转化的权利。</w:t>
      </w:r>
    </w:p>
    <w:p w14:paraId="46FC7B91">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第五章   监督管理</w:t>
      </w:r>
    </w:p>
    <w:p w14:paraId="17F81946">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 xml:space="preserve">第十七条 </w:t>
      </w:r>
      <w:r>
        <w:rPr>
          <w:rFonts w:hint="eastAsia" w:ascii="Times New Roman" w:hAnsi="Times New Roman" w:eastAsia="方正仿宋_GBK" w:cs="方正仿宋_GBK"/>
          <w:snapToGrid/>
          <w:spacing w:val="0"/>
          <w:kern w:val="21"/>
          <w:sz w:val="32"/>
          <w:szCs w:val="32"/>
          <w:lang w:eastAsia="zh-CN"/>
        </w:rPr>
        <w:t xml:space="preserve"> “拨投结合”专项资金纳入公共财政绩效评价体系，市财政局、市科技局等相关部门对“拨投结合”专项资金的目标任务、政策成效及运行情况进行绩效评价。</w:t>
      </w:r>
    </w:p>
    <w:p w14:paraId="5E4280F9">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第十八条</w:t>
      </w:r>
      <w:r>
        <w:rPr>
          <w:rFonts w:hint="eastAsia" w:ascii="Times New Roman" w:hAnsi="Times New Roman" w:eastAsia="方正仿宋_GBK" w:cs="方正仿宋_GBK"/>
          <w:snapToGrid/>
          <w:spacing w:val="0"/>
          <w:kern w:val="21"/>
          <w:sz w:val="32"/>
          <w:szCs w:val="32"/>
          <w:lang w:eastAsia="zh-CN"/>
        </w:rPr>
        <w:t xml:space="preserve">  根据《支持无锡市产业创新研究院改革发展的若干政策措施》，建立市级容错免责机制，对未达到预期目标的重大创新项目，容忍正常的项目运行风险及可能造成的投资损失，相关决策机构、主管部门及持股主体勤勉尽责、没有谋取非法利益的，决策符合规定条件、标准和程序的，免于追究相关单位和人员的决策和管理责任。</w:t>
      </w:r>
    </w:p>
    <w:p w14:paraId="13F48032">
      <w:pPr>
        <w:keepNext w:val="0"/>
        <w:keepLines w:val="0"/>
        <w:pageBreakBefore w:val="0"/>
        <w:widowControl w:val="0"/>
        <w:kinsoku/>
        <w:wordWrap/>
        <w:overflowPunct w:val="0"/>
        <w:topLinePunct w:val="0"/>
        <w:autoSpaceDE/>
        <w:autoSpaceDN/>
        <w:bidi w:val="0"/>
        <w:adjustRightInd/>
        <w:snapToGrid/>
        <w:spacing w:before="177" w:beforeLines="30" w:after="177" w:afterLines="30" w:line="560" w:lineRule="exact"/>
        <w:ind w:left="0" w:right="0" w:firstLine="0" w:firstLineChars="0"/>
        <w:jc w:val="center"/>
        <w:textAlignment w:val="baseline"/>
        <w:rPr>
          <w:rFonts w:hint="eastAsia" w:ascii="Times New Roman" w:hAnsi="Times New Roman" w:eastAsia="方正黑体_GBK" w:cs="方正黑体_GBK"/>
          <w:snapToGrid/>
          <w:spacing w:val="0"/>
          <w:kern w:val="21"/>
          <w:sz w:val="32"/>
          <w:szCs w:val="32"/>
        </w:rPr>
      </w:pPr>
      <w:r>
        <w:rPr>
          <w:rFonts w:hint="eastAsia" w:ascii="Times New Roman" w:hAnsi="Times New Roman" w:eastAsia="方正黑体_GBK" w:cs="方正黑体_GBK"/>
          <w:snapToGrid/>
          <w:spacing w:val="0"/>
          <w:kern w:val="21"/>
          <w:sz w:val="32"/>
          <w:szCs w:val="32"/>
        </w:rPr>
        <w:t>第六章   附</w:t>
      </w:r>
      <w:r>
        <w:rPr>
          <w:rFonts w:hint="eastAsia" w:ascii="Times New Roman" w:hAnsi="Times New Roman" w:eastAsia="方正黑体_GBK" w:cs="方正黑体_GBK"/>
          <w:snapToGrid/>
          <w:spacing w:val="0"/>
          <w:kern w:val="21"/>
          <w:sz w:val="32"/>
          <w:szCs w:val="32"/>
          <w:lang w:val="en-US" w:eastAsia="zh-CN"/>
        </w:rPr>
        <w:t xml:space="preserve">  </w:t>
      </w:r>
      <w:r>
        <w:rPr>
          <w:rFonts w:hint="eastAsia" w:ascii="Times New Roman" w:hAnsi="Times New Roman" w:eastAsia="方正黑体_GBK" w:cs="方正黑体_GBK"/>
          <w:snapToGrid/>
          <w:spacing w:val="0"/>
          <w:kern w:val="21"/>
          <w:sz w:val="32"/>
          <w:szCs w:val="32"/>
        </w:rPr>
        <w:t>则</w:t>
      </w:r>
    </w:p>
    <w:p w14:paraId="1D90EAA1">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第十九条</w:t>
      </w:r>
      <w:r>
        <w:rPr>
          <w:rFonts w:hint="eastAsia" w:ascii="Times New Roman" w:hAnsi="Times New Roman" w:eastAsia="方正仿宋_GBK" w:cs="方正仿宋_GBK"/>
          <w:snapToGrid/>
          <w:spacing w:val="0"/>
          <w:kern w:val="21"/>
          <w:sz w:val="32"/>
          <w:szCs w:val="32"/>
          <w:lang w:eastAsia="zh-CN"/>
        </w:rPr>
        <w:t xml:space="preserve">  各功能区单独和无锡产研院合作的“拨投结合”项目，可参照市级管理办法执行。</w:t>
      </w:r>
    </w:p>
    <w:p w14:paraId="0AE63ACB">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eastAsia="zh-CN"/>
        </w:rPr>
      </w:pPr>
      <w:r>
        <w:rPr>
          <w:rFonts w:hint="eastAsia" w:ascii="Times New Roman" w:hAnsi="Times New Roman" w:eastAsia="方正楷体_GBK" w:cs="方正楷体_GBK"/>
          <w:b w:val="0"/>
          <w:bCs w:val="0"/>
          <w:snapToGrid/>
          <w:spacing w:val="0"/>
          <w:kern w:val="21"/>
          <w:sz w:val="32"/>
          <w:szCs w:val="32"/>
          <w:lang w:eastAsia="zh-CN"/>
        </w:rPr>
        <w:t>第二十条</w:t>
      </w:r>
      <w:r>
        <w:rPr>
          <w:rFonts w:hint="eastAsia" w:ascii="Times New Roman" w:hAnsi="Times New Roman" w:eastAsia="方正仿宋_GBK" w:cs="方正仿宋_GBK"/>
          <w:snapToGrid/>
          <w:spacing w:val="0"/>
          <w:kern w:val="21"/>
          <w:sz w:val="32"/>
          <w:szCs w:val="32"/>
          <w:lang w:eastAsia="zh-CN"/>
        </w:rPr>
        <w:t xml:space="preserve">  本办法自印发之日起试行两年，试行期间在无锡产研院出台相应文件时，视情况予以调整。</w:t>
      </w:r>
    </w:p>
    <w:p w14:paraId="20D99922">
      <w:pPr>
        <w:keepNext w:val="0"/>
        <w:keepLines w:val="0"/>
        <w:pageBreakBefore w:val="0"/>
        <w:widowControl w:val="0"/>
        <w:kinsoku/>
        <w:wordWrap/>
        <w:overflowPunct w:val="0"/>
        <w:topLinePunct w:val="0"/>
        <w:autoSpaceDE/>
        <w:autoSpaceDN/>
        <w:bidi w:val="0"/>
        <w:adjustRightInd/>
        <w:snapToGrid/>
        <w:spacing w:after="0" w:line="560" w:lineRule="exact"/>
        <w:ind w:left="0" w:right="0" w:firstLine="632" w:firstLineChars="200"/>
        <w:jc w:val="both"/>
        <w:textAlignment w:val="auto"/>
        <w:rPr>
          <w:rFonts w:hint="eastAsia" w:ascii="Times New Roman" w:hAnsi="Times New Roman" w:eastAsia="方正仿宋_GBK" w:cs="方正仿宋_GBK"/>
          <w:snapToGrid/>
          <w:spacing w:val="0"/>
          <w:kern w:val="21"/>
          <w:sz w:val="32"/>
          <w:szCs w:val="32"/>
          <w:lang w:val="en-US" w:eastAsia="zh-CN"/>
        </w:rPr>
      </w:pPr>
      <w:r>
        <w:rPr>
          <w:rFonts w:hint="eastAsia" w:ascii="Times New Roman" w:hAnsi="Times New Roman" w:eastAsia="方正楷体_GBK" w:cs="方正楷体_GBK"/>
          <w:b w:val="0"/>
          <w:bCs w:val="0"/>
          <w:snapToGrid/>
          <w:spacing w:val="0"/>
          <w:kern w:val="21"/>
          <w:sz w:val="32"/>
          <w:szCs w:val="32"/>
          <w:lang w:eastAsia="zh-CN"/>
        </w:rPr>
        <w:t>第二十</w:t>
      </w:r>
      <w:r>
        <w:rPr>
          <w:rFonts w:hint="eastAsia" w:ascii="Times New Roman" w:hAnsi="Times New Roman" w:eastAsia="方正楷体_GBK" w:cs="方正楷体_GBK"/>
          <w:b w:val="0"/>
          <w:bCs w:val="0"/>
          <w:snapToGrid/>
          <w:spacing w:val="0"/>
          <w:kern w:val="21"/>
          <w:sz w:val="32"/>
          <w:szCs w:val="32"/>
          <w:lang w:val="en-US" w:eastAsia="zh-CN"/>
        </w:rPr>
        <w:t>一</w:t>
      </w:r>
      <w:r>
        <w:rPr>
          <w:rFonts w:hint="eastAsia" w:ascii="Times New Roman" w:hAnsi="Times New Roman" w:eastAsia="方正楷体_GBK" w:cs="方正楷体_GBK"/>
          <w:b w:val="0"/>
          <w:bCs w:val="0"/>
          <w:snapToGrid/>
          <w:spacing w:val="0"/>
          <w:kern w:val="21"/>
          <w:sz w:val="32"/>
          <w:szCs w:val="32"/>
          <w:lang w:eastAsia="zh-CN"/>
        </w:rPr>
        <w:t xml:space="preserve">条 </w:t>
      </w:r>
      <w:r>
        <w:rPr>
          <w:rFonts w:hint="eastAsia" w:ascii="Times New Roman" w:hAnsi="Times New Roman" w:eastAsia="方正仿宋_GBK" w:cs="方正仿宋_GBK"/>
          <w:snapToGrid/>
          <w:spacing w:val="0"/>
          <w:kern w:val="21"/>
          <w:sz w:val="32"/>
          <w:szCs w:val="32"/>
          <w:lang w:eastAsia="zh-CN"/>
        </w:rPr>
        <w:t xml:space="preserve"> 本办法由市科技局负责解释。</w:t>
      </w:r>
    </w:p>
    <w:sectPr>
      <w:footerReference r:id="rId3" w:type="default"/>
      <w:footerReference r:id="rId4"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1BB4">
    <w:pPr>
      <w:pStyle w:val="4"/>
      <w:snapToGrid/>
      <w:ind w:left="320" w:leftChars="100" w:right="320" w:rightChars="100"/>
      <w:jc w:val="right"/>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5154">
    <w:pPr>
      <w:pStyle w:val="4"/>
      <w:snapToGrid/>
      <w:ind w:left="320" w:leftChars="100" w:right="320" w:rightChars="100"/>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TZkYmVjM2JmMjk5ODRiZmMyMDRlZWZlMDlhNzIifQ=="/>
  </w:docVars>
  <w:rsids>
    <w:rsidRoot w:val="00DC74EC"/>
    <w:rsid w:val="0002531F"/>
    <w:rsid w:val="00026BF3"/>
    <w:rsid w:val="00034293"/>
    <w:rsid w:val="00045463"/>
    <w:rsid w:val="000A2FAB"/>
    <w:rsid w:val="000A36E4"/>
    <w:rsid w:val="000E3B38"/>
    <w:rsid w:val="000E4BA5"/>
    <w:rsid w:val="000F5DF5"/>
    <w:rsid w:val="001525D2"/>
    <w:rsid w:val="001A14A8"/>
    <w:rsid w:val="001A542E"/>
    <w:rsid w:val="001B2BF8"/>
    <w:rsid w:val="001B63AD"/>
    <w:rsid w:val="001D51C5"/>
    <w:rsid w:val="001F494A"/>
    <w:rsid w:val="002225D3"/>
    <w:rsid w:val="0023658C"/>
    <w:rsid w:val="002E5FF4"/>
    <w:rsid w:val="0032011F"/>
    <w:rsid w:val="0032133D"/>
    <w:rsid w:val="0033211D"/>
    <w:rsid w:val="00393CD5"/>
    <w:rsid w:val="00414031"/>
    <w:rsid w:val="004229F4"/>
    <w:rsid w:val="0047442B"/>
    <w:rsid w:val="004A3416"/>
    <w:rsid w:val="005105B3"/>
    <w:rsid w:val="005432FA"/>
    <w:rsid w:val="00543974"/>
    <w:rsid w:val="00553B52"/>
    <w:rsid w:val="00561535"/>
    <w:rsid w:val="00564FF1"/>
    <w:rsid w:val="00571E7B"/>
    <w:rsid w:val="00587ABA"/>
    <w:rsid w:val="005A251B"/>
    <w:rsid w:val="006207E2"/>
    <w:rsid w:val="00623B91"/>
    <w:rsid w:val="006349E3"/>
    <w:rsid w:val="006940D5"/>
    <w:rsid w:val="006A4126"/>
    <w:rsid w:val="006C2483"/>
    <w:rsid w:val="006F0A41"/>
    <w:rsid w:val="00712DD5"/>
    <w:rsid w:val="00742AA2"/>
    <w:rsid w:val="00784508"/>
    <w:rsid w:val="00795E45"/>
    <w:rsid w:val="007A733D"/>
    <w:rsid w:val="007C63EC"/>
    <w:rsid w:val="007D456A"/>
    <w:rsid w:val="007D6C81"/>
    <w:rsid w:val="007E3AA3"/>
    <w:rsid w:val="00813DFE"/>
    <w:rsid w:val="00826B1E"/>
    <w:rsid w:val="0087510C"/>
    <w:rsid w:val="008864C0"/>
    <w:rsid w:val="008E4D1C"/>
    <w:rsid w:val="00943C35"/>
    <w:rsid w:val="00957B0B"/>
    <w:rsid w:val="009D66F5"/>
    <w:rsid w:val="009F2949"/>
    <w:rsid w:val="00A24D3D"/>
    <w:rsid w:val="00A4408D"/>
    <w:rsid w:val="00A70309"/>
    <w:rsid w:val="00A83921"/>
    <w:rsid w:val="00AC4D15"/>
    <w:rsid w:val="00AE6084"/>
    <w:rsid w:val="00B07FE5"/>
    <w:rsid w:val="00B24162"/>
    <w:rsid w:val="00B42FC8"/>
    <w:rsid w:val="00B532E1"/>
    <w:rsid w:val="00B652BC"/>
    <w:rsid w:val="00BD6176"/>
    <w:rsid w:val="00C62D91"/>
    <w:rsid w:val="00C63D0E"/>
    <w:rsid w:val="00CA7DFA"/>
    <w:rsid w:val="00CE1221"/>
    <w:rsid w:val="00CF2AA9"/>
    <w:rsid w:val="00D06422"/>
    <w:rsid w:val="00D1762F"/>
    <w:rsid w:val="00D41F3C"/>
    <w:rsid w:val="00D45203"/>
    <w:rsid w:val="00D4554D"/>
    <w:rsid w:val="00D53643"/>
    <w:rsid w:val="00D7008C"/>
    <w:rsid w:val="00D93A61"/>
    <w:rsid w:val="00DB1B2A"/>
    <w:rsid w:val="00DC6C3C"/>
    <w:rsid w:val="00DC74EC"/>
    <w:rsid w:val="00DD08C8"/>
    <w:rsid w:val="00E82B4D"/>
    <w:rsid w:val="00E85266"/>
    <w:rsid w:val="00EF4A56"/>
    <w:rsid w:val="00F001FC"/>
    <w:rsid w:val="00F13C0A"/>
    <w:rsid w:val="00F32ADC"/>
    <w:rsid w:val="00F66D9F"/>
    <w:rsid w:val="00F97316"/>
    <w:rsid w:val="00FA7677"/>
    <w:rsid w:val="00FD6356"/>
    <w:rsid w:val="00FE5385"/>
    <w:rsid w:val="00FF6890"/>
    <w:rsid w:val="039E5141"/>
    <w:rsid w:val="069361E7"/>
    <w:rsid w:val="079C6557"/>
    <w:rsid w:val="0B153BFE"/>
    <w:rsid w:val="0BD11CC7"/>
    <w:rsid w:val="112D6307"/>
    <w:rsid w:val="1A722F70"/>
    <w:rsid w:val="1CFB4D8D"/>
    <w:rsid w:val="1E73425A"/>
    <w:rsid w:val="20BD4225"/>
    <w:rsid w:val="212D2D20"/>
    <w:rsid w:val="251D41DD"/>
    <w:rsid w:val="316806DB"/>
    <w:rsid w:val="33C4712A"/>
    <w:rsid w:val="351749AD"/>
    <w:rsid w:val="3623361D"/>
    <w:rsid w:val="37220676"/>
    <w:rsid w:val="39D31703"/>
    <w:rsid w:val="3A514537"/>
    <w:rsid w:val="3A5B4666"/>
    <w:rsid w:val="3C2C5290"/>
    <w:rsid w:val="40E950C6"/>
    <w:rsid w:val="4370525B"/>
    <w:rsid w:val="476211EC"/>
    <w:rsid w:val="59AC7A42"/>
    <w:rsid w:val="5ACE32A8"/>
    <w:rsid w:val="61925CC2"/>
    <w:rsid w:val="63944E4B"/>
    <w:rsid w:val="64352B74"/>
    <w:rsid w:val="64A343A6"/>
    <w:rsid w:val="671309C0"/>
    <w:rsid w:val="691C7219"/>
    <w:rsid w:val="6C1877FB"/>
    <w:rsid w:val="6DCC36D1"/>
    <w:rsid w:val="7425388F"/>
    <w:rsid w:val="74810682"/>
    <w:rsid w:val="799F5BD0"/>
    <w:rsid w:val="7A3815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eastAsia="方正仿宋_GBK"/>
    </w:rPr>
  </w:style>
  <w:style w:type="paragraph" w:styleId="3">
    <w:name w:val="Balloon Text"/>
    <w:basedOn w:val="1"/>
    <w:link w:val="9"/>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kern w:val="0"/>
      <w:sz w:val="18"/>
      <w:szCs w:val="18"/>
    </w:rPr>
  </w:style>
  <w:style w:type="character" w:styleId="8">
    <w:name w:val="Hyperlink"/>
    <w:qFormat/>
    <w:uiPriority w:val="0"/>
    <w:rPr>
      <w:color w:val="0000FF"/>
      <w:u w:val="single"/>
    </w:rPr>
  </w:style>
  <w:style w:type="character" w:customStyle="1" w:styleId="9">
    <w:name w:val="批注框文本 Char"/>
    <w:link w:val="3"/>
    <w:semiHidden/>
    <w:qFormat/>
    <w:uiPriority w:val="99"/>
    <w:rPr>
      <w:kern w:val="2"/>
      <w:sz w:val="18"/>
      <w:szCs w:val="18"/>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2264</Words>
  <Characters>2277</Characters>
  <Lines>45</Lines>
  <Paragraphs>12</Paragraphs>
  <TotalTime>1</TotalTime>
  <ScaleCrop>false</ScaleCrop>
  <LinksUpToDate>false</LinksUpToDate>
  <CharactersWithSpaces>2342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2024-07-08T02:56:00Z</dcterms:created>
  <dc:creator>DELL3264</dc:creator>
  <cp:lastModifiedBy>科技局规划科</cp:lastModifiedBy>
  <cp:lastPrinted>2024-07-15T07:42:00Z</cp:lastPrinted>
  <dcterms:modified xsi:type="dcterms:W3CDTF">2025-12-18T07:56:49Z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7A713C8B21764FD18CDBEBE31E1F9971_13</vt:lpwstr>
  </property>
  <property fmtid="{D5CDD505-2E9C-101B-9397-08002B2CF9AE}" pid="4" name="KSOTemplateDocerSaveRecord">
    <vt:lpwstr>eyJoZGlkIjoiOGU4NTZmNWY1MjdmNmMzZmI5MmUzMDQ5N2Q5YThiYjUiLCJ1c2VySWQiOiIxNTM1ODY2NjUyIn0=</vt:lpwstr>
  </property>
</Properties>
</file>