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江阴市市场监督管理局</w:t>
            </w:r>
            <w:r>
              <w:rPr>
                <w:b w:val="on"/>
                <w:rFonts w:ascii="宋体" w:eastAsia="宋体" w:hAnsi="宋体" w:cs="宋体"/>
                <w:sz w:val="52"/>
                <w:u w:color="auto"/>
              </w:rPr>
              <w:t xml:space="preserve"></w:t>
              <w:br w:type="textWrapping"/>
              <w:t>部门决算公开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部门</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部门</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负责市场综合监督管理。贯彻执行国家有关市场监督管理的方针政策和法律法规，拟订市场监督管理有关规范性文件。组织实施知识产权战略、质量强市战略、食品安全战略和标准化战略，拟订并组织实施有关规划，规范和维护市场秩序，营造诚实守信、公平竞争的市场环境。</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（二）负责参与反垄断统一执法工作。统筹推进竞争政策实施，组织指导实施公平竞争审查制度。依据授权参与本市和指定区域的反垄断执法工作。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监督管理市场秩序。依法监督管理市场交易、网络商品交易及有关服务的行为。组织指导查处价格收费违法违规、不正当竞争、违法直销、传销、侵犯商标专利知识产权和制售假冒伪劣行为。指导广告业发展，监督管理广告活动。组织指导查处无照生产经营和相关无证生产经营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宏观质量管理。拟订实施全市质量发展的制度措施。组织实施质量奖励制度，推进品牌发展战略。按照权限会同有关部门组织实施重大工程设备质量监理、服务质量监测、重大质量事故调查制度。根据上级有关规定要求组织实施缺陷产品召回制度，监督管理产品防伪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（五）负责产品质量安全监督管理。负责组织全市生产、流通领域产品质量监督检查工作。组织实施质量分级、质量安全追溯制度。实施工业产品生产许可管理。</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负责特种设备安全监督管理。综合管理特种设备安全监察、监督工作，监督检查高耗能特种设备节能标准和锅炉环境保护标准执行情况。按规定权限组织调查特种设备事故。组织开展特种设备安全宣传教育。</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食品安全监督管理。负责食品安全监督管理的综合协调，组织实施食品安全战略，组织制定并实施全市食品安全重大政策，建立健全食品安全重要信息直报制度。建立并组织实施覆盖食品生产、流通、消费全过程的监督检查制度和隐患排查治理机制，防范区域性、系统性食品安全风险。推动建立食品生产经营者主体责任落实机制，健全食品安全追溯体系。组织开展食品安全监督抽检、风险监测、核查处置和风险预警、风险交流工作。负责食品安全应急体系建设，组织指导食品安全事件应急处置工作。组织实施和监督管理食品生产经营企业许可、特殊食品备案工作。推动落实食品安全工作责任制。承担市食品安全委员会办公室的日常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（八）负责统一管理全市计量工作。贯彻实施国家计量制度，推行法定计量单位，管理计量器具及量值传递和比对工作，负责规范、监督商品量和市场计量行为。</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（九）负责统一管理全市标准化工作。组织制定并实施全市标准化战略和规划，组织实施标准以及对标准制定、实施进行监督。推动参与国际标准化活动。</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（十）负责统一管理全市检验检测工作。推进全市检验检测体系发展，完善全市检验检测体系。规范检验检测市场，指导协调全市检验检测行业发展。</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一）负责统一管理全市认证认可工作。组织实施国家统一的认证认可和合格评定监督管理制度，落实认证认可工作规划，指导和监督检查全市产品认证、体系认证、服务认证工作。指导促进全市认证行业发展。</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二）负责药品、医疗器械和化妆品的质量管理。组织实施药品零售、使用，医疗器械经营、使用，化妆品经营的行政监督和技术监督工作。组织开展监管对象药品、化妆品不良反应和医疗器械不良事件监测；建立健全药品安全应急体系；配合有关部门实施国家基本药物制度。</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三）负责统筹协调全市知识产权工作，落实国家、省市知识产权战略，拟订并组织实施我市知识产权战略和知识产权强市建设规划、计划；指导、协调重要经济科技活动知识产权评议；贯彻执行商标、专利、地理标志等知识产权保护制度；促进知识产权创造和运用；统筹推进知识产权公共服务体系建设；开展知识产权宣传、培训工作，推动知识产权人才队伍建设。</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四）负责法律、法规规定由市场监督管理部门承担的市场主体登记注册以及各类行政许可工作。建立市场主体信息公示和共享机制，依法公示和共享有关信息。加强信用监管，推动市场主体信用体系建设。按规定承担技术性贸易措施有关工作。负责全市市场监督管理系统科技和信息化建设、应急和新闻宣传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五）负责组织和指导市场监管综合执法工作，加强市场监管综合执法队伍建设。组织查处违反市场监督管理法律、法规、规章的行为。贯彻落实市综合行政执法体制改革相关工作任务，依据划转职权依法履行知识产权、物价、文化、粮油、商务、旅游、盐务行政处罚权。</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六）负责赋予镇街园区经济社会管理权限有关事项的法律法规宣传、政策制定、协调指导、业务培训等工作。牵头负责江苏政务服务网上有关赋权事项的动态调整和日常维护工作。承担公共安全体系建设的相关任务。</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（十七）完成市委、市政府交办的其他任务。</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（十八）职能转变。</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本部门下属单位包括：江阴市市场监管综合行政执法大队、江阴市食品安全检测中心、江阴市市场监管综合服务中心、江阴市生命健康产业创新服务中心。</w:t>
      </w:r>
      <w:r>
        <w:rPr>
          <w:rFonts w:ascii="仿宋" w:eastAsia="仿宋" w:hAnsi="仿宋" w:cs="仿宋"/>
          <w:u w:color="auto"/>
        </w:rPr>
        <w:t/>
      </w:r>
      <w:r>
        <w:rPr>
          <w:rFonts w:ascii="仿宋" w:eastAsia="仿宋" w:hAnsi="仿宋" w:cs="仿宋"/>
          <w:u w:color="auto"/>
        </w:rPr>
        <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5</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江阴市市场监督管理局（本级）、江阴市市场监管综合行政执法大队、江阴市食品安全检测中心、江阴市市场监管综合服务中心、江阴市生命健康产业创新服务中心。</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加强党建引领。成立局机关党委、机关纪委，开展“党员先锋进小区”“执法力量进小区”行动。举办首届网约配送员职业技能竞赛，升级优化“暨阳红骑士数字平台”，全力聚新暖新。聘任28名行风监督员，召开“开门案审会”，邀请人大代表、政协委员、人民群众参加市场监管工作会议、民生领域执法行动，推动权力在阳光下良性运行。</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服务发展大局。开展江阴市场监管“三心三航”主题活动和“你点我办、你评我改”活动，发放工作联系卡3000余张，办结“点单”事项1.3万余件。出台优化营商环境5.0版，以集群登记、一照多址等便利措施助力企业创新发展。积极融入全市生物医药产业发展，“一站一中心”指导江阴中医院获得江阴首个传统中药制剂备案。深化个体工商户分型分类精准帮扶省级试点工作，指导110余家商户申报“名特优新”个体工商户。</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集聚发展动能。新增“江苏精品”认证企业6家，1个案例获评苏浙皖赣沪质量品牌故事大赛优胜奖，1名首席质量官在省级竞赛中获奖。主导、参与完成84项国家、行业、地方标准的制（修）订。全国物品编码标准化技术委员会纺织品编码工作组成立会在江阴召开。《“江阴标准”为社会救助设置新路标》获评全省唯一“国家级”典型案例。成立企业上市知识产权服务中心，建设知识产权保护综合体，江阴入选首批县域国家级专利侵权纠纷行政裁决规范化建设试点。布局商业秘密保护战略，建设“企业创新孵化载体”。</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突出精管善治。建设江阴市场监管数据中心，对经营主体发展质量、产业活跃度开展定期分析，精准推动招商引资和市场监管。将信用监管融入行政执法全过程，“信用+执法”渐进式监管获批省级试点。健全监检结合、行刑衔接、执法联动工作机制，深化部门执法互助，推进长三角市场监管一体联动，“健全‘长江禁捕打非断链’专项行动联动执法工作机制”获评长三角市场监管一体化发展“最佳实践案例”。</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聚力保障安全。开展食品安全“突击查”行动10次。设立江阴首家“食物驿站”，推动成立“澄食坊”社区门店6家，建成“药事驿站”64家、儿童友好药房30家，“小手拉大手，童心共话食安未来”活动获评江苏省食品安全志愿服务优秀项目、全省食品安全典型案例。组织30类450批次市级专项抽查，加大监抽不合格产品查处力度。开展特种设备安全生产治本攻坚三年行动，指导人民医院建设安全管理示范点，完成老旧住宅电梯安全评估133台。</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江阴市市场监督管理局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部门</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color w:val="000000"/>
                <w:lang w:eastAsia="ar-SA"/>
              </w:rPr>
              <w:t>江阴市市场监督管理局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21,833.23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16,101.70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100.00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1,991.35</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211.13</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4.91</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3,424.14</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21,833.23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21,833.23</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21,833.23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21,833.23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21,833.23</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21,833.23</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16,101.70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16,101.70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知识产权事务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1,053.00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1,053.00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2011405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知识产权战略和规划</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297.89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297.89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2011499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其他知识产权事务支出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755.11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755.11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15,048.70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15,048.70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10,501.75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10,501.75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6.93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6.93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市场秩序执法</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60.56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60.56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质量基础</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370.00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370.00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药品事务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41.00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41.00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2013850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1,327.22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1,327.22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2,741.23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2,741.23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1,991.35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1,991.35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1,591.42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1,591.42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1,060.95</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1,060.95</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530.47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530.47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399.92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399.92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399.92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399.92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211.13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商业服务业等支出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2160699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其他涉外发展服务支出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4.91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3,424.14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3,424.14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3,424.14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3,424.14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882.66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882.66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1,731.87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1,731.87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809.61</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809.61</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21,833.23</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17,255.89</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4,577.34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16,101.70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11,840.40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4,261.30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知识产权事务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1,053.00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1,053.00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2011405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知识产权战略和规划</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297.89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297.89</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2011499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其他知识产权事务支出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755.11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755.11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15,048.70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11,840.40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3,208.30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10,501.75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10,501.75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6.93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6.93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市场秩序执法</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60.56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60.56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质量基础</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370.00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370.00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药品事务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41.00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41.00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2013850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1,327.22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1,327.22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2,741.23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11.43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2,729.81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1,991.35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1,991.35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1,591.42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1,591.42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1,060.95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1,060.95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530.47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530.47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399.92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399.92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399.92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399.92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211.13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商业服务业等支出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涉外发展服务支出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2160699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其他涉外发展服务支出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4.91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3,424.14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3,424.14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3,424.14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3,424.14</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882.66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882.66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1,731.87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1,731.87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809.61</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809.61</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21,833.23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16,101.70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16,101.70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100.00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1,991.35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1,991.35</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211.13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211.13</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4.91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4.91</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3,424.14</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3,424.14</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21,833.23</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21,833.23</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21,833.23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21,833.23</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21,833.23</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21,833.23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21,833.23</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17,255.89</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4,577.34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16,101.70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11,840.40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4,261.30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知识产权事务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1,053.00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1,053.00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2011405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知识产权战略和规划</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297.89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297.89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2011499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其他知识产权事务支出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755.11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755.11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15,048.70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11,840.40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3,208.30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10,501.75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10,501.75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6.93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6.93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市场秩序执法</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60.56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60.56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质量基础</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370.00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370.00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药品事务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41.00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41.00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2013850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1,327.22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1,327.22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2,741.23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11.43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2,729.81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100.00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1,991.35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1,991.35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1,591.42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1,591.42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1,060.95</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1,060.95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530.47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530.47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399.92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399.92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399.92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399.92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211.13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211.13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211.13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211.13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商业服务业等支出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2160699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其他涉外发展服务支出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4.91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4.91</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3,424.14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3,424.14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3,424.14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3,424.14</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882.66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882.66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1,731.87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1,731.87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809.61</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809.61</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17,255.89</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16,080.33</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1,175.56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14,984.30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14,984.30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1,568.11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1,568.10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4,940.02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4,940.02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4,168.30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4,168.30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306.76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306.76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1,060.95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1,060.95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530.47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530.47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359.81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359.81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40.12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882.66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882.66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38.72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38.72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1,088.40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1,088.40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1,173.81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1,173.81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209.29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209.29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11.82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8.82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186.71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186.71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44.07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44.07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2.66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2.66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58.24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58.24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74.64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74.64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8.35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8.35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3.79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3.79</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13.85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13.85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35.56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35.56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88.55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88.55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99.87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99.87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17.07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17.07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302.31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302.31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1,096.03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1,096.03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7.76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7.76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955.02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955.02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99.09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99.09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23.86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10.31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21,833.23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17,255.89</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4,577.34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16,101.70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11,840.40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4,261.30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知识产权事务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1,053.00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1,053.00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2011405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知识产权战略和规划</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297.89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297.89</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2011499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其他知识产权事务支出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755.11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755.11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15,048.70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11,840.40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3,208.30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10,501.75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10,501.75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6.93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6.93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市场秩序执法</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60.56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60.56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质量基础</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370.00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370.00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2013812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药品事务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41.00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41.00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1,327.22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1,327.22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2,741.23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11.43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2,729.81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100.00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1,991.35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1,991.35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1,591.42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1,591.42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1,060.95</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1,060.95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530.47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530.47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399.92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399.92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399.92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399.92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211.13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211.13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2129999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211.13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211.13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商业服务业等支出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2160699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其他涉外发展服务支出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4.91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4.91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3,424.14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3,424.14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3,424.14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3,424.14</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882.66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882.66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1,731.87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1,731.87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809.61</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809.61</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17,255.89</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16,080.33</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1,175.56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14,984.30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14,984.30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1,568.11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1,568.10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4,940.02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4,940.02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4,168.30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4,168.30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306.76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306.76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1,060.95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1,060.95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530.47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530.47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359.81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359.81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40.12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40.12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882.66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882.66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38.72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38.72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1,088.40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1,088.40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1,173.81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1,173.81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209.29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209.29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11.82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11.82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8.82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8.82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186.71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186.71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44.07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44.07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2.66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2.66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58.24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58.24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74.64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74.64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8.35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8.35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3.79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3.79</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13.85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13.85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35.56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35.56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88.55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88.55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99.87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99.87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17.07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17.07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302.31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302.31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1,096.03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1,096.03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7.76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7.76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955.02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955.02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99.09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99.09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23.86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23.86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10.31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10.31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184.33</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4.91</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175.63</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75.76</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99.87</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3.79</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0.31</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23.87</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184.33</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4.91</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175.63</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75.76</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99.87</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3.79</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0.31</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23.27</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4</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55</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17</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430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150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196</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部门</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部门</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1,056.10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1,056.10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190.23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9.43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8.37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144.06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42.70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2.66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55.09</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74.46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0.10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6.75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3.36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13.85</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8.00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34.67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78.44</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99.87</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5.40</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278.66</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部门</w:t>
            </w:r>
            <w:r>
              <w:rPr>
                <w:color w:val="000000"/>
                <w:rFonts w:ascii="仿宋" w:eastAsia="仿宋" w:hAnsi="仿宋" w:cs="仿宋"/>
                <w:u w:color="auto"/>
              </w:rPr>
              <w:t>名称：</w:t>
            </w:r>
            <w:r>
              <w:rPr>
                <w:rFonts w:hint="eastAsia" w:ascii="仿宋" w:hAnsi="仿宋" w:eastAsia="仿宋" w:cs="仿宋"/>
              </w:rPr>
              <w:t>江阴市市场监督管理局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718.21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112.21</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606.00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2024年度收入、支出决算总计21,833.23万元。与上年相比，收、支总计各增加1,330.8万元，增长6.49%。其中：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（一）收入决算总计21,833.23万元。包括：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1.本年收入决算合计21,833.23万元。与上年相比，增加1,330.8万元，增长6.49%，变动原因：增加一家下属事业单位。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（二）支出决算总计21,833.23万元。包括：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1.本年支出决算合计21,833.23万元。与上年相比，增加1,330.8万元，增长6.49%，变动原因：增加一家下属事业单位。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21,833.23万元，其中：财政拨款收入21,833.23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2024年度本年支出决算合计21,833.23万元，其中：基本支出17,255.89万元，占79.03%；项目支出4,577.34万元，占20.97%；上缴上级支出0万元，占0%；经营支出0万元，占0%；对附属单位补助支出0万元，占0%。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2024年度财政拨款收入、支出决算总计21,833.23万元。与上年相比，收、支总计各增加1,330.8万元，增长6.49%，变动原因：增加一家下属事业单位。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2024年度财政拨款支出决算21,833.23万元，占本年支出合计的100%。与2024年度财政拨款支出年初预算20,300.24万元相比，完成年初预算的107.55%。其中：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知识产权事务（款）知识产权战略和规划（项）。年初预算0万元，支出决算297.89万元，（年初预算数为0万元，无法计算完成比率）决算数与年初预算数的差异原因：上级拨付知识产权专项经费，未纳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2.知识产权事务（款）其他知识产权事务支出（项）。年初预算1,000万元，支出决算755.11万元，完成年初预算的75.51%。决算数与年初预算数的差异原因：知识产权奖补范围和比例调整导致较年初预算减少。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3.市场监督管理事务（款）行政运行（项）。年初预算10,660.42万元，支出决算10,501.75万元，完成年初预算的98.51%。决算数与年初预算数的差异原因：厉行节约，经费压减。</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4.市场监督管理事务（款）一般行政管理事务（项）。年初预算7万元，支出决算6.93万元，完成年初预算的99%。决算数与年初预算数的差异原因：电梯保险补贴按照实际补贴台数支付费用。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市场监督管理事务（款）市场秩序执法（项）。年初预算0万元，支出决算60.56万元，（年初预算数为0万元，无法计算完成比率）决算数与年初预算数的差异原因：无锡局拨付市场监管专项经费，未纳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6.市场监督管理事务（款）质量基础（项）。年初预算0万元，支出决算370万元，（年初预算数为0万元，无法计算完成比率）决算数与年初预算数的差异原因：上级拨付质量强省奖补资金，未纳入年初预算。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7.市场监督管理事务（款）药品事务（项）。年初预算0万元，支出决算41万元，（年初预算数为0万元，无法计算完成比率）决算数与年初预算数的差异原因：上级拨付药品监管经费，未纳入年初预算。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8.市场监督管理事务（款）事业运行（项）。年初预算984.38万元，支出决算1,327.22万元，完成年初预算的134.83%。决算数与年初预算数的差异原因：工资福利政策性调整。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市场监督管理事务（款）其他市场监督管理事务（项）。年初预算2,200万元，支出决算2,741.23万元，完成年初预算的124.6%。决算数与年初预算数的差异原因：中央拨付棉花公证检验费等上级拨付经费及食品小作坊补贴经费根据实际情况予以增加，未纳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（二）科学技术支出（类）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科学技术支出（款）其他科学技术支出（项）。年初预算0万元，支出决算100万元，（年初预算数为0万元，无法计算完成比率）决算数与年初预算数的差异原因：无锡局拨付知识产权专项资金，未纳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1.行政事业单位养老支出（款）机关事业单位基本养老保险缴费支出（项）。年初预算1,064.02万元，支出决算1,060.95万元，完成年初预算的99.71%。决算数与年初预算数的差异原因：养老金基数政策性调整。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2.行政事业单位养老支出（款）机关事业单位职业年金缴费支出（项）。年初预算532.03万元，支出决算530.47万元，完成年初预算的99.71%。决算数与年初预算数的差异原因：职业年金基数政策性调整。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其他社会保障和就业支出（款）其他社会保障和就业支出（项）。年初预算354.73万元，支出决算399.92万元，完成年初预算的112.74%。决算数与年初预算数的差异原因：医疗保险、工伤保险、失业保险等基数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其他城乡社区支出（款）其他城乡社区支出（项）。年初预算213.38万元，支出决算211.13万元，完成年初预算的98.95%。决算数与年初预算数的差异原因：物业食堂人员工资按照实际工作情况予以支付。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（五）商业服务业等支出（类）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涉外发展服务支出（款）其他涉外发展服务支出（项）。年初预算0万元，支出决算4.91万元，（年初预算数为0万元，无法计算完成比率）决算数与年初预算数的差异原因：一人因公出国考察费用，未纳入年初预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1.住房改革支出（款）住房公积金（项）。年初预算784.63万元，支出决算882.66万元，完成年初预算的112.49%。决算数与年初预算数的差异原因：住房公积金基数政策性调整。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2.住房改革支出（款）提租补贴（项）。年初预算1,687.99万元，支出决算1,731.87万元，完成年初预算的102.6%。决算数与年初预算数的差异原因：提租补贴基数政策性调整。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3.住房改革支出（款）购房补贴（项）。年初预算811.66万元，支出决算809.61万元，完成年初预算的99.75%。决算数与年初预算数的差异原因：购房补贴基数政策性调整。</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2024年度财政拨款基本支出决算17,255.89万元，其中：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（一）人员经费16,080.33万元。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工资福利支出、离休费、退休费、抚恤金、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（二）公用经费1,175.56万元。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物业管理费、差旅费、维修（护）费、会议费、培训费、公务接待费、专用材料费、被装购置费、劳务费、委托业务费、工会经费、公务用车运行维护费、其他交通费用、其他商品和服务支出、其他资本性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2024年度一般公共预算财政拨款支出决算21,833.23万元。与上年相比，增加1,330.8万元，增长6.49%，变动原因：增加一家下属事业单位。</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2024年度一般公共预算财政拨款基本支出决算17,255.89万元，其中：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（一）人员经费16,080.33万元。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其他工资福利支出、离休费、退休费、抚恤金、生活补助、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（二）公用经费1,175.56万元。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物业管理费、差旅费、维修（护）费、会议费、培训费、公务接待费、专用材料费、被装购置费、劳务费、委托业务费、工会经费、公务用车运行维护费、其他交通费用、其他商品和服务支出、其他资本性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184.33万元（其中：一般公共预算支出184.33万元；政府性基金预算支出0万元；国有资本经营预算支出0万元）。与上年相比，增加22.39万元，变动原因：新增购置公务用车，导致公务用车购置费增加。其中，因公出国（境）费支出4.91万元，占“三公”经费的2.66%；公务用车购置及运行维护费支出175.63万元，占“三公”经费的95.28%；公务接待费支出3.79万元，占“三公”经费的2.06%。2024年度财政拨款“三公”经费支出预算184.33万元（其中：一般公共预算支出184.33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4.91万元（其中：一般公共预算支出4.91万元；政府性基金预算支出0万元；国有资本经营预算支出0万元），支出决算4.91万元（其中：一般公共预算支出4.91万元；政府性基金预算支出0万元；国有资本经营预算支出0万元），完成调整后预算的100%，决算数与预算数相同。全年使用财政拨款涉及的出国（境）团组1个，累计1人次。开支内容：一人因公出国考察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175.63万元（其中：一般公共预算支出175.63万元；政府性基金预算支出0万元；国有资本经营预算支出0万元），支出决算175.63万元（其中：一般公共预算支出175.63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（1）公务用车购置支出决算75.76万元。本年度使用财政拨款购置公务用车4辆，开支内容：新增购置油电混动公务用车4辆费用。</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99.87万元。公务用车运行维护费主要用于按规定保留的公务用车的燃料费、维修费、过桥过路费、保险费、安全奖励费用等支出。截至2024年12月31日，使用财政拨款开支的公务用车保有量为55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3.79万元（其中：一般公共预算支出3.79万元；政府性基金预算支出0万元；国有资本经营预算支出0万元），支出决算3.79万元（其中：一般公共预算支出3.79万元；政府性基金预算支出0万元；国有资本经营预算支出0万元），完成调整后预算的100%，决算数与预算数相同。其中：国内公务接待支出3.79万元，接待17批次，430人次，开支内容：接待上级来人来访餐费；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0.31万元（其中：一般公共预算支出0.31万元；政府性基金预算支出0万元；国有资本经营预算支出0万元），支出决算0.31万元（其中：一般公共预算支出0.31万元；政府性基金预算支出0万元；国有资本经营预算支出0万元），完成调整后预算的100%，决算数与预算数相同。2024年度全年召开会议3个，参加会议150人次，开支内容：知识产权等业务条线会议场租费。</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23.87万元（其中：一般公共预算支出23.87万元；政府性基金预算支出0万元；国有资本经营预算支出0万元），支出决算23.27万元（其中：一般公共预算支出23.27万元；政府性基金预算支出0万元；国有资本经营预算支出0万元），完成调整后预算的97.49%，决算数与预算数的差异原因：为节约开支，部分业务条线培训改为线上视频培训。2024年度全年组织培训21个，组织培训196人次，开支内容：市场监管各业务条线执法办案培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1,056.1万元（其中：一般公共预算支出1,056.1万元；政府性基金预算支出0万元；国有资本经营预算支出0万元）。与上年相比，增加78.74万元，增长8.06%，变动原因：午餐补贴调整至机关运行经费列支。</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718.21万元，其中：政府采购货物支出112.21万元、政府采购工程支出0万元、政府采购服务支出606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部门共有车辆62辆，其中：副部(省)级及以上领导用车0辆、主要领导干部用车0辆、机要通信用车0辆、应急保障用车0辆、执法执勤用车53辆、特种专业技术用车0辆、离退休干部用车0辆、其他用车9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2024年度，本部门共1个项目开展了财政重点绩效评价，涉及财政性资金合计821.74万元；本部门未开展部门整体支出财政重点绩效评价，涉及财政性资金0万元。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本部门组织所属单位共对上年度已实施完成的13个项目开展了绩效自评价，涉及财政性资金合计3,170.15万元；本部门组织所属单位共开展5项单位整体支出绩效自评价，涉及财政性资金合计21,833.23万元。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本部门共0个项目开展了部门评价，涉及财政性资金合计0万元；本部门未开展部门整体支出部门评价，涉及财政性资金0万元。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十九、一般公共服务支出(类)知识产权事务(款)知识产权战略和规划(项)</w:t>
      </w:r>
      <w:r>
        <w:rPr>
          <w:b w:val="on"/>
          <w:rFonts w:ascii="仿宋" w:eastAsia="仿宋" w:hAnsi="仿宋" w:cs="仿宋"/>
          <w:u w:color="auto"/>
        </w:rPr>
        <w:t>：</w:t>
      </w:r>
      <w:r>
        <w:rPr>
          <w:rFonts w:hint="eastAsia" w:ascii="仿宋" w:hAnsi="仿宋" w:eastAsia="仿宋" w:cs="仿宋"/>
        </w:rPr>
        <w:t>反映知识产权战略和规划的制定、实施、评估和统计监测等方面的支出。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二十、一般公共服务支出(类)知识产权事务(款)其他知识产权事务支出(项)</w:t>
      </w:r>
      <w:r>
        <w:rPr>
          <w:b w:val="on"/>
          <w:rFonts w:ascii="仿宋" w:eastAsia="仿宋" w:hAnsi="仿宋" w:cs="仿宋"/>
          <w:u w:color="auto"/>
        </w:rPr>
        <w:t>：</w:t>
      </w:r>
      <w:r>
        <w:rPr>
          <w:rFonts w:hint="eastAsia" w:ascii="仿宋" w:hAnsi="仿宋" w:eastAsia="仿宋" w:cs="仿宋"/>
        </w:rPr>
        <w:t>反映除上述项目以外其他用于知识产权事务方面的支出。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二十一、一般公共服务支出(类)市场监督管理事务(款)行政运行(项)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二十二、一般公共服务支出(类)市场监督管理事务(款)一般行政管理事务(项)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二十三、一般公共服务支出(类)市场监督管理事务(款)市场秩序执法(项)</w:t>
      </w:r>
      <w:r>
        <w:rPr>
          <w:b w:val="on"/>
          <w:rFonts w:ascii="仿宋" w:eastAsia="仿宋" w:hAnsi="仿宋" w:cs="仿宋"/>
          <w:u w:color="auto"/>
        </w:rPr>
        <w:t>：</w:t>
      </w:r>
      <w:r>
        <w:rPr>
          <w:rFonts w:hint="eastAsia" w:ascii="仿宋" w:hAnsi="仿宋" w:eastAsia="仿宋" w:cs="仿宋"/>
        </w:rPr>
        <w:t>反映反垄断、价格监督、反不正当竞争、规范直销与打击传销、网络交易监管、广告监管、消费者权益保护、综合执法等市场秩序执法专项工作支出。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二十四、一般公共服务支出(类)市场监督管理事务(款)质量基础(项)</w:t>
      </w:r>
      <w:r>
        <w:rPr>
          <w:b w:val="on"/>
          <w:rFonts w:ascii="仿宋" w:eastAsia="仿宋" w:hAnsi="仿宋" w:cs="仿宋"/>
          <w:u w:color="auto"/>
        </w:rPr>
        <w:t>：</w:t>
      </w:r>
      <w:r>
        <w:rPr>
          <w:rFonts w:hint="eastAsia" w:ascii="仿宋" w:hAnsi="仿宋" w:eastAsia="仿宋" w:cs="仿宋"/>
        </w:rPr>
        <w:t>反映计量、标准、认证认可、检验检测等质量基础专项工作支出。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二十五、一般公共服务支出(类)市场监督管理事务(款)药品事务(项)</w:t>
      </w:r>
      <w:r>
        <w:rPr>
          <w:b w:val="on"/>
          <w:rFonts w:ascii="仿宋" w:eastAsia="仿宋" w:hAnsi="仿宋" w:cs="仿宋"/>
          <w:u w:color="auto"/>
        </w:rPr>
        <w:t>：</w:t>
      </w:r>
      <w:r>
        <w:rPr>
          <w:rFonts w:hint="eastAsia" w:ascii="仿宋" w:hAnsi="仿宋" w:eastAsia="仿宋" w:cs="仿宋"/>
        </w:rPr>
        <w:t>反映用于药品（含中药、民族药）监督管理方面的支出。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二十六、一般公共服务支出(类)市场监督管理事务(款)事业运行(项)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二十七、一般公共服务支出(类)市场监督管理事务(款)其他市场监督管理事务(项)</w:t>
      </w:r>
      <w:r>
        <w:rPr>
          <w:b w:val="on"/>
          <w:rFonts w:ascii="仿宋" w:eastAsia="仿宋" w:hAnsi="仿宋" w:cs="仿宋"/>
          <w:u w:color="auto"/>
        </w:rPr>
        <w:t>：</w:t>
      </w:r>
      <w:r>
        <w:rPr>
          <w:rFonts w:hint="eastAsia" w:ascii="仿宋" w:hAnsi="仿宋" w:eastAsia="仿宋" w:cs="仿宋"/>
        </w:rPr>
        <w:t>反映用于除上述项目以外其他市场监督管理事务方面的支出。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二十八、科学技术支出(类)其他科学技术支出(款)其他科学技术支出(项)</w:t>
      </w:r>
      <w:r>
        <w:rPr>
          <w:b w:val="on"/>
          <w:rFonts w:ascii="仿宋" w:eastAsia="仿宋" w:hAnsi="仿宋" w:cs="仿宋"/>
          <w:u w:color="auto"/>
        </w:rPr>
        <w:t>：</w:t>
      </w:r>
      <w:r>
        <w:rPr>
          <w:rFonts w:hint="eastAsia" w:ascii="仿宋" w:hAnsi="仿宋" w:eastAsia="仿宋" w:cs="仿宋"/>
        </w:rPr>
        <w:t>反映其他科学技术支出中除以上各项外用于科技方面的支出。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三十一、社会保障和就业支出(类)其他社会保障和就业支出(款)其他社会保障和就业支出(项)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三十二、城乡社区支出(类)其他城乡社区支出(款)其他城乡社区支出(项)</w:t>
      </w:r>
      <w:r>
        <w:rPr>
          <w:b w:val="on"/>
          <w:rFonts w:ascii="仿宋" w:eastAsia="仿宋" w:hAnsi="仿宋" w:cs="仿宋"/>
          <w:u w:color="auto"/>
        </w:rPr>
        <w:t>：</w:t>
      </w:r>
      <w:r>
        <w:rPr>
          <w:rFonts w:hint="eastAsia" w:ascii="仿宋" w:hAnsi="仿宋" w:eastAsia="仿宋" w:cs="仿宋"/>
        </w:rPr>
        <w:t>反映除上述项目以外其他用于城乡社区方面的支出。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三十三、商业服务业等支出(类)涉外发展服务支出(款)其他涉外发展服务支出(项)</w:t>
      </w:r>
      <w:r>
        <w:rPr>
          <w:b w:val="on"/>
          <w:rFonts w:ascii="仿宋" w:eastAsia="仿宋" w:hAnsi="仿宋" w:cs="仿宋"/>
          <w:u w:color="auto"/>
        </w:rPr>
        <w:t>：</w:t>
      </w:r>
      <w:r>
        <w:rPr>
          <w:rFonts w:hint="eastAsia" w:ascii="仿宋" w:hAnsi="仿宋" w:eastAsia="仿宋" w:cs="仿宋"/>
        </w:rPr>
        <w:t>反映除上述项目以外其他用于涉外发展服务方面的支出。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三十六、住房保障支出(类)住房改革支出(款)购房补贴(项)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江阴市市场监督管理局</w:t>
    </w:r>
    <w:r>
      <w:rPr>
        <w:rFonts w:hint="eastAsia"/>
        <w:lang w:val="en-US" w:eastAsia="zh-CN"/>
      </w:rPr>
      <w:t>2024</w:t>
    </w:r>
    <w:r>
      <w:rPr>
        <w:rFonts w:hint="eastAsia"/>
        <w:lang w:val="en-US"/>
        <w:u/>
      </w:rPr>
      <w:t>年度</w:t>
    </w:r>
    <w:r>
      <w:rPr>
        <w:u w:color="auto"/>
      </w:rPr>
      <w:t>部门</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