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各投标人： 祝塘镇余锡河整治工程（标段编号：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(Z)JYSZH20250833601348）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绿化单位工程的规费中，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>社会保险费费率为3.30%，住房公积金费率为0.55%。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特此说明。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苏州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中海工程项目管理有限公司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2025年8月21日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sz w:val="18"/>
      <w:szCs w:val="18"/>
      <w:u w:val="single"/>
    </w:rPr>
  </w:style>
  <w:style w:type="character" w:styleId="5">
    <w:name w:val="Hyperlink"/>
    <w:basedOn w:val="3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2025-08-21T07:28:28Z</dcterms:created>
  <dc:creator>MYY</dc:creator>
  <cp:lastModifiedBy>季</cp:lastModifiedBy>
  <dcterms:modified xsi:type="dcterms:W3CDTF">2025-08-21T07:32:15Z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