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95C56">
      <w:pPr>
        <w:spacing w:line="250" w:lineRule="auto"/>
        <w:rPr>
          <w:rFonts w:ascii="Arial"/>
          <w:sz w:val="21"/>
        </w:rPr>
      </w:pPr>
    </w:p>
    <w:p w14:paraId="19A688F7">
      <w:pPr>
        <w:spacing w:line="250" w:lineRule="auto"/>
        <w:rPr>
          <w:rFonts w:ascii="Arial"/>
          <w:sz w:val="21"/>
        </w:rPr>
      </w:pPr>
    </w:p>
    <w:p w14:paraId="423BA550">
      <w:pPr>
        <w:spacing w:line="250" w:lineRule="auto"/>
        <w:rPr>
          <w:rFonts w:ascii="Arial"/>
          <w:sz w:val="21"/>
        </w:rPr>
      </w:pPr>
    </w:p>
    <w:p w14:paraId="04A7DFFD">
      <w:pPr>
        <w:spacing w:line="250" w:lineRule="auto"/>
        <w:rPr>
          <w:rFonts w:ascii="Arial"/>
          <w:sz w:val="21"/>
        </w:rPr>
      </w:pPr>
    </w:p>
    <w:p w14:paraId="566F7EEC">
      <w:pPr>
        <w:spacing w:line="250" w:lineRule="auto"/>
        <w:rPr>
          <w:rFonts w:ascii="Arial"/>
          <w:sz w:val="21"/>
        </w:rPr>
      </w:pPr>
    </w:p>
    <w:p w14:paraId="58D4571C">
      <w:pPr>
        <w:spacing w:line="250" w:lineRule="auto"/>
        <w:rPr>
          <w:rFonts w:ascii="Arial"/>
          <w:sz w:val="21"/>
        </w:rPr>
      </w:pPr>
    </w:p>
    <w:p w14:paraId="28F08A1A">
      <w:pPr>
        <w:spacing w:line="250" w:lineRule="auto"/>
        <w:rPr>
          <w:rFonts w:ascii="Arial"/>
          <w:sz w:val="21"/>
        </w:rPr>
      </w:pPr>
    </w:p>
    <w:p w14:paraId="35FA88A5">
      <w:pPr>
        <w:spacing w:line="250" w:lineRule="auto"/>
        <w:rPr>
          <w:rFonts w:ascii="Arial"/>
          <w:sz w:val="21"/>
        </w:rPr>
      </w:pPr>
    </w:p>
    <w:p w14:paraId="2A454F99">
      <w:pPr>
        <w:spacing w:line="250" w:lineRule="auto"/>
        <w:rPr>
          <w:rFonts w:ascii="Arial"/>
          <w:sz w:val="21"/>
        </w:rPr>
      </w:pPr>
    </w:p>
    <w:p w14:paraId="2A7755C1">
      <w:pPr>
        <w:spacing w:line="250" w:lineRule="auto"/>
        <w:rPr>
          <w:rFonts w:ascii="Arial"/>
          <w:sz w:val="21"/>
        </w:rPr>
      </w:pPr>
    </w:p>
    <w:p w14:paraId="25659E06">
      <w:pPr>
        <w:spacing w:line="250" w:lineRule="auto"/>
        <w:rPr>
          <w:rFonts w:ascii="Arial"/>
          <w:sz w:val="21"/>
        </w:rPr>
      </w:pPr>
    </w:p>
    <w:p w14:paraId="63C9253F">
      <w:pPr>
        <w:spacing w:line="250" w:lineRule="auto"/>
        <w:rPr>
          <w:rFonts w:ascii="Arial"/>
          <w:sz w:val="21"/>
        </w:rPr>
      </w:pPr>
    </w:p>
    <w:p w14:paraId="3D744905">
      <w:pPr>
        <w:spacing w:line="250" w:lineRule="auto"/>
        <w:rPr>
          <w:rFonts w:ascii="Arial"/>
          <w:sz w:val="21"/>
        </w:rPr>
      </w:pPr>
    </w:p>
    <w:p w14:paraId="1E7F5B6F">
      <w:pPr>
        <w:spacing w:line="250" w:lineRule="auto"/>
        <w:rPr>
          <w:rFonts w:ascii="Arial"/>
          <w:sz w:val="21"/>
        </w:rPr>
      </w:pPr>
    </w:p>
    <w:p w14:paraId="3EFA7373">
      <w:pPr>
        <w:spacing w:line="250" w:lineRule="auto"/>
        <w:rPr>
          <w:rFonts w:ascii="Arial"/>
          <w:sz w:val="21"/>
        </w:rPr>
      </w:pPr>
      <w:bookmarkStart w:id="0" w:name="_GoBack"/>
      <w:bookmarkEnd w:id="0"/>
    </w:p>
    <w:p w14:paraId="6D72E8C2">
      <w:pPr>
        <w:spacing w:line="250" w:lineRule="auto"/>
        <w:rPr>
          <w:rFonts w:ascii="Arial"/>
          <w:sz w:val="21"/>
        </w:rPr>
      </w:pPr>
    </w:p>
    <w:p w14:paraId="1E9D1A7B">
      <w:pPr>
        <w:spacing w:line="251" w:lineRule="auto"/>
        <w:rPr>
          <w:rFonts w:ascii="Arial"/>
          <w:sz w:val="21"/>
        </w:rPr>
      </w:pPr>
    </w:p>
    <w:p w14:paraId="574B89CB">
      <w:pPr>
        <w:spacing w:line="251" w:lineRule="auto"/>
        <w:rPr>
          <w:rFonts w:ascii="Arial"/>
          <w:sz w:val="21"/>
        </w:rPr>
      </w:pPr>
    </w:p>
    <w:p w14:paraId="302CB0C2">
      <w:pPr>
        <w:spacing w:line="251" w:lineRule="auto"/>
        <w:rPr>
          <w:rFonts w:ascii="Arial"/>
          <w:sz w:val="21"/>
        </w:rPr>
      </w:pPr>
    </w:p>
    <w:p w14:paraId="6CCEDC42">
      <w:pPr>
        <w:pStyle w:val="2"/>
        <w:spacing w:before="119" w:line="234" w:lineRule="auto"/>
        <w:ind w:left="3040"/>
      </w:pPr>
      <w:r>
        <w:rPr>
          <w:spacing w:val="-2"/>
        </w:rPr>
        <w:t>锡财综〔</w:t>
      </w:r>
      <w:r>
        <w:rPr>
          <w:rFonts w:ascii="Times New Roman" w:hAnsi="Times New Roman" w:eastAsia="Times New Roman" w:cs="Times New Roman"/>
          <w:spacing w:val="-2"/>
        </w:rPr>
        <w:t>2025</w:t>
      </w:r>
      <w:r>
        <w:rPr>
          <w:spacing w:val="-2"/>
        </w:rPr>
        <w:t>〕</w:t>
      </w: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2"/>
        </w:rPr>
        <w:t>号</w:t>
      </w:r>
    </w:p>
    <w:p w14:paraId="2D80DA84">
      <w:pPr>
        <w:spacing w:before="140" w:line="24" w:lineRule="exact"/>
      </w:pPr>
    </w:p>
    <w:p w14:paraId="7A1D2946">
      <w:pPr>
        <w:spacing w:line="289" w:lineRule="auto"/>
        <w:rPr>
          <w:rFonts w:ascii="Arial"/>
          <w:sz w:val="21"/>
        </w:rPr>
      </w:pPr>
    </w:p>
    <w:p w14:paraId="1C5A6603">
      <w:pPr>
        <w:spacing w:line="289" w:lineRule="auto"/>
        <w:rPr>
          <w:rFonts w:ascii="Arial"/>
          <w:sz w:val="21"/>
        </w:rPr>
      </w:pPr>
    </w:p>
    <w:p w14:paraId="5527C6C7">
      <w:pPr>
        <w:spacing w:line="290" w:lineRule="auto"/>
        <w:rPr>
          <w:rFonts w:ascii="Arial"/>
          <w:sz w:val="21"/>
        </w:rPr>
      </w:pPr>
    </w:p>
    <w:p w14:paraId="6CF13172">
      <w:pPr>
        <w:spacing w:before="164" w:line="668" w:lineRule="exact"/>
        <w:ind w:left="2775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pacing w:val="1"/>
          <w:position w:val="4"/>
          <w:sz w:val="44"/>
          <w:szCs w:val="44"/>
        </w:rPr>
        <w:t>关于公布 2025 年</w:t>
      </w:r>
    </w:p>
    <w:p w14:paraId="71965E88">
      <w:pPr>
        <w:spacing w:before="38" w:line="209" w:lineRule="auto"/>
        <w:ind w:left="1133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pacing w:val="-1"/>
          <w:sz w:val="44"/>
          <w:szCs w:val="44"/>
        </w:rPr>
        <w:t>无锡市政府性基金项目目录的通知</w:t>
      </w:r>
    </w:p>
    <w:p w14:paraId="393149CA">
      <w:pPr>
        <w:spacing w:line="401" w:lineRule="auto"/>
        <w:rPr>
          <w:rFonts w:ascii="Arial"/>
          <w:sz w:val="21"/>
        </w:rPr>
      </w:pPr>
    </w:p>
    <w:p w14:paraId="794FA130">
      <w:pPr>
        <w:pStyle w:val="2"/>
        <w:spacing w:before="120" w:line="234" w:lineRule="auto"/>
        <w:ind w:left="32"/>
      </w:pPr>
      <w:r>
        <w:rPr>
          <w:spacing w:val="-4"/>
        </w:rPr>
        <w:t>市委各部委办，市各委办局，市各直属单位，各区财政局：</w:t>
      </w:r>
    </w:p>
    <w:p w14:paraId="15D987D9">
      <w:pPr>
        <w:pStyle w:val="2"/>
        <w:spacing w:before="84" w:line="281" w:lineRule="auto"/>
        <w:ind w:left="26" w:right="128" w:firstLine="642"/>
        <w:jc w:val="both"/>
      </w:pPr>
      <w:r>
        <w:rPr>
          <w:spacing w:val="7"/>
        </w:rPr>
        <w:t>为落实国家和省关于建立和实施收费基金目录清单制度的</w:t>
      </w:r>
      <w:r>
        <w:t xml:space="preserve"> </w:t>
      </w:r>
      <w:r>
        <w:rPr>
          <w:spacing w:val="-5"/>
        </w:rPr>
        <w:t>管理要求，提高政府性基金政策透明度，加强社会监督</w:t>
      </w:r>
      <w:r>
        <w:rPr>
          <w:spacing w:val="-6"/>
        </w:rPr>
        <w:t>，根据江</w:t>
      </w:r>
      <w:r>
        <w:t xml:space="preserve"> 苏省财政厅《关于公布 </w:t>
      </w:r>
      <w:r>
        <w:rPr>
          <w:rFonts w:ascii="Times New Roman" w:hAnsi="Times New Roman" w:eastAsia="Times New Roman" w:cs="Times New Roman"/>
        </w:rPr>
        <w:t xml:space="preserve">2024 </w:t>
      </w:r>
      <w:r>
        <w:t>年江苏省政府性基金项目目录的通</w:t>
      </w:r>
      <w:r>
        <w:rPr>
          <w:spacing w:val="18"/>
        </w:rPr>
        <w:t xml:space="preserve"> </w:t>
      </w:r>
      <w:r>
        <w:rPr>
          <w:spacing w:val="-8"/>
        </w:rPr>
        <w:t>知》（苏财综〔</w:t>
      </w:r>
      <w:r>
        <w:rPr>
          <w:rFonts w:ascii="Times New Roman" w:hAnsi="Times New Roman" w:eastAsia="Times New Roman" w:cs="Times New Roman"/>
          <w:spacing w:val="-8"/>
        </w:rPr>
        <w:t>2025</w:t>
      </w:r>
      <w:r>
        <w:rPr>
          <w:spacing w:val="-8"/>
        </w:rPr>
        <w:t>〕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11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-8"/>
        </w:rPr>
        <w:t>号</w:t>
      </w:r>
      <w:r>
        <w:rPr>
          <w:spacing w:val="-64"/>
        </w:rPr>
        <w:t>），</w:t>
      </w:r>
      <w:r>
        <w:rPr>
          <w:spacing w:val="-8"/>
        </w:rPr>
        <w:t>我们编制</w:t>
      </w:r>
      <w:r>
        <w:rPr>
          <w:spacing w:val="-9"/>
        </w:rPr>
        <w:t>了《</w:t>
      </w:r>
      <w:r>
        <w:rPr>
          <w:rFonts w:ascii="Times New Roman" w:hAnsi="Times New Roman" w:eastAsia="Times New Roman" w:cs="Times New Roman"/>
          <w:spacing w:val="-9"/>
        </w:rPr>
        <w:t>2025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9"/>
        </w:rPr>
        <w:t>年无锡市政府</w:t>
      </w:r>
      <w:r>
        <w:t xml:space="preserve"> </w:t>
      </w:r>
      <w:r>
        <w:rPr>
          <w:spacing w:val="-11"/>
        </w:rPr>
        <w:t>性基金项目目录》（以下简称《基金目录》</w:t>
      </w:r>
      <w:r>
        <w:rPr>
          <w:spacing w:val="-80"/>
        </w:rPr>
        <w:t>），</w:t>
      </w:r>
      <w:r>
        <w:rPr>
          <w:spacing w:val="-12"/>
        </w:rPr>
        <w:t>现公开发布，请遵</w:t>
      </w:r>
      <w:r>
        <w:rPr>
          <w:spacing w:val="1"/>
        </w:rPr>
        <w:t xml:space="preserve"> </w:t>
      </w:r>
      <w:r>
        <w:rPr>
          <w:spacing w:val="-6"/>
        </w:rPr>
        <w:t>照执行，并将有关事项通知如下：</w:t>
      </w:r>
    </w:p>
    <w:p w14:paraId="2EC06C8E">
      <w:pPr>
        <w:pStyle w:val="2"/>
        <w:spacing w:before="3" w:line="292" w:lineRule="auto"/>
        <w:ind w:left="20" w:firstLine="655"/>
      </w:pPr>
      <w:r>
        <w:rPr>
          <w:spacing w:val="-3"/>
        </w:rPr>
        <w:t>一、《基金目录》中公布的</w:t>
      </w:r>
      <w:r>
        <w:rPr>
          <w:spacing w:val="5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17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3"/>
        </w:rPr>
        <w:t>项政府性基金项目按照其收</w:t>
      </w:r>
      <w:r>
        <w:t xml:space="preserve">  </w:t>
      </w:r>
      <w:r>
        <w:rPr>
          <w:spacing w:val="-2"/>
        </w:rPr>
        <w:t>入归属关系分为两类，</w:t>
      </w:r>
      <w:r>
        <w:rPr>
          <w:spacing w:val="-32"/>
        </w:rPr>
        <w:t xml:space="preserve"> </w:t>
      </w:r>
      <w:r>
        <w:rPr>
          <w:spacing w:val="-2"/>
        </w:rPr>
        <w:t>一类是收入归属地方（或地方参与分成）</w:t>
      </w:r>
    </w:p>
    <w:p w14:paraId="21A10636">
      <w:pPr>
        <w:spacing w:line="292" w:lineRule="auto"/>
        <w:sectPr>
          <w:footerReference r:id="rId5" w:type="default"/>
          <w:pgSz w:w="11906" w:h="16839"/>
          <w:pgMar w:top="1431" w:right="1345" w:bottom="1763" w:left="1588" w:header="0" w:footer="1398" w:gutter="0"/>
          <w:cols w:space="720" w:num="1"/>
        </w:sectPr>
      </w:pPr>
    </w:p>
    <w:p w14:paraId="59063F87">
      <w:pPr>
        <w:spacing w:line="354" w:lineRule="auto"/>
        <w:rPr>
          <w:rFonts w:ascii="Arial"/>
          <w:sz w:val="21"/>
        </w:rPr>
      </w:pPr>
    </w:p>
    <w:p w14:paraId="58808582">
      <w:pPr>
        <w:spacing w:line="355" w:lineRule="auto"/>
        <w:rPr>
          <w:rFonts w:ascii="Arial"/>
          <w:sz w:val="21"/>
        </w:rPr>
      </w:pPr>
    </w:p>
    <w:p w14:paraId="3CEC57A4">
      <w:pPr>
        <w:pStyle w:val="2"/>
        <w:spacing w:before="120" w:line="281" w:lineRule="auto"/>
        <w:ind w:left="144" w:right="122" w:firstLine="11"/>
      </w:pPr>
      <w:r>
        <w:rPr>
          <w:spacing w:val="-3"/>
        </w:rPr>
        <w:t xml:space="preserve">的政府性基金项目（共 </w:t>
      </w:r>
      <w:r>
        <w:rPr>
          <w:rFonts w:ascii="Times New Roman" w:hAnsi="Times New Roman" w:eastAsia="Times New Roman" w:cs="Times New Roman"/>
          <w:spacing w:val="-3"/>
        </w:rPr>
        <w:t>7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3"/>
        </w:rPr>
        <w:t>项</w:t>
      </w:r>
      <w:r>
        <w:rPr>
          <w:spacing w:val="-69"/>
        </w:rPr>
        <w:t>），</w:t>
      </w:r>
      <w:r>
        <w:rPr>
          <w:spacing w:val="-3"/>
        </w:rPr>
        <w:t>分成办法按照省级规定</w:t>
      </w:r>
      <w:r>
        <w:rPr>
          <w:spacing w:val="-4"/>
        </w:rPr>
        <w:t>执行；</w:t>
      </w:r>
      <w:r>
        <w:rPr>
          <w:spacing w:val="-45"/>
        </w:rPr>
        <w:t xml:space="preserve"> </w:t>
      </w:r>
      <w:r>
        <w:rPr>
          <w:spacing w:val="-4"/>
        </w:rPr>
        <w:t>另</w:t>
      </w:r>
      <w:r>
        <w:t xml:space="preserve"> </w:t>
      </w:r>
      <w:r>
        <w:rPr>
          <w:spacing w:val="-10"/>
        </w:rPr>
        <w:t>一类是收入归属中央和省的政府性基金项目（共</w:t>
      </w:r>
      <w:r>
        <w:rPr>
          <w:spacing w:val="56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10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10"/>
        </w:rPr>
        <w:t>项）。</w:t>
      </w:r>
    </w:p>
    <w:p w14:paraId="3C6D16E0">
      <w:pPr>
        <w:pStyle w:val="2"/>
        <w:spacing w:before="10" w:line="275" w:lineRule="auto"/>
        <w:ind w:left="124" w:firstLine="655"/>
      </w:pPr>
      <w:r>
        <w:rPr>
          <w:spacing w:val="-6"/>
        </w:rPr>
        <w:t>二、</w:t>
      </w:r>
      <w:r>
        <w:rPr>
          <w:rFonts w:ascii="Times New Roman" w:hAnsi="Times New Roman" w:eastAsia="Times New Roman" w:cs="Times New Roman"/>
          <w:spacing w:val="-6"/>
        </w:rPr>
        <w:t>2025</w:t>
      </w:r>
      <w:r>
        <w:rPr>
          <w:rFonts w:ascii="Times New Roman" w:hAnsi="Times New Roman" w:eastAsia="Times New Roman" w:cs="Times New Roman"/>
          <w:spacing w:val="25"/>
          <w:w w:val="101"/>
        </w:rPr>
        <w:t xml:space="preserve"> </w:t>
      </w:r>
      <w:r>
        <w:rPr>
          <w:spacing w:val="-6"/>
        </w:rPr>
        <w:t>年</w:t>
      </w:r>
      <w:r>
        <w:rPr>
          <w:spacing w:val="44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月</w:t>
      </w:r>
      <w:r>
        <w:rPr>
          <w:spacing w:val="44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 xml:space="preserve">1  </w:t>
      </w:r>
      <w:r>
        <w:rPr>
          <w:spacing w:val="-6"/>
        </w:rPr>
        <w:t>日起，</w:t>
      </w:r>
      <w:r>
        <w:rPr>
          <w:spacing w:val="-40"/>
        </w:rPr>
        <w:t xml:space="preserve"> </w:t>
      </w:r>
      <w:r>
        <w:rPr>
          <w:spacing w:val="-6"/>
        </w:rPr>
        <w:t>我市各级各部门单位征收政府性</w:t>
      </w:r>
      <w:r>
        <w:t xml:space="preserve">  </w:t>
      </w:r>
      <w:r>
        <w:rPr>
          <w:spacing w:val="-3"/>
        </w:rPr>
        <w:t>基金，</w:t>
      </w:r>
      <w:r>
        <w:rPr>
          <w:spacing w:val="-43"/>
        </w:rPr>
        <w:t xml:space="preserve"> </w:t>
      </w:r>
      <w:r>
        <w:rPr>
          <w:spacing w:val="-3"/>
        </w:rPr>
        <w:t>一律以《基金目录》为准，具体征收范围、标准、期限、</w:t>
      </w:r>
      <w:r>
        <w:t xml:space="preserve"> </w:t>
      </w:r>
      <w:r>
        <w:rPr>
          <w:spacing w:val="-5"/>
        </w:rPr>
        <w:t>资金管理方式等，应严格按照《基金目录》中注明的有关文件规</w:t>
      </w:r>
      <w:r>
        <w:rPr>
          <w:spacing w:val="3"/>
        </w:rPr>
        <w:t xml:space="preserve">  </w:t>
      </w:r>
      <w:r>
        <w:rPr>
          <w:spacing w:val="-12"/>
        </w:rPr>
        <w:t>定执行，严禁各级、各部门擅自增加项目、提高标准、扩大范围。</w:t>
      </w:r>
      <w:r>
        <w:rPr>
          <w:spacing w:val="17"/>
        </w:rPr>
        <w:t xml:space="preserve"> </w:t>
      </w:r>
      <w:r>
        <w:rPr>
          <w:spacing w:val="-7"/>
        </w:rPr>
        <w:t xml:space="preserve">凡未列入《基金目录》的政府性基金项目， </w:t>
      </w:r>
      <w:r>
        <w:rPr>
          <w:spacing w:val="-8"/>
        </w:rPr>
        <w:t>一律作为取消项目处</w:t>
      </w:r>
      <w:r>
        <w:t xml:space="preserve">  </w:t>
      </w:r>
      <w:r>
        <w:rPr>
          <w:spacing w:val="-10"/>
        </w:rPr>
        <w:t>理，各级、各相关部门应当停止执行，</w:t>
      </w:r>
      <w:r>
        <w:rPr>
          <w:spacing w:val="74"/>
        </w:rPr>
        <w:t xml:space="preserve"> </w:t>
      </w:r>
      <w:r>
        <w:rPr>
          <w:spacing w:val="-10"/>
        </w:rPr>
        <w:t>公民、法人</w:t>
      </w:r>
      <w:r>
        <w:rPr>
          <w:spacing w:val="-11"/>
        </w:rPr>
        <w:t>和其他社会组</w:t>
      </w:r>
      <w:r>
        <w:t xml:space="preserve">  </w:t>
      </w:r>
      <w:r>
        <w:rPr>
          <w:spacing w:val="-10"/>
        </w:rPr>
        <w:t>织有权拒绝支付。今后国家和省有政策调整的，</w:t>
      </w:r>
      <w:r>
        <w:rPr>
          <w:spacing w:val="68"/>
        </w:rPr>
        <w:t xml:space="preserve"> </w:t>
      </w:r>
      <w:r>
        <w:rPr>
          <w:spacing w:val="-10"/>
        </w:rPr>
        <w:t>按国家、省新规</w:t>
      </w:r>
      <w:r>
        <w:t xml:space="preserve">  </w:t>
      </w:r>
      <w:r>
        <w:rPr>
          <w:spacing w:val="-11"/>
        </w:rPr>
        <w:t>定执行。</w:t>
      </w:r>
    </w:p>
    <w:p w14:paraId="13F603A7">
      <w:pPr>
        <w:pStyle w:val="2"/>
        <w:spacing w:before="90" w:line="266" w:lineRule="auto"/>
        <w:ind w:left="124" w:right="122" w:firstLine="659"/>
      </w:pPr>
      <w:r>
        <w:rPr>
          <w:spacing w:val="-11"/>
        </w:rPr>
        <w:t>三、各级、各部门要严格贯彻落实本通知规定，</w:t>
      </w:r>
      <w:r>
        <w:rPr>
          <w:spacing w:val="54"/>
        </w:rPr>
        <w:t xml:space="preserve"> </w:t>
      </w:r>
      <w:r>
        <w:rPr>
          <w:spacing w:val="-11"/>
        </w:rPr>
        <w:t>认真进行对</w:t>
      </w:r>
      <w:r>
        <w:t xml:space="preserve"> </w:t>
      </w:r>
      <w:r>
        <w:rPr>
          <w:spacing w:val="-5"/>
        </w:rPr>
        <w:t>照清理，取消目录以外的政府性基金项目，对不按规定标准、不</w:t>
      </w:r>
      <w:r>
        <w:rPr>
          <w:spacing w:val="6"/>
        </w:rPr>
        <w:t xml:space="preserve"> </w:t>
      </w:r>
      <w:r>
        <w:rPr>
          <w:spacing w:val="-3"/>
        </w:rPr>
        <w:t>按规定范围征收的行为要坚决予以纠正。</w:t>
      </w:r>
    </w:p>
    <w:p w14:paraId="177F51F9">
      <w:pPr>
        <w:pStyle w:val="2"/>
        <w:spacing w:before="93" w:line="259" w:lineRule="auto"/>
        <w:ind w:left="126" w:right="122" w:firstLine="681"/>
      </w:pPr>
      <w:r>
        <w:rPr>
          <w:spacing w:val="-14"/>
        </w:rPr>
        <w:t>四、本通知发布以后，《无锡市财政局关于公布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14"/>
        </w:rPr>
        <w:t>2024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-14"/>
        </w:rPr>
        <w:t>年无锡</w:t>
      </w:r>
      <w:r>
        <w:t xml:space="preserve"> </w:t>
      </w:r>
      <w:r>
        <w:rPr>
          <w:spacing w:val="-5"/>
        </w:rPr>
        <w:t>市政府性基金项目目录的通知》（锡财综〔</w:t>
      </w:r>
      <w:r>
        <w:rPr>
          <w:rFonts w:ascii="Times New Roman" w:hAnsi="Times New Roman" w:eastAsia="Times New Roman" w:cs="Times New Roman"/>
          <w:spacing w:val="-5"/>
        </w:rPr>
        <w:t>20</w:t>
      </w:r>
      <w:r>
        <w:rPr>
          <w:rFonts w:ascii="Times New Roman" w:hAnsi="Times New Roman" w:eastAsia="Times New Roman" w:cs="Times New Roman"/>
          <w:spacing w:val="-6"/>
        </w:rPr>
        <w:t>24</w:t>
      </w:r>
      <w:r>
        <w:rPr>
          <w:spacing w:val="-6"/>
        </w:rPr>
        <w:t>〕</w:t>
      </w:r>
      <w:r>
        <w:rPr>
          <w:rFonts w:ascii="Times New Roman" w:hAnsi="Times New Roman" w:eastAsia="Times New Roman" w:cs="Times New Roman"/>
          <w:spacing w:val="-6"/>
        </w:rPr>
        <w:t>9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-6"/>
        </w:rPr>
        <w:t>号） 同时废</w:t>
      </w:r>
      <w:r>
        <w:t xml:space="preserve"> </w:t>
      </w:r>
      <w:r>
        <w:rPr>
          <w:spacing w:val="-15"/>
        </w:rPr>
        <w:t>止。</w:t>
      </w:r>
    </w:p>
    <w:p w14:paraId="07DAFAB9">
      <w:pPr>
        <w:spacing w:line="284" w:lineRule="auto"/>
        <w:rPr>
          <w:rFonts w:ascii="Arial"/>
          <w:sz w:val="21"/>
        </w:rPr>
      </w:pPr>
    </w:p>
    <w:p w14:paraId="40860CF5">
      <w:pPr>
        <w:spacing w:line="284" w:lineRule="auto"/>
        <w:rPr>
          <w:rFonts w:ascii="Arial"/>
          <w:sz w:val="21"/>
        </w:rPr>
      </w:pPr>
    </w:p>
    <w:p w14:paraId="34A89B44">
      <w:pPr>
        <w:pStyle w:val="2"/>
        <w:spacing w:before="119" w:line="235" w:lineRule="auto"/>
        <w:ind w:left="790"/>
      </w:pPr>
      <w:r>
        <w:rPr>
          <w:spacing w:val="-2"/>
        </w:rPr>
        <w:t>附件：</w:t>
      </w:r>
      <w:r>
        <w:rPr>
          <w:rFonts w:ascii="Times New Roman" w:hAnsi="Times New Roman" w:eastAsia="Times New Roman" w:cs="Times New Roman"/>
          <w:spacing w:val="-2"/>
        </w:rPr>
        <w:t xml:space="preserve">2025 </w:t>
      </w:r>
      <w:r>
        <w:rPr>
          <w:spacing w:val="-2"/>
        </w:rPr>
        <w:t>年无锡市政府性基金项目目录</w:t>
      </w:r>
    </w:p>
    <w:p w14:paraId="7383FDEE">
      <w:pPr>
        <w:spacing w:line="305" w:lineRule="auto"/>
        <w:rPr>
          <w:rFonts w:ascii="Arial"/>
          <w:sz w:val="21"/>
        </w:rPr>
      </w:pPr>
    </w:p>
    <w:p w14:paraId="7BFC04F6">
      <w:pPr>
        <w:spacing w:line="305" w:lineRule="auto"/>
        <w:rPr>
          <w:rFonts w:ascii="Arial"/>
          <w:sz w:val="21"/>
        </w:rPr>
      </w:pPr>
    </w:p>
    <w:p w14:paraId="168543BA">
      <w:pPr>
        <w:spacing w:line="306" w:lineRule="auto"/>
        <w:rPr>
          <w:rFonts w:ascii="Arial"/>
          <w:sz w:val="21"/>
        </w:rPr>
      </w:pPr>
    </w:p>
    <w:p w14:paraId="5C7B4779">
      <w:pPr>
        <w:pStyle w:val="2"/>
        <w:spacing w:before="119" w:line="235" w:lineRule="auto"/>
        <w:ind w:left="4898"/>
      </w:pPr>
      <w:r>
        <w:rPr>
          <w:spacing w:val="-5"/>
        </w:rPr>
        <w:t>无锡市财政局</w:t>
      </w:r>
    </w:p>
    <w:p w14:paraId="6A40B730">
      <w:pPr>
        <w:pStyle w:val="2"/>
        <w:spacing w:before="1" w:line="236" w:lineRule="auto"/>
        <w:ind w:left="4594"/>
      </w:pPr>
      <w:r>
        <w:rPr>
          <w:rFonts w:ascii="Times New Roman" w:hAnsi="Times New Roman" w:eastAsia="Times New Roman" w:cs="Times New Roman"/>
          <w:spacing w:val="-7"/>
        </w:rPr>
        <w:t>2025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7"/>
        </w:rPr>
        <w:t xml:space="preserve">年 </w:t>
      </w:r>
      <w:r>
        <w:rPr>
          <w:rFonts w:ascii="Times New Roman" w:hAnsi="Times New Roman" w:eastAsia="Times New Roman" w:cs="Times New Roman"/>
          <w:spacing w:val="-7"/>
        </w:rPr>
        <w:t>7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-7"/>
        </w:rPr>
        <w:t>月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7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-7"/>
        </w:rPr>
        <w:t>日</w:t>
      </w:r>
    </w:p>
    <w:p w14:paraId="1353153B">
      <w:pPr>
        <w:spacing w:before="153" w:line="30" w:lineRule="exact"/>
      </w:pPr>
      <w:r>
        <w:pict>
          <v:shape id="_x0000_s1027" o:spid="_x0000_s1027" style="height:1.5pt;width:442.25pt;" filled="f" stroked="t" coordsize="8845,30" path="m0,15l8845,15e">
            <v:fill on="f" focussize="0,0"/>
            <v:stroke weight="1.5pt" color="#000000" miterlimit="10" joinstyle="miter"/>
            <v:imagedata o:title=""/>
            <o:lock v:ext="edit"/>
            <w10:wrap type="none"/>
            <w10:anchorlock/>
          </v:shape>
        </w:pict>
      </w:r>
    </w:p>
    <w:p w14:paraId="3664CB4B">
      <w:pPr>
        <w:pStyle w:val="2"/>
        <w:spacing w:before="76" w:line="191" w:lineRule="auto"/>
        <w:ind w:left="133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无锡市财政局办公室          </w:t>
      </w:r>
      <w:r>
        <w:rPr>
          <w:spacing w:val="-3"/>
          <w:sz w:val="28"/>
          <w:szCs w:val="28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2025</w:t>
      </w:r>
      <w:r>
        <w:rPr>
          <w:rFonts w:ascii="Times New Roman" w:hAnsi="Times New Roman" w:eastAsia="Times New Roman" w:cs="Times New Roman"/>
          <w:spacing w:val="1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年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7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月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7  </w:t>
      </w:r>
      <w:r>
        <w:rPr>
          <w:spacing w:val="-3"/>
          <w:sz w:val="28"/>
          <w:szCs w:val="28"/>
        </w:rPr>
        <w:t>日印发</w:t>
      </w:r>
    </w:p>
    <w:p w14:paraId="714AD368">
      <w:pPr>
        <w:spacing w:line="30" w:lineRule="exact"/>
      </w:pPr>
      <w:r>
        <w:pict>
          <v:shape id="_x0000_s1028" o:spid="_x0000_s1028" style="height:1.5pt;width:442.25pt;" filled="f" stroked="t" coordsize="8845,30" path="m0,15l8845,15e">
            <v:fill on="f" focussize="0,0"/>
            <v:stroke weight="1.5pt" color="#000000" miterlimit="10" joinstyle="miter"/>
            <v:imagedata o:title=""/>
            <o:lock v:ext="edit"/>
            <w10:wrap type="none"/>
            <w10:anchorlock/>
          </v:shape>
        </w:pict>
      </w:r>
    </w:p>
    <w:sectPr>
      <w:footerReference r:id="rId6" w:type="default"/>
      <w:pgSz w:w="11906" w:h="16839"/>
      <w:pgMar w:top="1431" w:right="1351" w:bottom="1763" w:left="1480" w:header="0" w:footer="13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63D90">
    <w:pPr>
      <w:spacing w:line="234" w:lineRule="auto"/>
      <w:ind w:left="797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-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C3BCB">
    <w:pPr>
      <w:spacing w:line="234" w:lineRule="auto"/>
      <w:ind w:left="1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F24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679</Words>
  <Characters>715</Characters>
  <TotalTime>0</TotalTime>
  <ScaleCrop>false</ScaleCrop>
  <LinksUpToDate>false</LinksUpToDate>
  <CharactersWithSpaces>832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2025-07-17T15:27:00Z</dcterms:created>
  <dc:creator>管理员</dc:creator>
  <cp:lastModifiedBy>陈効</cp:lastModifiedBy>
  <dcterms:modified xsi:type="dcterms:W3CDTF">2025-07-17T07:28:18Z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2025-07-17T15:28:03Z</vt:filetime>
  </property>
  <property fmtid="{D5CDD505-2E9C-101B-9397-08002B2CF9AE}" pid="4" name="KSOTemplateDocerSaveRecord">
    <vt:lpwstr>eyJoZGlkIjoiMjg5MjI5YTY2NjQzODQzNjdlY2JmMGFjZTY3Mzc3Y2MiLCJ1c2VySWQiOiIxMDQzMDc3MjEwIn0=</vt:lpwstr>
  </property>
  <property fmtid="{D5CDD505-2E9C-101B-9397-08002B2CF9AE}" pid="5" name="KSOProductBuildVer">
    <vt:lpwstr>2052-12.1.0.21915</vt:lpwstr>
  </property>
  <property fmtid="{D5CDD505-2E9C-101B-9397-08002B2CF9AE}" pid="6" name="ICV">
    <vt:lpwstr>405CDF6392B247BABCAB51A737427410_12</vt:lpwstr>
  </property>
</Properties>
</file>