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73592" w14:textId="77777777" w:rsidR="00687028" w:rsidRDefault="00000000">
      <w:pPr>
        <w:pStyle w:val="New"/>
        <w:widowControl/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 w:hint="eastAsia"/>
          <w:bCs/>
          <w:sz w:val="18"/>
          <w:szCs w:val="18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关于调整外商投资企业组织形式、组织机构的提醒</w:t>
      </w:r>
    </w:p>
    <w:p w14:paraId="25BEF30A" w14:textId="77777777" w:rsidR="00687028" w:rsidRDefault="00000000">
      <w:pPr>
        <w:pStyle w:val="New"/>
        <w:widowControl/>
        <w:adjustRightInd w:val="0"/>
        <w:snapToGrid w:val="0"/>
        <w:spacing w:afterLines="50" w:after="156" w:line="560" w:lineRule="exact"/>
        <w:ind w:firstLineChars="200" w:firstLine="640"/>
        <w:jc w:val="center"/>
        <w:rPr>
          <w:rFonts w:ascii="方正仿宋_GBK" w:eastAsia="方正仿宋_GBK" w:hAnsi="宋体" w:cs="宋体" w:hint="eastAsia"/>
          <w:bCs/>
          <w:sz w:val="28"/>
          <w:szCs w:val="28"/>
        </w:rPr>
      </w:pPr>
      <w:r>
        <w:rPr>
          <w:rFonts w:ascii="楷体" w:eastAsia="楷体" w:hAnsi="楷体" w:cs="楷体" w:hint="eastAsia"/>
          <w:bCs/>
          <w:sz w:val="32"/>
          <w:szCs w:val="32"/>
        </w:rPr>
        <w:t>江阴市市场监督管理局</w:t>
      </w:r>
    </w:p>
    <w:p w14:paraId="297E87AC" w14:textId="77777777" w:rsidR="00687028" w:rsidRDefault="00000000">
      <w:pPr>
        <w:widowControl/>
        <w:shd w:val="clear" w:color="auto" w:fill="FFFFFF"/>
        <w:spacing w:line="530" w:lineRule="atLeast"/>
        <w:ind w:firstLine="640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 xml:space="preserve">按照2020年1月1日起实施的《中华人民共和国外商投资法》及《中华人民共和国外商投资法实施条例》等相关规定，对于在2020年1月1日之前成立的中外合资、中外合作、外资企业，设置了五年过渡期，即上述企业最迟应在2024年12月31日前根据《中华人民共和国公司法》调整组织形式、组织机构，并依法办理变更登记备案。结合我市存量企业登记情况，现梳理相关事项提醒如下： </w:t>
      </w:r>
    </w:p>
    <w:p w14:paraId="76279E6F" w14:textId="77777777" w:rsidR="00687028" w:rsidRDefault="00000000">
      <w:pPr>
        <w:widowControl/>
        <w:shd w:val="clear" w:color="auto" w:fill="FFFFFF"/>
        <w:spacing w:line="530" w:lineRule="atLeast"/>
        <w:ind w:firstLine="640"/>
        <w:rPr>
          <w:rFonts w:ascii="Calibri" w:eastAsia="宋体" w:hAnsi="Calibri" w:cs="Calibri"/>
          <w:color w:val="333333"/>
          <w:kern w:val="0"/>
          <w:sz w:val="32"/>
          <w:szCs w:val="32"/>
        </w:rPr>
      </w:pPr>
      <w:r>
        <w:rPr>
          <w:rFonts w:ascii="方正黑体_GBK" w:eastAsia="方正黑体_GBK" w:hAnsi="Calibri" w:cs="Calibri" w:hint="eastAsia"/>
          <w:color w:val="333333"/>
          <w:kern w:val="0"/>
          <w:sz w:val="32"/>
          <w:szCs w:val="32"/>
        </w:rPr>
        <w:t>一、法律风险提示</w:t>
      </w:r>
    </w:p>
    <w:p w14:paraId="68F5F711" w14:textId="77777777" w:rsidR="00687028" w:rsidRDefault="00000000">
      <w:pPr>
        <w:widowControl/>
        <w:shd w:val="clear" w:color="auto" w:fill="FFFFFF"/>
        <w:spacing w:line="530" w:lineRule="atLeast"/>
        <w:ind w:firstLine="640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《中华人民共和国外商投资法实施条例》第四十四条第二款规定，自2025年1月1日起，对未依法调整组织形式、组织机构等并办理变更登记的现有外商投资企业，市场监督管理部门不予办理其申请的其他登记事项，并将相关情形予以公示。</w:t>
      </w:r>
    </w:p>
    <w:p w14:paraId="3F1432FF" w14:textId="77777777" w:rsidR="00687028" w:rsidRDefault="00000000">
      <w:pPr>
        <w:widowControl/>
        <w:shd w:val="clear" w:color="auto" w:fill="FFFFFF"/>
        <w:spacing w:line="530" w:lineRule="atLeast"/>
        <w:ind w:firstLine="640"/>
        <w:rPr>
          <w:rFonts w:ascii="Calibri" w:eastAsia="宋体" w:hAnsi="Calibri" w:cs="Calibri"/>
          <w:color w:val="333333"/>
          <w:kern w:val="0"/>
          <w:sz w:val="32"/>
          <w:szCs w:val="32"/>
        </w:rPr>
      </w:pPr>
      <w:r>
        <w:rPr>
          <w:rFonts w:ascii="方正黑体_GBK" w:eastAsia="方正黑体_GBK" w:hAnsi="Calibri" w:cs="Calibri" w:hint="eastAsia"/>
          <w:color w:val="333333"/>
          <w:kern w:val="0"/>
          <w:sz w:val="32"/>
          <w:szCs w:val="32"/>
        </w:rPr>
        <w:t>二、如何确认对象</w:t>
      </w:r>
    </w:p>
    <w:p w14:paraId="04F54917" w14:textId="77777777" w:rsidR="00687028" w:rsidRDefault="00000000">
      <w:pPr>
        <w:widowControl/>
        <w:shd w:val="clear" w:color="auto" w:fill="FFFFFF"/>
        <w:spacing w:line="530" w:lineRule="atLeast"/>
        <w:ind w:firstLine="640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方法1—看章程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：最高权力机构是董事会。</w:t>
      </w:r>
    </w:p>
    <w:p w14:paraId="5101B2C6" w14:textId="77777777" w:rsidR="00687028" w:rsidRDefault="00000000">
      <w:pPr>
        <w:widowControl/>
        <w:shd w:val="clear" w:color="auto" w:fill="FFFFFF"/>
        <w:spacing w:line="530" w:lineRule="atLeast"/>
        <w:ind w:firstLine="640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方法2—看执照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：营业执照上企业类型标注中外合资、中外合作、港澳台与境内合资、港澳台与外国投资者合资等包含“合作”“合资”字样的外商投资企业。</w:t>
      </w:r>
    </w:p>
    <w:p w14:paraId="49343158" w14:textId="77777777" w:rsidR="00687028" w:rsidRDefault="00000000">
      <w:pPr>
        <w:widowControl/>
        <w:shd w:val="clear" w:color="auto" w:fill="FFFFFF"/>
        <w:spacing w:line="530" w:lineRule="atLeast"/>
        <w:ind w:firstLine="640"/>
        <w:jc w:val="center"/>
        <w:rPr>
          <w:rFonts w:ascii="方正仿宋_GBK" w:eastAsia="方正仿宋_GBK" w:hAnsi="宋体" w:cs="宋体" w:hint="eastAsia"/>
          <w:kern w:val="0"/>
          <w:sz w:val="32"/>
          <w:szCs w:val="32"/>
          <w:highlight w:val="yellow"/>
        </w:rPr>
      </w:pPr>
      <w:r>
        <w:rPr>
          <w:rFonts w:ascii="黑体" w:eastAsia="黑体" w:hAnsi="黑体" w:cs="黑体" w:hint="eastAsia"/>
          <w:b/>
          <w:bCs/>
          <w:color w:val="ED7D31" w:themeColor="accent2"/>
          <w:kern w:val="0"/>
          <w:sz w:val="32"/>
          <w:szCs w:val="32"/>
        </w:rPr>
        <w:t>符合以上任</w:t>
      </w:r>
      <w:proofErr w:type="gramStart"/>
      <w:r>
        <w:rPr>
          <w:rFonts w:ascii="黑体" w:eastAsia="黑体" w:hAnsi="黑体" w:cs="黑体" w:hint="eastAsia"/>
          <w:b/>
          <w:bCs/>
          <w:color w:val="ED7D31" w:themeColor="accent2"/>
          <w:kern w:val="0"/>
          <w:sz w:val="32"/>
          <w:szCs w:val="32"/>
        </w:rPr>
        <w:t>一</w:t>
      </w:r>
      <w:proofErr w:type="gramEnd"/>
      <w:r>
        <w:rPr>
          <w:rFonts w:ascii="黑体" w:eastAsia="黑体" w:hAnsi="黑体" w:cs="黑体" w:hint="eastAsia"/>
          <w:b/>
          <w:bCs/>
          <w:color w:val="ED7D31" w:themeColor="accent2"/>
          <w:kern w:val="0"/>
          <w:sz w:val="32"/>
          <w:szCs w:val="32"/>
        </w:rPr>
        <w:t>情况均须调整</w:t>
      </w:r>
    </w:p>
    <w:p w14:paraId="7255C785" w14:textId="77777777" w:rsidR="00687028" w:rsidRDefault="00000000">
      <w:pPr>
        <w:widowControl/>
        <w:numPr>
          <w:ilvl w:val="0"/>
          <w:numId w:val="1"/>
        </w:numPr>
        <w:shd w:val="clear" w:color="auto" w:fill="FFFFFF"/>
        <w:spacing w:line="530" w:lineRule="atLeast"/>
        <w:ind w:firstLine="640"/>
        <w:rPr>
          <w:rFonts w:ascii="方正黑体_GBK" w:eastAsia="方正黑体_GBK" w:hAnsi="Calibri" w:cs="Calibri"/>
          <w:color w:val="333333"/>
          <w:kern w:val="0"/>
          <w:sz w:val="32"/>
          <w:szCs w:val="32"/>
        </w:rPr>
      </w:pPr>
      <w:r>
        <w:rPr>
          <w:rFonts w:ascii="方正黑体_GBK" w:eastAsia="方正黑体_GBK" w:hAnsi="Calibri" w:cs="Calibri" w:hint="eastAsia"/>
          <w:color w:val="333333"/>
          <w:kern w:val="0"/>
          <w:sz w:val="32"/>
          <w:szCs w:val="32"/>
        </w:rPr>
        <w:lastRenderedPageBreak/>
        <w:t>如何调整类型</w:t>
      </w:r>
    </w:p>
    <w:p w14:paraId="5FD42F40" w14:textId="77777777" w:rsidR="00687028" w:rsidRDefault="00000000">
      <w:pPr>
        <w:widowControl/>
        <w:shd w:val="clear" w:color="auto" w:fill="FFFFFF"/>
        <w:spacing w:line="530" w:lineRule="atLeast"/>
        <w:rPr>
          <w:rFonts w:ascii="方正黑体_GBK" w:eastAsia="方正黑体_GBK" w:hAnsi="Calibri" w:cs="Calibri"/>
          <w:color w:val="333333"/>
          <w:kern w:val="0"/>
          <w:sz w:val="32"/>
          <w:szCs w:val="32"/>
        </w:rPr>
      </w:pPr>
      <w:r>
        <w:rPr>
          <w:rFonts w:ascii="方正黑体_GBK" w:eastAsia="方正黑体_GBK" w:hAnsi="Calibri" w:cs="Calibri" w:hint="eastAsia"/>
          <w:noProof/>
          <w:color w:val="333333"/>
          <w:kern w:val="0"/>
          <w:sz w:val="32"/>
          <w:szCs w:val="32"/>
        </w:rPr>
        <w:drawing>
          <wp:inline distT="0" distB="0" distL="114300" distR="114300" wp14:anchorId="523887DA" wp14:editId="5DC09E32">
            <wp:extent cx="5247005" cy="2954020"/>
            <wp:effectExtent l="0" t="0" r="10795" b="17780"/>
            <wp:docPr id="1" name="图片 1" descr="现登记的类型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现登记的类型_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47005" cy="295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25A6DA" w14:textId="77777777" w:rsidR="00687028" w:rsidRDefault="00000000">
      <w:pPr>
        <w:widowControl/>
        <w:shd w:val="clear" w:color="auto" w:fill="FFFFFF"/>
        <w:spacing w:line="530" w:lineRule="atLeast"/>
        <w:ind w:firstLine="640"/>
        <w:rPr>
          <w:rFonts w:ascii="方正黑体_GBK" w:eastAsia="方正黑体_GBK" w:hAnsi="Calibri" w:cs="Calibri"/>
          <w:color w:val="333333"/>
          <w:kern w:val="0"/>
          <w:sz w:val="32"/>
          <w:szCs w:val="32"/>
        </w:rPr>
      </w:pPr>
      <w:r>
        <w:rPr>
          <w:rFonts w:ascii="方正黑体_GBK" w:eastAsia="方正黑体_GBK" w:hAnsi="Calibri" w:cs="Calibri" w:hint="eastAsia"/>
          <w:color w:val="333333"/>
          <w:kern w:val="0"/>
          <w:sz w:val="32"/>
          <w:szCs w:val="32"/>
        </w:rPr>
        <w:t>三、如何准备材料</w:t>
      </w:r>
    </w:p>
    <w:p w14:paraId="417EFC05" w14:textId="77777777" w:rsidR="00687028" w:rsidRDefault="00000000">
      <w:pPr>
        <w:widowControl/>
        <w:shd w:val="clear" w:color="auto" w:fill="FFFFFF"/>
        <w:spacing w:line="530" w:lineRule="atLeast"/>
        <w:ind w:firstLine="640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1.《公司登记（备案）申请书》；</w:t>
      </w:r>
    </w:p>
    <w:p w14:paraId="3F972B33" w14:textId="1A1EE99B" w:rsidR="00687028" w:rsidRDefault="00000000">
      <w:pPr>
        <w:widowControl/>
        <w:shd w:val="clear" w:color="auto" w:fill="FFFFFF"/>
        <w:spacing w:line="530" w:lineRule="atLeast"/>
        <w:ind w:firstLine="640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2.董事会决议（</w:t>
      </w:r>
      <w:r w:rsidR="00D23E81">
        <w:rPr>
          <w:rFonts w:ascii="方正仿宋_GBK" w:eastAsia="方正仿宋_GBK" w:hAnsi="宋体" w:cs="宋体" w:hint="eastAsia"/>
          <w:kern w:val="0"/>
          <w:sz w:val="32"/>
          <w:szCs w:val="32"/>
        </w:rPr>
        <w:t>修订并通过新章程，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调整公司最高权力机构为股东会等）；</w:t>
      </w:r>
    </w:p>
    <w:p w14:paraId="25612623" w14:textId="5B45CC5F" w:rsidR="00687028" w:rsidRDefault="00000000">
      <w:pPr>
        <w:widowControl/>
        <w:shd w:val="clear" w:color="auto" w:fill="FFFFFF"/>
        <w:spacing w:line="530" w:lineRule="atLeast"/>
        <w:ind w:firstLine="640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3.股东会决议（</w:t>
      </w:r>
      <w:r w:rsidR="00C35DF3">
        <w:rPr>
          <w:rFonts w:ascii="方正仿宋_GBK" w:eastAsia="方正仿宋_GBK" w:hAnsi="宋体" w:cs="宋体" w:hint="eastAsia"/>
          <w:kern w:val="0"/>
          <w:sz w:val="32"/>
          <w:szCs w:val="32"/>
        </w:rPr>
        <w:t>审议并</w:t>
      </w:r>
      <w:r w:rsidR="00D23E81">
        <w:rPr>
          <w:rFonts w:ascii="方正仿宋_GBK" w:eastAsia="方正仿宋_GBK" w:hAnsi="宋体" w:cs="宋体" w:hint="eastAsia"/>
          <w:kern w:val="0"/>
          <w:sz w:val="32"/>
          <w:szCs w:val="32"/>
        </w:rPr>
        <w:t>通过新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章程，根据新章程选举代表公司执行公司事务的董事担任法定代表人等）；</w:t>
      </w:r>
    </w:p>
    <w:p w14:paraId="1B00C1B1" w14:textId="74734054" w:rsidR="00687028" w:rsidRDefault="00000000">
      <w:pPr>
        <w:widowControl/>
        <w:shd w:val="clear" w:color="auto" w:fill="FFFFFF"/>
        <w:spacing w:line="530" w:lineRule="atLeast"/>
        <w:ind w:firstLine="640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4.符合新《中华人民共和国公司法》的</w:t>
      </w:r>
      <w:r w:rsidR="00D23E81">
        <w:rPr>
          <w:rFonts w:ascii="方正仿宋_GBK" w:eastAsia="方正仿宋_GBK" w:hAnsi="宋体" w:cs="宋体" w:hint="eastAsia"/>
          <w:kern w:val="0"/>
          <w:sz w:val="32"/>
          <w:szCs w:val="32"/>
        </w:rPr>
        <w:t>重新修订的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公司章程；</w:t>
      </w:r>
    </w:p>
    <w:p w14:paraId="071366E4" w14:textId="77777777" w:rsidR="00687028" w:rsidRDefault="00000000">
      <w:pPr>
        <w:widowControl/>
        <w:shd w:val="clear" w:color="auto" w:fill="FFFFFF"/>
        <w:spacing w:line="530" w:lineRule="atLeast"/>
        <w:ind w:firstLine="640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5.已领取纸质版营业执照的缴回营业执照正副本。</w:t>
      </w:r>
    </w:p>
    <w:p w14:paraId="0E5EE62A" w14:textId="44A65B05" w:rsidR="00687028" w:rsidRPr="00C35DF3" w:rsidRDefault="00000000">
      <w:pPr>
        <w:widowControl/>
        <w:shd w:val="clear" w:color="auto" w:fill="FFFFFF"/>
        <w:spacing w:line="530" w:lineRule="atLeast"/>
        <w:ind w:firstLine="640"/>
        <w:rPr>
          <w:rFonts w:ascii="楷体_GB2312" w:eastAsia="楷体_GB2312" w:hAnsi="宋体" w:cs="宋体" w:hint="eastAsia"/>
          <w:color w:val="FF0000"/>
          <w:kern w:val="0"/>
          <w:sz w:val="32"/>
          <w:szCs w:val="32"/>
        </w:rPr>
      </w:pPr>
      <w:r w:rsidRPr="00C35DF3">
        <w:rPr>
          <w:rFonts w:ascii="楷体_GB2312" w:eastAsia="楷体_GB2312" w:hAnsi="宋体" w:cs="宋体" w:hint="eastAsia"/>
          <w:color w:val="FF0000"/>
          <w:kern w:val="0"/>
          <w:sz w:val="32"/>
          <w:szCs w:val="32"/>
          <w:highlight w:val="yellow"/>
        </w:rPr>
        <w:t>涉及其他</w:t>
      </w:r>
      <w:r w:rsidR="007D69BE" w:rsidRPr="00C35DF3">
        <w:rPr>
          <w:rFonts w:ascii="楷体_GB2312" w:eastAsia="楷体_GB2312" w:hAnsi="宋体" w:cs="宋体" w:hint="eastAsia"/>
          <w:color w:val="FF0000"/>
          <w:kern w:val="0"/>
          <w:sz w:val="32"/>
          <w:szCs w:val="32"/>
          <w:highlight w:val="yellow"/>
        </w:rPr>
        <w:t>变更（备案）</w:t>
      </w:r>
      <w:r w:rsidRPr="00C35DF3">
        <w:rPr>
          <w:rFonts w:ascii="楷体_GB2312" w:eastAsia="楷体_GB2312" w:hAnsi="宋体" w:cs="宋体" w:hint="eastAsia"/>
          <w:color w:val="FF0000"/>
          <w:kern w:val="0"/>
          <w:sz w:val="32"/>
          <w:szCs w:val="32"/>
          <w:highlight w:val="yellow"/>
        </w:rPr>
        <w:t>事项的，</w:t>
      </w:r>
      <w:r w:rsidR="007D69BE" w:rsidRPr="00C35DF3">
        <w:rPr>
          <w:rFonts w:ascii="楷体_GB2312" w:eastAsia="楷体_GB2312" w:hAnsi="宋体" w:cs="宋体" w:hint="eastAsia"/>
          <w:color w:val="FF0000"/>
          <w:kern w:val="0"/>
          <w:sz w:val="32"/>
          <w:szCs w:val="32"/>
          <w:highlight w:val="yellow"/>
        </w:rPr>
        <w:t>须</w:t>
      </w:r>
      <w:r w:rsidR="00C35DF3" w:rsidRPr="00C35DF3">
        <w:rPr>
          <w:rFonts w:ascii="楷体_GB2312" w:eastAsia="楷体_GB2312" w:hAnsi="宋体" w:cs="宋体" w:hint="eastAsia"/>
          <w:color w:val="FF0000"/>
          <w:kern w:val="0"/>
          <w:sz w:val="32"/>
          <w:szCs w:val="32"/>
          <w:highlight w:val="yellow"/>
        </w:rPr>
        <w:t>同时</w:t>
      </w:r>
      <w:r w:rsidRPr="00C35DF3">
        <w:rPr>
          <w:rFonts w:ascii="楷体_GB2312" w:eastAsia="楷体_GB2312" w:hAnsi="宋体" w:cs="宋体" w:hint="eastAsia"/>
          <w:color w:val="FF0000"/>
          <w:kern w:val="0"/>
          <w:sz w:val="32"/>
          <w:szCs w:val="32"/>
          <w:highlight w:val="yellow"/>
        </w:rPr>
        <w:t>按照</w:t>
      </w:r>
      <w:r w:rsidR="00C35DF3" w:rsidRPr="00C35DF3">
        <w:rPr>
          <w:rFonts w:ascii="楷体_GB2312" w:eastAsia="楷体_GB2312" w:hAnsi="宋体" w:cs="宋体" w:hint="eastAsia"/>
          <w:color w:val="FF0000"/>
          <w:kern w:val="0"/>
          <w:sz w:val="32"/>
          <w:szCs w:val="32"/>
          <w:highlight w:val="yellow"/>
        </w:rPr>
        <w:t>国家市场监管总局材料规范要求提交公司登记等相关材料，可参照</w:t>
      </w:r>
      <w:r w:rsidR="007D69BE" w:rsidRPr="00C35DF3">
        <w:rPr>
          <w:rFonts w:ascii="楷体_GB2312" w:eastAsia="楷体_GB2312" w:hAnsi="宋体" w:cs="宋体" w:hint="eastAsia"/>
          <w:color w:val="FF0000"/>
          <w:kern w:val="0"/>
          <w:sz w:val="32"/>
          <w:szCs w:val="32"/>
          <w:highlight w:val="yellow"/>
        </w:rPr>
        <w:t>“外资登记园地”的指引、规范、说明和参考等内容进行准备</w:t>
      </w:r>
      <w:r w:rsidRPr="00C35DF3">
        <w:rPr>
          <w:rFonts w:ascii="楷体_GB2312" w:eastAsia="楷体_GB2312" w:hAnsi="宋体" w:cs="宋体" w:hint="eastAsia"/>
          <w:color w:val="FF0000"/>
          <w:kern w:val="0"/>
          <w:sz w:val="32"/>
          <w:szCs w:val="32"/>
          <w:highlight w:val="yellow"/>
        </w:rPr>
        <w:t>。</w:t>
      </w:r>
    </w:p>
    <w:p w14:paraId="69B0889C" w14:textId="77777777" w:rsidR="00687028" w:rsidRDefault="00000000">
      <w:pPr>
        <w:widowControl/>
        <w:shd w:val="clear" w:color="auto" w:fill="FFFFFF"/>
        <w:spacing w:line="530" w:lineRule="atLeast"/>
        <w:ind w:firstLine="640"/>
        <w:rPr>
          <w:rFonts w:ascii="方正黑体_GBK" w:eastAsia="方正黑体_GBK" w:hAnsi="Calibri" w:cs="Calibri"/>
          <w:color w:val="333333"/>
          <w:kern w:val="0"/>
          <w:sz w:val="32"/>
          <w:szCs w:val="32"/>
        </w:rPr>
      </w:pPr>
      <w:r>
        <w:rPr>
          <w:rFonts w:ascii="方正黑体_GBK" w:eastAsia="方正黑体_GBK" w:hAnsi="Calibri" w:cs="Calibri" w:hint="eastAsia"/>
          <w:color w:val="333333"/>
          <w:kern w:val="0"/>
          <w:sz w:val="32"/>
          <w:szCs w:val="32"/>
        </w:rPr>
        <w:t>四、如何获取材料</w:t>
      </w:r>
    </w:p>
    <w:p w14:paraId="3475C115" w14:textId="77777777" w:rsidR="00687028" w:rsidRDefault="00000000">
      <w:pPr>
        <w:widowControl/>
        <w:shd w:val="clear" w:color="auto" w:fill="FFFFFF"/>
        <w:spacing w:line="530" w:lineRule="atLeast"/>
        <w:ind w:firstLine="640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lastRenderedPageBreak/>
        <w:t>企业办理变更（备案）所需登记申请文书规范和提交材料规范，可登录江阴市市场监督管理局官网</w:t>
      </w:r>
      <w:r>
        <w:rPr>
          <w:rFonts w:ascii="方正仿宋_GBK" w:eastAsia="方正仿宋_GBK" w:hAnsi="宋体" w:cs="宋体" w:hint="eastAsia"/>
          <w:kern w:val="0"/>
          <w:sz w:val="30"/>
          <w:szCs w:val="30"/>
        </w:rPr>
        <w:t>（</w:t>
      </w:r>
      <w:hyperlink r:id="rId7" w:history="1">
        <w:r w:rsidR="00687028">
          <w:rPr>
            <w:rStyle w:val="a8"/>
            <w:rFonts w:ascii="方正仿宋_GBK" w:eastAsia="方正仿宋_GBK" w:hAnsi="宋体" w:cs="宋体" w:hint="eastAsia"/>
            <w:kern w:val="0"/>
            <w:sz w:val="30"/>
            <w:szCs w:val="30"/>
          </w:rPr>
          <w:t>https://www.jiangyin.gov.cn/doc/2024/08/06/1248235.shtml</w:t>
        </w:r>
        <w:r w:rsidR="00687028">
          <w:rPr>
            <w:rFonts w:ascii="方正仿宋_GBK" w:eastAsia="方正仿宋_GBK" w:hAnsi="宋体" w:cs="宋体" w:hint="eastAsia"/>
            <w:kern w:val="0"/>
            <w:sz w:val="32"/>
            <w:szCs w:val="32"/>
          </w:rPr>
          <w:t>）下载</w:t>
        </w:r>
      </w:hyperlink>
      <w:r>
        <w:rPr>
          <w:rFonts w:ascii="方正仿宋_GBK" w:eastAsia="方正仿宋_GBK" w:hAnsi="宋体" w:cs="宋体" w:hint="eastAsia"/>
          <w:kern w:val="0"/>
          <w:sz w:val="32"/>
          <w:szCs w:val="32"/>
        </w:rPr>
        <w:t xml:space="preserve">。 </w:t>
      </w:r>
    </w:p>
    <w:p w14:paraId="247D1880" w14:textId="0C94A1D1" w:rsidR="00687028" w:rsidRDefault="00925F55">
      <w:pPr>
        <w:widowControl/>
        <w:shd w:val="clear" w:color="auto" w:fill="FFFFFF"/>
        <w:spacing w:line="530" w:lineRule="atLeast"/>
        <w:ind w:firstLine="640"/>
        <w:jc w:val="center"/>
        <w:rPr>
          <w:rFonts w:ascii="黑体" w:eastAsia="黑体" w:hAnsi="黑体" w:cs="黑体" w:hint="eastAsia"/>
          <w:b/>
          <w:bCs/>
          <w:color w:val="ED7D31" w:themeColor="accent2"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color w:val="ED7D31" w:themeColor="accent2"/>
          <w:kern w:val="0"/>
          <w:sz w:val="32"/>
          <w:szCs w:val="32"/>
        </w:rPr>
        <w:t>扫一扫 供参考</w:t>
      </w:r>
    </w:p>
    <w:p w14:paraId="6E21A01E" w14:textId="77777777" w:rsidR="00687028" w:rsidRDefault="00000000">
      <w:pPr>
        <w:widowControl/>
        <w:shd w:val="clear" w:color="auto" w:fill="FFFFFF"/>
        <w:spacing w:line="530" w:lineRule="atLeast"/>
        <w:jc w:val="center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noProof/>
          <w:kern w:val="0"/>
          <w:sz w:val="32"/>
          <w:szCs w:val="32"/>
        </w:rPr>
        <w:drawing>
          <wp:inline distT="0" distB="0" distL="114300" distR="114300" wp14:anchorId="4181C280" wp14:editId="2A0F7647">
            <wp:extent cx="3738245" cy="1869440"/>
            <wp:effectExtent l="0" t="0" r="14605" b="16510"/>
            <wp:docPr id="2" name="图片 2" descr="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二维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38245" cy="18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892E4" w14:textId="77777777" w:rsidR="00687028" w:rsidRDefault="00000000">
      <w:pPr>
        <w:widowControl/>
        <w:shd w:val="clear" w:color="auto" w:fill="FFFFFF"/>
        <w:spacing w:line="530" w:lineRule="atLeast"/>
        <w:ind w:firstLine="640"/>
        <w:rPr>
          <w:rFonts w:ascii="方正黑体_GBK" w:eastAsia="方正黑体_GBK" w:hAnsi="Calibri" w:cs="Calibri"/>
          <w:color w:val="333333"/>
          <w:kern w:val="0"/>
          <w:sz w:val="32"/>
          <w:szCs w:val="32"/>
        </w:rPr>
      </w:pPr>
      <w:r>
        <w:rPr>
          <w:rFonts w:ascii="方正黑体_GBK" w:eastAsia="方正黑体_GBK" w:hAnsi="Calibri" w:cs="Calibri" w:hint="eastAsia"/>
          <w:color w:val="333333"/>
          <w:kern w:val="0"/>
          <w:sz w:val="32"/>
          <w:szCs w:val="32"/>
        </w:rPr>
        <w:t>五、如何办理申请</w:t>
      </w:r>
    </w:p>
    <w:p w14:paraId="32F7EF33" w14:textId="77777777" w:rsidR="00687028" w:rsidRDefault="00000000">
      <w:pPr>
        <w:widowControl/>
        <w:shd w:val="clear" w:color="auto" w:fill="FFFFFF"/>
        <w:spacing w:line="530" w:lineRule="atLeast"/>
        <w:ind w:firstLine="640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1.线上申报：登录江苏省企业全</w:t>
      </w:r>
      <w:proofErr w:type="gramStart"/>
      <w:r>
        <w:rPr>
          <w:rFonts w:ascii="方正仿宋_GBK" w:eastAsia="方正仿宋_GBK" w:hAnsi="宋体" w:cs="宋体" w:hint="eastAsia"/>
          <w:kern w:val="0"/>
          <w:sz w:val="32"/>
          <w:szCs w:val="32"/>
        </w:rPr>
        <w:t>链通综合</w:t>
      </w:r>
      <w:proofErr w:type="gramEnd"/>
      <w:r>
        <w:rPr>
          <w:rFonts w:ascii="方正仿宋_GBK" w:eastAsia="方正仿宋_GBK" w:hAnsi="宋体" w:cs="宋体" w:hint="eastAsia"/>
          <w:kern w:val="0"/>
          <w:sz w:val="32"/>
          <w:szCs w:val="32"/>
        </w:rPr>
        <w:t>服务平台</w:t>
      </w:r>
      <w:r>
        <w:rPr>
          <w:rFonts w:ascii="方正仿宋_GBK" w:eastAsia="方正仿宋_GBK" w:hAnsi="宋体" w:cs="宋体" w:hint="eastAsia"/>
          <w:kern w:val="0"/>
          <w:sz w:val="30"/>
          <w:szCs w:val="30"/>
        </w:rPr>
        <w:t>（</w:t>
      </w:r>
      <w:bookmarkStart w:id="0" w:name="OLE_LINK1"/>
      <w:r>
        <w:rPr>
          <w:rFonts w:ascii="方正仿宋_GBK" w:eastAsia="方正仿宋_GBK" w:hAnsi="宋体" w:cs="宋体" w:hint="eastAsia"/>
          <w:kern w:val="0"/>
          <w:sz w:val="30"/>
          <w:szCs w:val="30"/>
        </w:rPr>
        <w:t>https://wsdj.jszwfw.gov.cn:57777/allLinks/business/index/home.jsp</w:t>
      </w:r>
      <w:bookmarkEnd w:id="0"/>
      <w:r>
        <w:rPr>
          <w:rFonts w:ascii="方正仿宋_GBK" w:eastAsia="方正仿宋_GBK" w:hAnsi="宋体" w:cs="宋体" w:hint="eastAsia"/>
          <w:kern w:val="0"/>
          <w:sz w:val="30"/>
          <w:szCs w:val="30"/>
        </w:rPr>
        <w:t>）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，进入“我要变更”模块。</w:t>
      </w:r>
    </w:p>
    <w:p w14:paraId="6CA03E1B" w14:textId="6BAF56EA" w:rsidR="00687028" w:rsidRDefault="00000000">
      <w:pPr>
        <w:widowControl/>
        <w:shd w:val="clear" w:color="auto" w:fill="FFFFFF"/>
        <w:spacing w:line="530" w:lineRule="atLeast"/>
        <w:ind w:firstLine="640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2.线下收件：</w:t>
      </w:r>
      <w:bookmarkStart w:id="1" w:name="_Hlk175147973"/>
      <w:r>
        <w:rPr>
          <w:rFonts w:ascii="方正仿宋_GBK" w:eastAsia="方正仿宋_GBK" w:hAnsi="宋体" w:cs="宋体" w:hint="eastAsia"/>
          <w:kern w:val="0"/>
          <w:sz w:val="32"/>
          <w:szCs w:val="32"/>
        </w:rPr>
        <w:t>申请人携带申请材料至</w:t>
      </w:r>
      <w:bookmarkStart w:id="2" w:name="_Hlk175206144"/>
      <w:r>
        <w:rPr>
          <w:rFonts w:ascii="方正仿宋_GBK" w:eastAsia="方正仿宋_GBK" w:hAnsi="宋体" w:cs="宋体" w:hint="eastAsia"/>
          <w:kern w:val="0"/>
          <w:sz w:val="32"/>
          <w:szCs w:val="32"/>
        </w:rPr>
        <w:t>江阴市政务服务中心长江路188号二楼</w:t>
      </w:r>
      <w:bookmarkEnd w:id="1"/>
      <w:bookmarkEnd w:id="2"/>
      <w:r>
        <w:rPr>
          <w:rFonts w:ascii="方正仿宋_GBK" w:eastAsia="方正仿宋_GBK" w:hAnsi="宋体" w:cs="宋体" w:hint="eastAsia"/>
          <w:kern w:val="0"/>
          <w:sz w:val="32"/>
          <w:szCs w:val="32"/>
        </w:rPr>
        <w:t>（外资登记）。</w:t>
      </w:r>
    </w:p>
    <w:p w14:paraId="5A7B960E" w14:textId="77777777" w:rsidR="00687028" w:rsidRDefault="00000000">
      <w:pPr>
        <w:widowControl/>
        <w:shd w:val="clear" w:color="auto" w:fill="FFFFFF"/>
        <w:spacing w:line="530" w:lineRule="atLeast"/>
        <w:ind w:firstLine="640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如有疑问可拨打88027252、86841659，或直接至江阴市市场监督管理局</w:t>
      </w:r>
      <w:proofErr w:type="gramStart"/>
      <w:r>
        <w:rPr>
          <w:rFonts w:ascii="方正仿宋_GBK" w:eastAsia="方正仿宋_GBK" w:hAnsi="宋体" w:cs="宋体" w:hint="eastAsia"/>
          <w:kern w:val="0"/>
          <w:sz w:val="32"/>
          <w:szCs w:val="32"/>
        </w:rPr>
        <w:t>澄</w:t>
      </w:r>
      <w:proofErr w:type="gramEnd"/>
      <w:r>
        <w:rPr>
          <w:rFonts w:ascii="方正仿宋_GBK" w:eastAsia="方正仿宋_GBK" w:hAnsi="宋体" w:cs="宋体" w:hint="eastAsia"/>
          <w:kern w:val="0"/>
          <w:sz w:val="32"/>
          <w:szCs w:val="32"/>
        </w:rPr>
        <w:t>江西路139号2号楼705进行咨询。</w:t>
      </w:r>
    </w:p>
    <w:sectPr w:rsidR="006870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90453"/>
    <w:multiLevelType w:val="singleLevel"/>
    <w:tmpl w:val="00C9045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779399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BlZmE5MzQ1MjRlZjllYTU2ZWMxOTAwZDUxOGNhOTcifQ=="/>
  </w:docVars>
  <w:rsids>
    <w:rsidRoot w:val="008743F9"/>
    <w:rsid w:val="00007405"/>
    <w:rsid w:val="00016BD5"/>
    <w:rsid w:val="00022A32"/>
    <w:rsid w:val="00025CA3"/>
    <w:rsid w:val="000C60B2"/>
    <w:rsid w:val="001130CE"/>
    <w:rsid w:val="00116CBB"/>
    <w:rsid w:val="00126138"/>
    <w:rsid w:val="00151CEC"/>
    <w:rsid w:val="001770D3"/>
    <w:rsid w:val="00192AC7"/>
    <w:rsid w:val="001C7DBA"/>
    <w:rsid w:val="0022122F"/>
    <w:rsid w:val="0025435A"/>
    <w:rsid w:val="00264243"/>
    <w:rsid w:val="002F5895"/>
    <w:rsid w:val="00343E83"/>
    <w:rsid w:val="003E6F7B"/>
    <w:rsid w:val="00430A37"/>
    <w:rsid w:val="0044413E"/>
    <w:rsid w:val="00481975"/>
    <w:rsid w:val="004B27D6"/>
    <w:rsid w:val="004B4199"/>
    <w:rsid w:val="00511847"/>
    <w:rsid w:val="00521DA4"/>
    <w:rsid w:val="00573B11"/>
    <w:rsid w:val="005748E8"/>
    <w:rsid w:val="00682EBC"/>
    <w:rsid w:val="00687028"/>
    <w:rsid w:val="00696D8E"/>
    <w:rsid w:val="0072470D"/>
    <w:rsid w:val="00740048"/>
    <w:rsid w:val="00746B08"/>
    <w:rsid w:val="00765DFE"/>
    <w:rsid w:val="007A7FC5"/>
    <w:rsid w:val="007C33EC"/>
    <w:rsid w:val="007C38F5"/>
    <w:rsid w:val="007D69BE"/>
    <w:rsid w:val="00811590"/>
    <w:rsid w:val="00840569"/>
    <w:rsid w:val="008743F9"/>
    <w:rsid w:val="00925F55"/>
    <w:rsid w:val="00950C62"/>
    <w:rsid w:val="009E4A9C"/>
    <w:rsid w:val="009E6A16"/>
    <w:rsid w:val="00A443BA"/>
    <w:rsid w:val="00AE5425"/>
    <w:rsid w:val="00B260D0"/>
    <w:rsid w:val="00B54FBB"/>
    <w:rsid w:val="00B83A21"/>
    <w:rsid w:val="00B8628F"/>
    <w:rsid w:val="00BB5C10"/>
    <w:rsid w:val="00BC55EF"/>
    <w:rsid w:val="00C0772F"/>
    <w:rsid w:val="00C35DF3"/>
    <w:rsid w:val="00C45C87"/>
    <w:rsid w:val="00C906BD"/>
    <w:rsid w:val="00CC7016"/>
    <w:rsid w:val="00D120B1"/>
    <w:rsid w:val="00D15829"/>
    <w:rsid w:val="00D23E81"/>
    <w:rsid w:val="00E102F7"/>
    <w:rsid w:val="00E440D7"/>
    <w:rsid w:val="00ED583A"/>
    <w:rsid w:val="00EE17D7"/>
    <w:rsid w:val="00F15AD7"/>
    <w:rsid w:val="00F425F5"/>
    <w:rsid w:val="00F4521E"/>
    <w:rsid w:val="00F56F1E"/>
    <w:rsid w:val="00F64103"/>
    <w:rsid w:val="0159764A"/>
    <w:rsid w:val="134B17E0"/>
    <w:rsid w:val="1A3441CE"/>
    <w:rsid w:val="330C609F"/>
    <w:rsid w:val="3A8F302F"/>
    <w:rsid w:val="46F634B6"/>
    <w:rsid w:val="4943162B"/>
    <w:rsid w:val="5221680B"/>
    <w:rsid w:val="63E37C28"/>
    <w:rsid w:val="650C4968"/>
    <w:rsid w:val="69E5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54EA8"/>
  <w15:docId w15:val="{128DD8B8-2142-4AF0-8F41-599FE1926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New">
    <w:name w:val="正文 New"/>
    <w:uiPriority w:val="9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kern w:val="2"/>
      <w:sz w:val="18"/>
      <w:szCs w:val="18"/>
    </w:rPr>
  </w:style>
  <w:style w:type="character" w:customStyle="1" w:styleId="2">
    <w:name w:val="未处理的提及2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www.jiangyin.gov.cn/doc/2024/08/06/1248235.shtml&#65289;&#19979;&#36733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618D8-A805-4663-9478-78EDEC509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duoduo fang</dc:creator>
  <cp:lastModifiedBy>duoduo fang</cp:lastModifiedBy>
  <cp:revision>2</cp:revision>
  <dcterms:created xsi:type="dcterms:W3CDTF">2025-04-21T04:10:00Z</dcterms:created>
  <dcterms:modified xsi:type="dcterms:W3CDTF">2025-04-21T04:10:00Z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9134A3408DFD4D0EB60220633BBED13B_12</vt:lpwstr>
  </property>
</Properties>
</file>