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2"/>
      </w:tblGrid>
      <w:tr w14:paraId="5E8FF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54" w:hRule="atLeast"/>
        </w:trPr>
        <w:tc>
          <w:tcPr>
            <w:tcW w:w="10402" w:type="dxa"/>
            <w:tcBorders>
              <w:top w:val="nil"/>
              <w:left w:val="nil"/>
              <w:bottom w:val="nil"/>
              <w:right w:val="nil"/>
            </w:tcBorders>
          </w:tcPr>
          <w:p w14:paraId="6582E28E">
            <w:pPr>
              <w:pStyle w:val="8"/>
              <w:spacing w:line="550" w:lineRule="exact"/>
              <w:rPr>
                <w:rFonts w:hint="eastAsia" w:ascii="仿宋" w:hAnsi="仿宋" w:eastAsia="仿宋" w:cs="仿宋"/>
                <w:b/>
                <w:bCs/>
                <w:color w:val="FF0000"/>
                <w:sz w:val="22"/>
                <w:szCs w:val="22"/>
                <w:vertAlign w:val="baseline"/>
              </w:rPr>
            </w:pPr>
            <w:r>
              <w:rPr>
                <w:rFonts w:hint="eastAsia" w:ascii="仿宋" w:hAnsi="仿宋" w:eastAsia="仿宋" w:cs="仿宋"/>
                <w:b/>
                <w:bCs/>
                <w:color w:val="FF0000"/>
                <w:sz w:val="22"/>
                <w:szCs w:val="22"/>
              </w:rPr>
              <w:t/>
            </w:r>
          </w:p>
        </w:tc>
      </w:tr>
      <w:tr w14:paraId="53321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center"/>
          </w:tcPr>
          <w:p w14:paraId="1DE75410">
            <w:pPr>
              <w:ind w:right="284" w:rightChars="129"/>
              <w:jc w:val="center"/>
              <w:rPr>
                <w:rFonts w:hint="eastAsia" w:ascii="仿宋" w:hAnsi="仿宋" w:eastAsia="仿宋" w:cs="仿宋"/>
                <w:b/>
                <w:bCs/>
                <w:color w:val="FF0000"/>
                <w:sz w:val="22"/>
                <w:szCs w:val="22"/>
                <w:vertAlign w:val="baseline"/>
              </w:rPr>
            </w:pPr>
            <w:r>
              <w:rPr>
                <w:rFonts w:hint="eastAsia" w:ascii="宋体" w:hAnsi="宋体" w:eastAsia="宋体" w:cs="宋体"/>
                <w:b/>
                <w:bCs/>
                <w:sz w:val="52"/>
                <w:szCs w:val="52"/>
                <w:lang w:val="en-US" w:eastAsia="zh-CN"/>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xml:space="preserve">2025年度</w:t>
              <w:br w:type="textWrapping"/>
              <w:t/>
            </w:r>
            <w:r>
              <w:rPr>
                <w:rFonts w:ascii="宋体" w:hAnsi="宋体" w:cs="宋体" w:eastAsia="宋体"/>
                <w:b w:val="true"/>
                <w:sz w:val="52"/>
              </w:rPr>
              <w:t>江阴市生命健康产业创新服务中心</w:t>
            </w:r>
            <w:r>
              <w:rPr>
                <w:rFonts w:ascii="宋体" w:hAnsi="宋体" w:cs="宋体" w:eastAsia="宋体"/>
                <w:b w:val="true"/>
                <w:sz w:val="52"/>
              </w:rPr>
              <w:t xml:space="preserve"></w:t>
              <w:br w:type="textWrapping"/>
              <w:t>单位预算公开</w:t>
            </w:r>
            <w:r>
              <w:rPr>
                <w:rFonts w:ascii="宋体" w:hAnsi="宋体" w:cs="宋体" w:eastAsia="宋体"/>
                <w:b w:val="true"/>
                <w:sz w:val="52"/>
              </w:rPr>
              <w:t/>
            </w:r>
            <w:r>
              <w:rPr>
                <w:rFonts w:ascii="宋体" w:hAnsi="宋体" w:cs="宋体" w:eastAsia="宋体"/>
                <w:b w:val="true"/>
                <w:sz w:val="52"/>
              </w:rPr>
              <w:t/>
            </w:r>
          </w:p>
        </w:tc>
      </w:tr>
    </w:tbl>
    <w:p w14:paraId="14897ACB">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14:paraId="6AEB147C">
      <w:pPr>
        <w:pStyle w:val="8"/>
        <w:spacing w:before="4" w:after="0"/>
        <w:rPr>
          <w:rFonts w:ascii="华文仿宋" w:hAnsi="华文仿宋" w:eastAsia="华文仿宋" w:cs="仿宋"/>
          <w:sz w:val="10"/>
        </w:rPr>
      </w:pPr>
    </w:p>
    <w:p w14:paraId="739D6A77">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14:paraId="5499024E">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14:paraId="63325B0C">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14:paraId="502DA453">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14:paraId="658D6902">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14:paraId="552D6E10">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2025</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14:paraId="2B33D14A">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lang w:val="en-US" w:eastAsia="zh-CN"/>
        </w:rPr>
        <w:t>年度</w:t>
      </w:r>
      <w:r>
        <w:rPr>
          <w:rFonts w:ascii="仿宋" w:hAnsi="仿宋" w:cs="仿宋" w:eastAsia="仿宋"/>
          <w:b w:val="true"/>
        </w:rPr>
        <w:t>单位</w:t>
      </w:r>
      <w:r>
        <w:rPr>
          <w:rFonts w:ascii="仿宋" w:hAnsi="仿宋" w:cs="仿宋" w:eastAsia="仿宋"/>
          <w:b w:val="true"/>
        </w:rPr>
        <w:t>预算表</w:t>
      </w:r>
    </w:p>
    <w:p w14:paraId="697B2D16">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14:paraId="21CD1960">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14:paraId="2D83067C">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14:paraId="4366880D">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14:paraId="5F8EC72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14:paraId="60D3009B">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14:paraId="6CA016C6">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14:paraId="54387C9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14:paraId="79124BC0">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14:paraId="31E56A9B">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14:paraId="58E1B9C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14:paraId="5D5451FF">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14:paraId="0C8D450D">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14:paraId="2B2329B3">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color w:val="000000"/>
          <w:sz w:val="30"/>
          <w:szCs w:val="30"/>
          <w:lang w:val="en-US" w:bidi="ar"/>
        </w:rPr>
        <w:t>年度</w:t>
      </w:r>
      <w:r>
        <w:rPr>
          <w:rFonts w:ascii="仿宋" w:hAnsi="仿宋" w:cs="仿宋" w:eastAsia="仿宋"/>
          <w:b w:val="true"/>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14:paraId="17567B92">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14:paraId="3626083D">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14:paraId="62BECF84">
      <w:pPr>
        <w:pStyle w:val="8"/>
        <w:spacing w:before="1" w:after="0"/>
        <w:rPr>
          <w:rFonts w:ascii="华文仿宋" w:hAnsi="华文仿宋" w:eastAsia="华文仿宋" w:cs="仿宋"/>
          <w:sz w:val="14"/>
        </w:rPr>
      </w:pPr>
    </w:p>
    <w:p w14:paraId="6E02EF27">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w:t>
      </w:r>
      <w:r>
        <w:rPr>
          <w:rFonts w:hint="eastAsia" w:ascii="仿宋" w:hAnsi="仿宋" w:eastAsia="仿宋" w:cs="仿宋"/>
          <w:b/>
          <w:bCs/>
        </w:rPr>
        <w:t>概况</w:t>
      </w:r>
    </w:p>
    <w:p w14:paraId="596E3451">
      <w:pPr>
        <w:ind w:right="504" w:rightChars="229"/>
        <w:jc w:val="both"/>
        <w:rPr>
          <w:rFonts w:hint="eastAsia"/>
        </w:rPr>
      </w:pPr>
    </w:p>
    <w:p w14:paraId="4E0400A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(一)宣传贯彻执行生命健康产业相关法律法规及政策。</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(二)在无锡分中心统一安排部署下，开展生命健康产业发展审评核查相关工作。</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(三)负责全市生物医药企业产品注册申报等服务工作。</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(四)协助药监主管部门做好生物医药产业市场监管和招商等工作。</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(五)负责全市生命健康产业相关方面的政策业务指导和培训等工作。</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(六)落实本单位安全生产主体责任，负责业务范围内安全生产监督管理工作。</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(七)完成市市场监督管理局交办的其他任务。</w:t>
      </w:r>
      <w:r>
        <w:rPr>
          <w:rFonts w:ascii="仿宋" w:hAnsi="仿宋" w:cs="仿宋" w:eastAsia="仿宋"/>
        </w:rPr>
        <w:t/>
      </w:r>
    </w:p>
    <w:p w14:paraId="6B17DDCD">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cs="仿宋" w:eastAsia="仿宋"/>
          <w:b w:val="true"/>
        </w:rPr>
        <w:t>单位</w:t>
      </w:r>
      <w:r>
        <w:rPr>
          <w:rFonts w:hint="eastAsia" w:ascii="仿宋" w:hAnsi="仿宋" w:eastAsia="仿宋" w:cs="仿宋"/>
          <w:b/>
          <w:bCs/>
        </w:rPr>
        <w:t>机构设置及预算单位构成情况</w:t>
      </w:r>
    </w:p>
    <w:p w14:paraId="77273F30">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eastAsia="zh-CN"/>
        </w:rPr>
        <w:t/>
      </w:r>
      <w:r>
        <w:rPr>
          <w:rFonts w:ascii="仿宋" w:hAnsi="仿宋" w:cs="仿宋" w:eastAsia="仿宋"/>
        </w:rPr>
        <w:t/>
      </w: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hint="eastAsia" w:ascii="仿宋" w:hAnsi="仿宋" w:eastAsia="仿宋" w:cs="仿宋"/>
          <w:lang w:val="en-US"/>
        </w:rPr>
        <w:t/>
      </w:r>
      <w:r>
        <w:rPr>
          <w:rFonts w:ascii="仿宋" w:hAnsi="仿宋" w:cs="仿宋" w:eastAsia="仿宋"/>
        </w:rPr>
        <w:t/>
      </w:r>
      <w:r>
        <w:rPr>
          <w:rFonts w:ascii="仿宋" w:hAnsi="仿宋" w:cs="仿宋" w:eastAsia="仿宋"/>
        </w:rPr>
        <w:t>本单位无内设机构。</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本单位无下属单位。</w:t>
      </w:r>
      <w:r>
        <w:rPr>
          <w:rFonts w:ascii="仿宋" w:hAnsi="仿宋" w:cs="仿宋" w:eastAsia="仿宋"/>
        </w:rPr>
        <w:t/>
      </w:r>
      <w:r>
        <w:rPr>
          <w:rFonts w:ascii="仿宋" w:hAnsi="仿宋" w:cs="仿宋" w:eastAsia="仿宋"/>
        </w:rPr>
        <w:t/>
      </w:r>
    </w:p>
    <w:p w14:paraId="17E355E1">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2025</w:t>
      </w:r>
      <w:r>
        <w:rPr>
          <w:rFonts w:hint="eastAsia" w:ascii="仿宋" w:hAnsi="仿宋" w:eastAsia="仿宋" w:cs="仿宋"/>
          <w:b/>
          <w:bCs/>
        </w:rPr>
        <w:t>年度</w:t>
      </w:r>
      <w:r>
        <w:rPr>
          <w:rFonts w:ascii="仿宋" w:hAnsi="仿宋" w:cs="仿宋" w:eastAsia="仿宋"/>
          <w:b w:val="true"/>
        </w:rPr>
        <w:t>单位</w:t>
      </w:r>
      <w:r>
        <w:rPr>
          <w:rFonts w:ascii="仿宋" w:hAnsi="仿宋" w:cs="仿宋" w:eastAsia="仿宋"/>
          <w:b w:val="true"/>
        </w:rPr>
        <w:t>主要工作任务及目标</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1、高标准运营一站一中心，聚焦药械上市、使用的难点痛点问题，打造药械注册申报指导和服务的“专业驿站”，提供专业化“一站式”服务，优化审评审批流程，提升企业的获得感和满意度，推动高新区医药产业高质量发展。</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2、进一步优化营商环境，加快推进药械产品及产业项目在高新区落地，助力研发成果转化，助力产品上市及产业化，着力打造服务医药产业高质量发展的“先行示范”高地。</w:t>
      </w:r>
      <w:r>
        <w:rPr>
          <w:rFonts w:ascii="仿宋" w:hAnsi="仿宋" w:cs="仿宋" w:eastAsia="仿宋"/>
        </w:rPr>
        <w:t/>
      </w:r>
    </w:p>
    <w:p w14:paraId="60B181B9">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22ACF442">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14:paraId="272DDB3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2D8EBC20">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6F080D4">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9DBE682">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4341A017">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61DCEEF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67D7F2C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14:paraId="2C05E6B0">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p>
    <w:p w14:paraId="199236A4">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江阴市生命健康产业创新服务中心</w:t>
      </w:r>
    </w:p>
    <w:p w14:paraId="341EDBD7">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cs="仿宋" w:eastAsia="仿宋"/>
          <w:b w:val="true"/>
          <w:sz w:val="44"/>
        </w:rPr>
        <w:t>预算表</w:t>
      </w:r>
    </w:p>
    <w:tbl>
      <w:tblPr>
        <w:tblStyle w:val="12"/>
        <w:tblW w:w="11329" w:type="dxa"/>
        <w:jc w:val="center"/>
        <w:tblLayout w:type="fixed"/>
        <w:tblCellMar>
          <w:top w:w="0" w:type="dxa"/>
          <w:left w:w="108" w:type="dxa"/>
          <w:bottom w:w="0" w:type="dxa"/>
          <w:right w:w="108" w:type="dxa"/>
        </w:tblCellMar>
      </w:tblPr>
      <w:tblGrid>
        <w:gridCol w:w="3908"/>
        <w:gridCol w:w="1869"/>
        <w:gridCol w:w="3704"/>
        <w:gridCol w:w="67"/>
        <w:gridCol w:w="1781"/>
      </w:tblGrid>
      <w:tr w14:paraId="6B843739">
        <w:tblPrEx>
          <w:tblCellMar>
            <w:top w:w="0" w:type="dxa"/>
            <w:left w:w="108" w:type="dxa"/>
            <w:bottom w:w="0" w:type="dxa"/>
            <w:right w:w="108" w:type="dxa"/>
          </w:tblCellMar>
        </w:tblPrEx>
        <w:trPr>
          <w:trHeight w:val="116" w:hRule="atLeast"/>
          <w:jc w:val="center"/>
        </w:trPr>
        <w:tc>
          <w:tcPr>
            <w:tcW w:w="11329" w:type="dxa"/>
            <w:gridSpan w:val="5"/>
            <w:vAlign w:val="center"/>
          </w:tcPr>
          <w:p w14:paraId="702297EC">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14:paraId="1764F984">
        <w:tblPrEx>
          <w:tblCellMar>
            <w:top w:w="0" w:type="dxa"/>
            <w:left w:w="108" w:type="dxa"/>
            <w:bottom w:w="0" w:type="dxa"/>
            <w:right w:w="108" w:type="dxa"/>
          </w:tblCellMar>
        </w:tblPrEx>
        <w:trPr>
          <w:trHeight w:val="348" w:hRule="atLeast"/>
          <w:jc w:val="center"/>
        </w:trPr>
        <w:tc>
          <w:tcPr>
            <w:tcW w:w="11329" w:type="dxa"/>
            <w:gridSpan w:val="5"/>
          </w:tcPr>
          <w:p w14:paraId="5C8D19CF">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14:paraId="24120ED6">
        <w:tblPrEx>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14:paraId="0821509B">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color w:val="000000"/>
                <w:sz w:val="22"/>
                <w:szCs w:val="22"/>
                <w:lang w:eastAsia="ar-SA"/>
              </w:rPr>
              <w:t>江阴市生命健康产业创新服务中心</w:t>
            </w:r>
          </w:p>
        </w:tc>
        <w:tc>
          <w:tcPr>
            <w:tcW w:w="1848" w:type="dxa"/>
            <w:gridSpan w:val="2"/>
            <w:tcBorders>
              <w:bottom w:val="single" w:color="000000" w:sz="4" w:space="0"/>
            </w:tcBorders>
            <w:vAlign w:val="center"/>
          </w:tcPr>
          <w:p w14:paraId="23651FFA">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14:paraId="3702B088">
        <w:tblPrEx>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14:paraId="3FD8F87B">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14:paraId="54A7E373">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14:paraId="1F1A563E">
        <w:tblPrEx>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3454410D">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14:paraId="4A579FD4">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3FF373DD">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14:paraId="6220095F">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39.19</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29.36</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3.85</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1.11</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4.87</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1F33EBB7">
        <w:tblPrEx>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0017926F">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14:paraId="38DEB73F">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39.19</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46DD57B8">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14:paraId="6382C9F7">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39.19</w:t>
            </w:r>
          </w:p>
        </w:tc>
      </w:tr>
      <w:tr w14:paraId="329AFA72">
        <w:tblPrEx>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4C8D4B2">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14:paraId="3E159CD5">
            <w:pPr>
              <w:widowControl w:val="0"/>
              <w:ind w:left="0" w:right="0" w:firstLine="0"/>
              <w:jc w:val="right"/>
              <w:textAlignment w:val="auto"/>
              <w:rPr>
                <w:rFonts w:hint="eastAsia" w:ascii="仿宋" w:hAnsi="仿宋" w:eastAsia="仿宋" w:cs="仿宋"/>
                <w:b/>
                <w:bCs/>
                <w:color w:val="000000"/>
                <w:sz w:val="22"/>
                <w:szCs w:val="22"/>
                <w:lang w:val="zh-CN" w:eastAsia="ar-SA"/>
              </w:rPr>
            </w:pPr>
            <w:r>
              <w:rPr>
                <w:rFonts w:hint="eastAsia" w:ascii="仿宋" w:hAnsi="仿宋" w:eastAsia="仿宋" w:cs="仿宋"/>
                <w:b/>
                <w:bCs/>
                <w:color w:val="000000"/>
                <w:sz w:val="22"/>
                <w:szCs w:val="22"/>
                <w:lang w:val="zh-CN" w:eastAsia="ar-SA"/>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FC60096">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14:paraId="3704249E">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
            </w:r>
          </w:p>
        </w:tc>
      </w:tr>
      <w:tr w14:paraId="76EB94B8">
        <w:tblPrEx>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00222249">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14:paraId="4BCA5632">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39.19</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697845E3">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14:paraId="5365208F">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39.19</w:t>
            </w:r>
          </w:p>
        </w:tc>
      </w:tr>
    </w:tbl>
    <w:p w14:paraId="6C3B3BB7">
      <w:pPr>
        <w:widowControl w:val="0"/>
        <w:suppressAutoHyphens/>
        <w:bidi w:val="0"/>
        <w:spacing w:before="66" w:after="0"/>
        <w:ind w:right="0"/>
        <w:jc w:val="left"/>
        <w:rPr>
          <w:rFonts w:hint="eastAsia" w:ascii="仿宋" w:hAnsi="仿宋" w:eastAsia="仿宋" w:cs="仿宋"/>
          <w:b/>
          <w:bCs/>
          <w:color w:val="000000"/>
          <w:sz w:val="22"/>
          <w:szCs w:val="22"/>
        </w:rPr>
        <w:sectPr>
          <w:footerReference r:id="rId8"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14:paraId="38C4B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14:paraId="6B2E0BE6">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14:paraId="2F2C6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14:paraId="1E7DD5A7">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14:paraId="331B0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14:paraId="2E442F95">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14:paraId="64D72F53">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14:paraId="6835C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C4B3A1B">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CE94BD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297B8B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9015C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DBFDD3">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14:paraId="352CE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E69B3E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F824EB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072CFE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945D3E8">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29D1909">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AF7B0A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5C7D35C">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36CBF6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BC8E72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14:paraId="15E05519">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6443B42">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FF201C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EDF3CD0">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52065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14:paraId="7B512B5A">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6B67ED2">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CFAAE3">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A0283C">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8C79A7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28A4F5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208089B">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14:paraId="1760D3E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14:paraId="6B813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2512FF8">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4F33B9">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39.19</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BE495F1">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39.19</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05EBDD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39.19</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7CD33DD">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732720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7C9D9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D42198B">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1ABB5A2">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E70914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7A9507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76769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8D17D0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60118DB">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4973A8F">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9670997">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6E9FE47">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8CAED8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r>
      <w:tr w14:paraId="02F58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ED051D5">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415007</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5B5AA96">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江阴市生命健康产业创新服务中心</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77FF9A5">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39.19</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F45F0D">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39.19</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F87EA8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39.19</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AF5C2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53B2AC">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5D0D17A">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3FFE4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4F3458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0197A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D38FC55">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1E6E66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A7023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CD981E2">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CADB0A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8CE066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2C8FB7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C6ECA8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r>
    </w:tbl>
    <w:p w14:paraId="05EA3505">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9"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14:paraId="44611C65">
        <w:tblPrEx>
          <w:tblCellMar>
            <w:top w:w="55" w:type="dxa"/>
            <w:left w:w="55" w:type="dxa"/>
            <w:bottom w:w="55" w:type="dxa"/>
            <w:right w:w="55" w:type="dxa"/>
          </w:tblCellMar>
        </w:tblPrEx>
        <w:trPr>
          <w:trHeight w:val="341" w:hRule="atLeast"/>
        </w:trPr>
        <w:tc>
          <w:tcPr>
            <w:tcW w:w="15347" w:type="dxa"/>
            <w:gridSpan w:val="8"/>
            <w:vAlign w:val="center"/>
          </w:tcPr>
          <w:p w14:paraId="7061346E">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14:paraId="30701D2B">
        <w:tblPrEx>
          <w:tblCellMar>
            <w:top w:w="55" w:type="dxa"/>
            <w:left w:w="55" w:type="dxa"/>
            <w:bottom w:w="55" w:type="dxa"/>
            <w:right w:w="55" w:type="dxa"/>
          </w:tblCellMar>
        </w:tblPrEx>
        <w:trPr>
          <w:trHeight w:val="321" w:hRule="atLeast"/>
        </w:trPr>
        <w:tc>
          <w:tcPr>
            <w:tcW w:w="15347" w:type="dxa"/>
            <w:gridSpan w:val="8"/>
            <w:vAlign w:val="center"/>
          </w:tcPr>
          <w:p w14:paraId="314D5A46">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14:paraId="51B21317">
        <w:tblPrEx>
          <w:tblCellMar>
            <w:top w:w="55" w:type="dxa"/>
            <w:left w:w="55" w:type="dxa"/>
            <w:bottom w:w="55" w:type="dxa"/>
            <w:right w:w="55" w:type="dxa"/>
          </w:tblCellMar>
        </w:tblPrEx>
        <w:trPr>
          <w:trHeight w:val="218" w:hRule="atLeast"/>
        </w:trPr>
        <w:tc>
          <w:tcPr>
            <w:tcW w:w="12030" w:type="dxa"/>
            <w:gridSpan w:val="6"/>
            <w:vAlign w:val="center"/>
          </w:tcPr>
          <w:p w14:paraId="73FF8091">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3317" w:type="dxa"/>
            <w:gridSpan w:val="2"/>
            <w:vAlign w:val="center"/>
          </w:tcPr>
          <w:p w14:paraId="232D1ABF">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14:paraId="77A36CF1">
        <w:tblPrEx>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14:paraId="4A318110">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14:paraId="0470B43A">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14:paraId="4035FCF0">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14:paraId="6DEB6C49">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14:paraId="5D483D2D">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14:paraId="2C083FE1">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14:paraId="2282AC79">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14:paraId="4EC4AC47">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14:paraId="7275282F">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14:paraId="2436251E">
        <w:tblPrEx>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14:paraId="26D30828">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1920" w:type="dxa"/>
            <w:tcBorders>
              <w:left w:val="single" w:color="000000" w:sz="4" w:space="0"/>
              <w:bottom w:val="single" w:color="000000" w:sz="4" w:space="0"/>
            </w:tcBorders>
            <w:vAlign w:val="center"/>
          </w:tcPr>
          <w:p w14:paraId="0B5646C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1714" w:type="dxa"/>
            <w:tcBorders>
              <w:left w:val="single" w:color="000000" w:sz="4" w:space="0"/>
              <w:bottom w:val="single" w:color="000000" w:sz="4" w:space="0"/>
            </w:tcBorders>
            <w:vAlign w:val="center"/>
          </w:tcPr>
          <w:p w14:paraId="7AC1DCF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1749" w:type="dxa"/>
            <w:tcBorders>
              <w:left w:val="single" w:color="000000" w:sz="4" w:space="0"/>
              <w:bottom w:val="single" w:color="000000" w:sz="4" w:space="0"/>
            </w:tcBorders>
            <w:vAlign w:val="center"/>
          </w:tcPr>
          <w:p w14:paraId="3D172D4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left w:val="single" w:color="000000" w:sz="4" w:space="0"/>
              <w:bottom w:val="single" w:color="000000" w:sz="4" w:space="0"/>
            </w:tcBorders>
            <w:vAlign w:val="center"/>
          </w:tcPr>
          <w:p w14:paraId="2CBEB3F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left w:val="single" w:color="000000" w:sz="4" w:space="0"/>
              <w:bottom w:val="single" w:color="000000" w:sz="4" w:space="0"/>
            </w:tcBorders>
            <w:vAlign w:val="center"/>
          </w:tcPr>
          <w:p w14:paraId="0456E32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left w:val="single" w:color="000000" w:sz="4" w:space="0"/>
              <w:bottom w:val="single" w:color="000000" w:sz="4" w:space="0"/>
              <w:right w:val="single" w:color="000000" w:sz="4" w:space="0"/>
            </w:tcBorders>
            <w:vAlign w:val="center"/>
          </w:tcPr>
          <w:p w14:paraId="725A005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201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2013850</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事业运行</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208</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3.85</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3.85</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3.66</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3.66</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2.44</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2.44</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210</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卫生健康支出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21011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行政事业单位医疗</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2101102</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事业单位医疗</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221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住房保障支出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住房改革支出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住房公积金</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1.54</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1.54</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购房补贴</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6F47FE99">
      <w:pPr>
        <w:widowControl w:val="0"/>
        <w:suppressAutoHyphens/>
        <w:bidi w:val="0"/>
        <w:spacing w:before="59" w:after="0"/>
        <w:ind w:left="57" w:right="0" w:firstLine="0"/>
        <w:jc w:val="left"/>
        <w:rPr>
          <w:rFonts w:hint="eastAsia" w:ascii="仿宋" w:hAnsi="仿宋" w:eastAsia="仿宋" w:cs="仿宋"/>
          <w:b/>
          <w:bCs/>
          <w:sz w:val="22"/>
          <w:szCs w:val="22"/>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14:paraId="76E67744">
        <w:tblPrEx>
          <w:tblCellMar>
            <w:top w:w="55" w:type="dxa"/>
            <w:left w:w="55" w:type="dxa"/>
            <w:bottom w:w="55" w:type="dxa"/>
            <w:right w:w="55" w:type="dxa"/>
          </w:tblCellMar>
        </w:tblPrEx>
        <w:trPr>
          <w:trHeight w:val="319" w:hRule="atLeast"/>
        </w:trPr>
        <w:tc>
          <w:tcPr>
            <w:tcW w:w="15789" w:type="dxa"/>
            <w:gridSpan w:val="4"/>
          </w:tcPr>
          <w:p w14:paraId="62E867CC">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14:paraId="1820DDA8">
        <w:tblPrEx>
          <w:tblCellMar>
            <w:top w:w="55" w:type="dxa"/>
            <w:left w:w="55" w:type="dxa"/>
            <w:bottom w:w="55" w:type="dxa"/>
            <w:right w:w="55" w:type="dxa"/>
          </w:tblCellMar>
        </w:tblPrEx>
        <w:trPr>
          <w:trHeight w:val="319" w:hRule="atLeast"/>
        </w:trPr>
        <w:tc>
          <w:tcPr>
            <w:tcW w:w="15789" w:type="dxa"/>
            <w:gridSpan w:val="4"/>
          </w:tcPr>
          <w:p w14:paraId="3FB28F56">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14:paraId="00B5EFFF">
        <w:tblPrEx>
          <w:tblCellMar>
            <w:top w:w="55" w:type="dxa"/>
            <w:left w:w="55" w:type="dxa"/>
            <w:bottom w:w="55" w:type="dxa"/>
            <w:right w:w="55" w:type="dxa"/>
          </w:tblCellMar>
        </w:tblPrEx>
        <w:trPr>
          <w:trHeight w:val="319" w:hRule="atLeast"/>
        </w:trPr>
        <w:tc>
          <w:tcPr>
            <w:tcW w:w="11890" w:type="dxa"/>
            <w:gridSpan w:val="3"/>
          </w:tcPr>
          <w:p w14:paraId="397DE508">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江阴市生命健康产业创新服务中心</w:t>
            </w:r>
          </w:p>
        </w:tc>
        <w:tc>
          <w:tcPr>
            <w:tcW w:w="3899" w:type="dxa"/>
            <w:vAlign w:val="center"/>
          </w:tcPr>
          <w:p w14:paraId="53F407E4">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14:paraId="78DBC8FC">
        <w:tblPrEx>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14:paraId="4627C4B5">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14:paraId="4ABF517F">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14:paraId="3B93835E">
        <w:tblPrEx>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14:paraId="3B46D60A">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
            </w:r>
            <w:r>
              <w:rPr>
                <w:rFonts w:ascii="仿宋" w:hAnsi="仿宋" w:cs="仿宋" w:eastAsia="仿宋"/>
                <w:b w:val="true"/>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14:paraId="39117F34">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14:paraId="360C3CE6">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14:paraId="0A0EBC85">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39.19</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29.36</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3.85</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1.11</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4.87</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3F2BB7B5">
        <w:tblPrEx>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14:paraId="52476F76">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14:paraId="50DBCC23">
            <w:pPr>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3943" w:type="dxa"/>
            <w:tcBorders>
              <w:left w:val="single" w:color="000000" w:sz="4" w:space="0"/>
              <w:bottom w:val="single" w:color="000000" w:sz="4" w:space="0"/>
            </w:tcBorders>
            <w:vAlign w:val="center"/>
          </w:tcPr>
          <w:p w14:paraId="72FA9CBD">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14:paraId="0A3CBB07">
            <w:pPr>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r>
    </w:tbl>
    <w:p w14:paraId="18BF5FBD">
      <w:pPr>
        <w:ind w:left="-220" w:leftChars="-100" w:firstLine="0" w:firstLineChars="0"/>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14:paraId="781504FE">
        <w:tblPrEx>
          <w:tblCellMar>
            <w:top w:w="55" w:type="dxa"/>
            <w:left w:w="55" w:type="dxa"/>
            <w:bottom w:w="55" w:type="dxa"/>
            <w:right w:w="55" w:type="dxa"/>
          </w:tblCellMar>
        </w:tblPrEx>
        <w:trPr>
          <w:trHeight w:val="321" w:hRule="atLeast"/>
        </w:trPr>
        <w:tc>
          <w:tcPr>
            <w:tcW w:w="15216" w:type="dxa"/>
            <w:gridSpan w:val="7"/>
            <w:vAlign w:val="center"/>
          </w:tcPr>
          <w:p w14:paraId="344B4167">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14:paraId="0DD1905D">
        <w:tblPrEx>
          <w:tblCellMar>
            <w:top w:w="55" w:type="dxa"/>
            <w:left w:w="55" w:type="dxa"/>
            <w:bottom w:w="55" w:type="dxa"/>
            <w:right w:w="55" w:type="dxa"/>
          </w:tblCellMar>
        </w:tblPrEx>
        <w:trPr>
          <w:trHeight w:val="321" w:hRule="atLeast"/>
        </w:trPr>
        <w:tc>
          <w:tcPr>
            <w:tcW w:w="15216" w:type="dxa"/>
            <w:gridSpan w:val="7"/>
          </w:tcPr>
          <w:p w14:paraId="3979B85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14:paraId="597F73CC">
        <w:tblPrEx>
          <w:tblCellMar>
            <w:top w:w="55" w:type="dxa"/>
            <w:left w:w="55" w:type="dxa"/>
            <w:bottom w:w="55" w:type="dxa"/>
            <w:right w:w="55" w:type="dxa"/>
          </w:tblCellMar>
        </w:tblPrEx>
        <w:trPr>
          <w:trHeight w:val="309" w:hRule="atLeast"/>
        </w:trPr>
        <w:tc>
          <w:tcPr>
            <w:tcW w:w="13552" w:type="dxa"/>
            <w:gridSpan w:val="6"/>
          </w:tcPr>
          <w:p w14:paraId="4FF30C2D">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1664" w:type="dxa"/>
            <w:vAlign w:val="center"/>
          </w:tcPr>
          <w:p w14:paraId="3A0AD504">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72EB53EE">
        <w:tblPrEx>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14:paraId="6B53EBEE">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14:paraId="596BB34A">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14:paraId="7309852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14:paraId="358079C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14:paraId="045615D7">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14:paraId="01EF94C3">
        <w:tblPrEx>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14:paraId="154AA0F0">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14:paraId="7690009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14:paraId="3FA268CC">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14:paraId="5B38143E">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14:paraId="4C4F172F">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14:paraId="4F619415">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14:paraId="39AA244C">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14:paraId="40F8EE40">
        <w:tblPrEx>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14:paraId="702733D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14:paraId="04A5033E">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39.19</w:t>
            </w:r>
          </w:p>
        </w:tc>
        <w:tc>
          <w:tcPr>
            <w:tcW w:w="1827" w:type="dxa"/>
            <w:tcBorders>
              <w:left w:val="single" w:color="000000" w:sz="6" w:space="0"/>
              <w:bottom w:val="single" w:color="000000" w:sz="6" w:space="0"/>
            </w:tcBorders>
          </w:tcPr>
          <w:p w14:paraId="72125376">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39.19</w:t>
            </w:r>
          </w:p>
        </w:tc>
        <w:tc>
          <w:tcPr>
            <w:tcW w:w="1813" w:type="dxa"/>
            <w:tcBorders>
              <w:left w:val="single" w:color="000000" w:sz="6" w:space="0"/>
              <w:bottom w:val="single" w:color="000000" w:sz="6" w:space="0"/>
            </w:tcBorders>
          </w:tcPr>
          <w:p w14:paraId="21468739">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35.51</w:t>
            </w:r>
          </w:p>
        </w:tc>
        <w:tc>
          <w:tcPr>
            <w:tcW w:w="1813" w:type="dxa"/>
            <w:tcBorders>
              <w:left w:val="single" w:color="000000" w:sz="6" w:space="0"/>
              <w:bottom w:val="single" w:color="000000" w:sz="6" w:space="0"/>
            </w:tcBorders>
          </w:tcPr>
          <w:p w14:paraId="3253527E">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3.68</w:t>
            </w:r>
          </w:p>
        </w:tc>
        <w:tc>
          <w:tcPr>
            <w:tcW w:w="1664" w:type="dxa"/>
            <w:tcBorders>
              <w:left w:val="single" w:color="000000" w:sz="6" w:space="0"/>
              <w:bottom w:val="single" w:color="000000" w:sz="6" w:space="0"/>
              <w:right w:val="single" w:color="000000" w:sz="6" w:space="0"/>
            </w:tcBorders>
          </w:tcPr>
          <w:p w14:paraId="1DC734D5">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25.68</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3.68</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25.68</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3.68</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2013850</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事业运行</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29.36</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25.68</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3.68</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208</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3.85</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3.85</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3.85</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3.66</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3.66</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3.66</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2.44</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2.44</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2.44</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1.22</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1.22</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1.22</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0.19</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210</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卫生健康支出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21011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行政事业单位医疗</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2101102</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事业单位医疗</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1.11</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221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住房保障支出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住房改革支出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4.87</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住房公积金</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1.54</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1.54</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1.54</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购房补贴</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3.33</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3.33</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3.33</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bl>
    <w:p w14:paraId="6144A040">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0A669AC6">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14:paraId="6C9496A1">
        <w:tblPrEx>
          <w:tblCellMar>
            <w:top w:w="55" w:type="dxa"/>
            <w:left w:w="55" w:type="dxa"/>
            <w:bottom w:w="55" w:type="dxa"/>
            <w:right w:w="55" w:type="dxa"/>
          </w:tblCellMar>
        </w:tblPrEx>
        <w:trPr>
          <w:trHeight w:val="319" w:hRule="atLeast"/>
        </w:trPr>
        <w:tc>
          <w:tcPr>
            <w:tcW w:w="10817" w:type="dxa"/>
            <w:gridSpan w:val="5"/>
            <w:vAlign w:val="center"/>
          </w:tcPr>
          <w:p w14:paraId="5B4201F6">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14:paraId="16CF153D">
        <w:tblPrEx>
          <w:tblCellMar>
            <w:top w:w="55" w:type="dxa"/>
            <w:left w:w="55" w:type="dxa"/>
            <w:bottom w:w="55" w:type="dxa"/>
            <w:right w:w="55" w:type="dxa"/>
          </w:tblCellMar>
        </w:tblPrEx>
        <w:trPr>
          <w:trHeight w:val="319" w:hRule="atLeast"/>
        </w:trPr>
        <w:tc>
          <w:tcPr>
            <w:tcW w:w="10817" w:type="dxa"/>
            <w:gridSpan w:val="5"/>
          </w:tcPr>
          <w:p w14:paraId="2DF9A6DA">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14:paraId="61428C1F">
        <w:tblPrEx>
          <w:tblCellMar>
            <w:top w:w="55" w:type="dxa"/>
            <w:left w:w="55" w:type="dxa"/>
            <w:bottom w:w="55" w:type="dxa"/>
            <w:right w:w="55" w:type="dxa"/>
          </w:tblCellMar>
        </w:tblPrEx>
        <w:trPr>
          <w:trHeight w:val="319" w:hRule="atLeast"/>
        </w:trPr>
        <w:tc>
          <w:tcPr>
            <w:tcW w:w="8760" w:type="dxa"/>
            <w:gridSpan w:val="4"/>
          </w:tcPr>
          <w:p w14:paraId="5F7506DC">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江阴市生命健康产业创新服务中心</w:t>
            </w:r>
          </w:p>
        </w:tc>
        <w:tc>
          <w:tcPr>
            <w:tcW w:w="2057" w:type="dxa"/>
            <w:vAlign w:val="center"/>
          </w:tcPr>
          <w:p w14:paraId="6C4E20D2">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22FFB9C6">
        <w:tblPrEx>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14:paraId="02A4A69D">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14:paraId="3A654AB3">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14:paraId="3135FA81">
        <w:tblPrEx>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14:paraId="20B4517E">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14:paraId="0810D023">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14:paraId="7B983408">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14:paraId="15CA38C0">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14:paraId="1888E2CD">
            <w:pPr>
              <w:pStyle w:val="22"/>
              <w:widowControl w:val="0"/>
              <w:jc w:val="center"/>
              <w:rPr>
                <w:rFonts w:hint="eastAsia" w:ascii="仿宋" w:hAnsi="仿宋" w:eastAsia="仿宋" w:cs="仿宋"/>
              </w:rPr>
            </w:pPr>
            <w:r>
              <w:rPr>
                <w:rFonts w:hint="eastAsia" w:ascii="仿宋" w:hAnsi="仿宋" w:eastAsia="仿宋" w:cs="仿宋"/>
              </w:rPr>
              <w:t>公用经费</w:t>
            </w:r>
          </w:p>
        </w:tc>
      </w:tr>
      <w:tr w14:paraId="39E08D31">
        <w:tblPrEx>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14:paraId="2046E541">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合计</w:t>
            </w:r>
          </w:p>
        </w:tc>
        <w:tc>
          <w:tcPr>
            <w:tcW w:w="2047" w:type="dxa"/>
            <w:tcBorders>
              <w:left w:val="single" w:color="000000" w:sz="4" w:space="0"/>
              <w:bottom w:val="single" w:color="000000" w:sz="4" w:space="0"/>
            </w:tcBorders>
            <w:vAlign w:val="center"/>
          </w:tcPr>
          <w:p w14:paraId="0DAA66E4">
            <w:pPr>
              <w:pStyle w:val="22"/>
              <w:widowControl w:val="0"/>
              <w:jc w:val="right"/>
              <w:rPr>
                <w:rFonts w:hint="eastAsia" w:ascii="仿宋" w:hAnsi="仿宋" w:eastAsia="仿宋" w:cs="仿宋"/>
              </w:rPr>
            </w:pPr>
            <w:r>
              <w:rPr>
                <w:rFonts w:hint="eastAsia" w:ascii="仿宋" w:hAnsi="仿宋" w:eastAsia="仿宋" w:cs="仿宋"/>
              </w:rPr>
              <w:t>39.19</w:t>
            </w:r>
          </w:p>
        </w:tc>
        <w:tc>
          <w:tcPr>
            <w:tcW w:w="2040" w:type="dxa"/>
            <w:tcBorders>
              <w:left w:val="single" w:color="000000" w:sz="4" w:space="0"/>
              <w:bottom w:val="single" w:color="000000" w:sz="4" w:space="0"/>
            </w:tcBorders>
            <w:vAlign w:val="center"/>
          </w:tcPr>
          <w:p w14:paraId="544608F4">
            <w:pPr>
              <w:pStyle w:val="22"/>
              <w:widowControl w:val="0"/>
              <w:jc w:val="right"/>
              <w:rPr>
                <w:rFonts w:hint="eastAsia" w:ascii="仿宋" w:hAnsi="仿宋" w:eastAsia="仿宋" w:cs="仿宋"/>
              </w:rPr>
            </w:pPr>
            <w:r>
              <w:rPr>
                <w:rFonts w:hint="eastAsia" w:ascii="仿宋" w:hAnsi="仿宋" w:eastAsia="仿宋" w:cs="仿宋"/>
              </w:rPr>
              <w:t>35.51</w:t>
            </w:r>
          </w:p>
        </w:tc>
        <w:tc>
          <w:tcPr>
            <w:tcW w:w="2057" w:type="dxa"/>
            <w:tcBorders>
              <w:left w:val="single" w:color="000000" w:sz="4" w:space="0"/>
              <w:bottom w:val="single" w:color="000000" w:sz="4" w:space="0"/>
              <w:right w:val="single" w:color="000000" w:sz="4" w:space="0"/>
            </w:tcBorders>
            <w:vAlign w:val="center"/>
          </w:tcPr>
          <w:p w14:paraId="4F5B871A">
            <w:pPr>
              <w:pStyle w:val="22"/>
              <w:widowControl w:val="0"/>
              <w:jc w:val="right"/>
              <w:rPr>
                <w:rFonts w:hint="eastAsia" w:ascii="仿宋" w:hAnsi="仿宋" w:eastAsia="仿宋" w:cs="仿宋"/>
              </w:rPr>
            </w:pPr>
            <w:r>
              <w:rPr>
                <w:rFonts w:hint="eastAsia" w:ascii="仿宋" w:hAnsi="仿宋" w:eastAsia="仿宋" w:cs="仿宋"/>
              </w:rPr>
              <w:t>3.68</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35.49</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35.49</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5.74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5.74</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4.53</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4.53</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奖金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11.80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11.80</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0.80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0.80</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5.88</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5.88</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2.44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2.44</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1.22</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1.22</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1.11</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1.11</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0.19</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0.19</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1.54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1.54</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30114</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医疗费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0.24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0.24</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3.68</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3.68</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1.70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1.70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印刷费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0.10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0.10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差旅费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0.48</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0.48</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会议费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0.10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0.10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0.20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0.20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0.50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0.50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30239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0.60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0.60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0.02</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0.02</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0.02</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0.02</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bl>
    <w:p w14:paraId="69219CD5">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14:paraId="494EE97C">
        <w:tblPrEx>
          <w:tblCellMar>
            <w:top w:w="55" w:type="dxa"/>
            <w:left w:w="55" w:type="dxa"/>
            <w:bottom w:w="55" w:type="dxa"/>
            <w:right w:w="55" w:type="dxa"/>
          </w:tblCellMar>
        </w:tblPrEx>
        <w:trPr>
          <w:trHeight w:val="321" w:hRule="atLeast"/>
        </w:trPr>
        <w:tc>
          <w:tcPr>
            <w:tcW w:w="15216" w:type="dxa"/>
            <w:gridSpan w:val="7"/>
            <w:vAlign w:val="center"/>
          </w:tcPr>
          <w:p w14:paraId="51EC2F5C">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14:paraId="2FDF7549">
        <w:tblPrEx>
          <w:tblCellMar>
            <w:top w:w="55" w:type="dxa"/>
            <w:left w:w="55" w:type="dxa"/>
            <w:bottom w:w="55" w:type="dxa"/>
            <w:right w:w="55" w:type="dxa"/>
          </w:tblCellMar>
        </w:tblPrEx>
        <w:trPr>
          <w:trHeight w:val="321" w:hRule="atLeast"/>
        </w:trPr>
        <w:tc>
          <w:tcPr>
            <w:tcW w:w="15216" w:type="dxa"/>
            <w:gridSpan w:val="7"/>
          </w:tcPr>
          <w:p w14:paraId="72828270">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14:paraId="586FA423">
        <w:tblPrEx>
          <w:tblCellMar>
            <w:top w:w="55" w:type="dxa"/>
            <w:left w:w="55" w:type="dxa"/>
            <w:bottom w:w="55" w:type="dxa"/>
            <w:right w:w="55" w:type="dxa"/>
          </w:tblCellMar>
        </w:tblPrEx>
        <w:trPr>
          <w:trHeight w:val="288" w:hRule="atLeast"/>
        </w:trPr>
        <w:tc>
          <w:tcPr>
            <w:tcW w:w="13566" w:type="dxa"/>
            <w:gridSpan w:val="6"/>
          </w:tcPr>
          <w:p w14:paraId="5561AF88">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1650" w:type="dxa"/>
            <w:vAlign w:val="center"/>
          </w:tcPr>
          <w:p w14:paraId="704B056B">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099C2DA8">
        <w:tblPrEx>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14:paraId="4E3D23C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14:paraId="6BBC9BFE">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14:paraId="4E56B37C">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14:paraId="71663243">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14:paraId="05D3C45D">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14:paraId="31087D9D">
        <w:tblPrEx>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14:paraId="2A2EB686">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14:paraId="7B9A2FE2">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14:paraId="1F65438A">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14:paraId="678B5745">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14:paraId="14B7F204">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14:paraId="3140B1B7">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14:paraId="00D137D4">
            <w:pPr>
              <w:widowControl w:val="0"/>
              <w:jc w:val="left"/>
              <w:rPr>
                <w:rFonts w:hint="eastAsia" w:ascii="仿宋" w:hAnsi="仿宋" w:eastAsia="仿宋" w:cs="仿宋"/>
                <w:sz w:val="22"/>
                <w:szCs w:val="22"/>
              </w:rPr>
            </w:pPr>
          </w:p>
        </w:tc>
      </w:tr>
      <w:tr w14:paraId="2919B456">
        <w:tblPrEx>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14:paraId="4007DAB5">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14:paraId="5E2CD93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1693" w:type="dxa"/>
            <w:tcBorders>
              <w:left w:val="single" w:color="000000" w:sz="6" w:space="0"/>
              <w:bottom w:val="single" w:color="000000" w:sz="6" w:space="0"/>
            </w:tcBorders>
          </w:tcPr>
          <w:p w14:paraId="772ED10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39.19</w:t>
            </w:r>
          </w:p>
        </w:tc>
        <w:tc>
          <w:tcPr>
            <w:tcW w:w="1987" w:type="dxa"/>
            <w:tcBorders>
              <w:left w:val="single" w:color="000000" w:sz="6" w:space="0"/>
              <w:bottom w:val="single" w:color="000000" w:sz="6" w:space="0"/>
            </w:tcBorders>
          </w:tcPr>
          <w:p w14:paraId="5BD8E28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35.51</w:t>
            </w:r>
          </w:p>
        </w:tc>
        <w:tc>
          <w:tcPr>
            <w:tcW w:w="1827" w:type="dxa"/>
            <w:tcBorders>
              <w:left w:val="single" w:color="000000" w:sz="6" w:space="0"/>
              <w:bottom w:val="single" w:color="000000" w:sz="6" w:space="0"/>
            </w:tcBorders>
          </w:tcPr>
          <w:p w14:paraId="2831BE4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3.68</w:t>
            </w:r>
          </w:p>
        </w:tc>
        <w:tc>
          <w:tcPr>
            <w:tcW w:w="1650" w:type="dxa"/>
            <w:tcBorders>
              <w:left w:val="single" w:color="000000" w:sz="6" w:space="0"/>
              <w:bottom w:val="single" w:color="000000" w:sz="6" w:space="0"/>
              <w:right w:val="single" w:color="000000" w:sz="6" w:space="0"/>
            </w:tcBorders>
          </w:tcPr>
          <w:p w14:paraId="2A55F17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25.68</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3.68</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20138</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市场监督管理事务</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25.68</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3.68</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2013850</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事业运行</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29.36</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25.68</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3.68</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3.85</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3.85</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3.85</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3.66</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3.66</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3.66</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2080505</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机关事业单位基本养老保险缴费支出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2.44</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2.44</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2.44</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2080506</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机关事业单位职业年金缴费支出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1.22</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20899</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2089999</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0.19</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210</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卫生健康支出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21011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行政事业单位医疗</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2101102</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事业单位医疗</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1.11</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住房改革支出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4.87</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住房公积金</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1.54</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1.54</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1.54</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2210203</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购房补贴</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3.33</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5914C3F0">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14:paraId="484721E5">
        <w:tblPrEx>
          <w:tblCellMar>
            <w:top w:w="55" w:type="dxa"/>
            <w:left w:w="55" w:type="dxa"/>
            <w:bottom w:w="55" w:type="dxa"/>
            <w:right w:w="55" w:type="dxa"/>
          </w:tblCellMar>
        </w:tblPrEx>
        <w:trPr>
          <w:trHeight w:val="319" w:hRule="atLeast"/>
        </w:trPr>
        <w:tc>
          <w:tcPr>
            <w:tcW w:w="10954" w:type="dxa"/>
            <w:gridSpan w:val="5"/>
          </w:tcPr>
          <w:p w14:paraId="16647F55">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14:paraId="002F78A7">
        <w:tblPrEx>
          <w:tblCellMar>
            <w:top w:w="55" w:type="dxa"/>
            <w:left w:w="55" w:type="dxa"/>
            <w:bottom w:w="55" w:type="dxa"/>
            <w:right w:w="55" w:type="dxa"/>
          </w:tblCellMar>
        </w:tblPrEx>
        <w:trPr>
          <w:trHeight w:val="189" w:hRule="atLeast"/>
        </w:trPr>
        <w:tc>
          <w:tcPr>
            <w:tcW w:w="10954" w:type="dxa"/>
            <w:gridSpan w:val="5"/>
          </w:tcPr>
          <w:p w14:paraId="2FCCAE70">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14:paraId="7162EBB8">
        <w:tblPrEx>
          <w:tblCellMar>
            <w:top w:w="55" w:type="dxa"/>
            <w:left w:w="55" w:type="dxa"/>
            <w:bottom w:w="55" w:type="dxa"/>
            <w:right w:w="55" w:type="dxa"/>
          </w:tblCellMar>
        </w:tblPrEx>
        <w:trPr>
          <w:trHeight w:val="138" w:hRule="atLeast"/>
        </w:trPr>
        <w:tc>
          <w:tcPr>
            <w:tcW w:w="9281" w:type="dxa"/>
            <w:gridSpan w:val="4"/>
            <w:vAlign w:val="center"/>
          </w:tcPr>
          <w:p w14:paraId="17C5FA13">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1673" w:type="dxa"/>
            <w:vAlign w:val="center"/>
          </w:tcPr>
          <w:p w14:paraId="2960F62D">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31596070">
        <w:tblPrEx>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14:paraId="45445754">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14:paraId="292CB882">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14:paraId="634ABDFF">
        <w:tblPrEx>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14:paraId="059ADFB9">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14:paraId="35A783EC">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14:paraId="11A39AD5">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14:paraId="7319D78B">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14:paraId="38FEFFB9">
            <w:pPr>
              <w:pStyle w:val="22"/>
              <w:widowControl w:val="0"/>
              <w:jc w:val="center"/>
              <w:rPr>
                <w:rFonts w:hint="eastAsia" w:ascii="仿宋" w:hAnsi="仿宋" w:eastAsia="仿宋" w:cs="仿宋"/>
              </w:rPr>
            </w:pPr>
            <w:r>
              <w:rPr>
                <w:rFonts w:hint="eastAsia" w:ascii="仿宋" w:hAnsi="仿宋" w:eastAsia="仿宋" w:cs="仿宋"/>
              </w:rPr>
              <w:t>公用经费</w:t>
            </w:r>
          </w:p>
        </w:tc>
      </w:tr>
      <w:tr w14:paraId="23A107EC">
        <w:tblPrEx>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14:paraId="39BF1B54">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14:paraId="056B7E8D">
            <w:pPr>
              <w:pStyle w:val="22"/>
              <w:widowControl w:val="0"/>
              <w:jc w:val="right"/>
              <w:rPr>
                <w:rFonts w:hint="eastAsia" w:ascii="仿宋" w:hAnsi="仿宋" w:eastAsia="仿宋" w:cs="仿宋"/>
              </w:rPr>
            </w:pPr>
            <w:r>
              <w:rPr>
                <w:rFonts w:hint="eastAsia" w:ascii="仿宋" w:hAnsi="仿宋" w:eastAsia="仿宋" w:cs="仿宋"/>
              </w:rPr>
              <w:t>39.19</w:t>
            </w:r>
          </w:p>
        </w:tc>
        <w:tc>
          <w:tcPr>
            <w:tcW w:w="1974" w:type="dxa"/>
            <w:tcBorders>
              <w:left w:val="single" w:color="000000" w:sz="4" w:space="0"/>
              <w:bottom w:val="single" w:color="000000" w:sz="4" w:space="0"/>
            </w:tcBorders>
            <w:vAlign w:val="center"/>
          </w:tcPr>
          <w:p w14:paraId="386099AD">
            <w:pPr>
              <w:pStyle w:val="22"/>
              <w:widowControl w:val="0"/>
              <w:jc w:val="right"/>
              <w:rPr>
                <w:rFonts w:hint="eastAsia" w:ascii="仿宋" w:hAnsi="仿宋" w:eastAsia="仿宋" w:cs="仿宋"/>
              </w:rPr>
            </w:pPr>
            <w:r>
              <w:rPr>
                <w:rFonts w:hint="eastAsia" w:ascii="仿宋" w:hAnsi="仿宋" w:eastAsia="仿宋" w:cs="仿宋"/>
              </w:rPr>
              <w:t>35.51</w:t>
            </w:r>
          </w:p>
        </w:tc>
        <w:tc>
          <w:tcPr>
            <w:tcW w:w="1673" w:type="dxa"/>
            <w:tcBorders>
              <w:left w:val="single" w:color="000000" w:sz="4" w:space="0"/>
              <w:bottom w:val="single" w:color="000000" w:sz="4" w:space="0"/>
              <w:right w:val="single" w:color="000000" w:sz="4" w:space="0"/>
            </w:tcBorders>
            <w:vAlign w:val="center"/>
          </w:tcPr>
          <w:p w14:paraId="01C226C0">
            <w:pPr>
              <w:pStyle w:val="22"/>
              <w:widowControl w:val="0"/>
              <w:jc w:val="right"/>
              <w:rPr>
                <w:rFonts w:hint="eastAsia" w:ascii="仿宋" w:hAnsi="仿宋" w:eastAsia="仿宋" w:cs="仿宋"/>
              </w:rPr>
            </w:pPr>
            <w:r>
              <w:rPr>
                <w:rFonts w:hint="eastAsia" w:ascii="仿宋" w:hAnsi="仿宋" w:eastAsia="仿宋" w:cs="仿宋"/>
              </w:rPr>
              <w:t>3.68</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35.49</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35.49</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基本工资</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5.74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5.74</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津贴补贴</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4.53</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4.53</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奖金</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11.80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11.80</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伙食补助费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0.80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0.80</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绩效工资</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5.88</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5.88</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2.44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2.44</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1.22</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1.22</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1.11</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1.11</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0.19</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0.19</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住房公积金</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1.54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1.54</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30114</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医疗费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0.24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0.24</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3.68</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3.68</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1.70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1.70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印刷费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0.10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0.10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差旅费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0.48</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0.48</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会议费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0.10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0.10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公务接待费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0.20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0.20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工会经费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0.50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0.50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30239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其他交通费用</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0.60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0.60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0.02</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0.02</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0.02</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0.02</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bl>
    <w:p w14:paraId="5ADFF928">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14:paraId="38FA862D">
        <w:tblPrEx>
          <w:tblCellMar>
            <w:top w:w="55" w:type="dxa"/>
            <w:left w:w="55" w:type="dxa"/>
            <w:bottom w:w="55" w:type="dxa"/>
            <w:right w:w="55" w:type="dxa"/>
          </w:tblCellMar>
        </w:tblPrEx>
        <w:trPr>
          <w:trHeight w:val="321" w:hRule="atLeast"/>
        </w:trPr>
        <w:tc>
          <w:tcPr>
            <w:tcW w:w="15909" w:type="dxa"/>
            <w:gridSpan w:val="8"/>
          </w:tcPr>
          <w:p w14:paraId="11F1E16B">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14:paraId="73844359">
        <w:tblPrEx>
          <w:tblCellMar>
            <w:top w:w="55" w:type="dxa"/>
            <w:left w:w="55" w:type="dxa"/>
            <w:bottom w:w="55" w:type="dxa"/>
            <w:right w:w="55" w:type="dxa"/>
          </w:tblCellMar>
        </w:tblPrEx>
        <w:trPr>
          <w:trHeight w:val="207" w:hRule="atLeast"/>
        </w:trPr>
        <w:tc>
          <w:tcPr>
            <w:tcW w:w="15909" w:type="dxa"/>
            <w:gridSpan w:val="8"/>
          </w:tcPr>
          <w:p w14:paraId="22B22F3F">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14:paraId="2F8DA7EF">
        <w:tblPrEx>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14:paraId="6A83A7CB">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3840" w:type="dxa"/>
            <w:gridSpan w:val="2"/>
            <w:tcBorders>
              <w:bottom w:val="single" w:color="auto" w:sz="4" w:space="0"/>
            </w:tcBorders>
            <w:vAlign w:val="center"/>
          </w:tcPr>
          <w:p w14:paraId="362828F0">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1E8B6C91">
        <w:tblPrEx>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14:paraId="7EF73657">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14:paraId="7191D0ED">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14:paraId="237531A7">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14:paraId="7A1094E9">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14:paraId="197F2909">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14:paraId="414C9174">
            <w:pPr>
              <w:pStyle w:val="22"/>
              <w:widowControl w:val="0"/>
              <w:jc w:val="center"/>
              <w:rPr>
                <w:rFonts w:hint="eastAsia" w:ascii="仿宋" w:hAnsi="仿宋" w:eastAsia="仿宋" w:cs="仿宋"/>
                <w:sz w:val="20"/>
              </w:rPr>
            </w:pPr>
            <w:r>
              <w:rPr>
                <w:rFonts w:hint="eastAsia" w:ascii="仿宋" w:hAnsi="仿宋" w:eastAsia="仿宋" w:cs="仿宋"/>
              </w:rPr>
              <w:t>培训费</w:t>
            </w:r>
          </w:p>
        </w:tc>
      </w:tr>
      <w:tr w14:paraId="0D589B7C">
        <w:tblPrEx>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14:paraId="1BFDF809">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14:paraId="6170C8C2">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14:paraId="2DAB6B6B">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14:paraId="6D34F0AB">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14:paraId="6F0F2BAC">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14:paraId="48B4809D">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14:paraId="4097DD05">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14:paraId="4A5FCFD1">
            <w:pPr>
              <w:widowControl w:val="0"/>
              <w:jc w:val="left"/>
              <w:rPr>
                <w:rFonts w:hint="eastAsia" w:ascii="仿宋" w:hAnsi="仿宋" w:eastAsia="仿宋" w:cs="仿宋"/>
                <w:sz w:val="2"/>
                <w:szCs w:val="2"/>
              </w:rPr>
            </w:pPr>
          </w:p>
        </w:tc>
      </w:tr>
      <w:tr w14:paraId="1E0DC4E9">
        <w:tblPrEx>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14:paraId="5FAC3463">
            <w:pPr>
              <w:pStyle w:val="22"/>
              <w:widowControl w:val="0"/>
              <w:jc w:val="right"/>
              <w:rPr>
                <w:rFonts w:hint="eastAsia" w:ascii="仿宋" w:hAnsi="仿宋" w:eastAsia="仿宋" w:cs="仿宋"/>
              </w:rPr>
            </w:pPr>
            <w:r>
              <w:rPr>
                <w:rFonts w:hint="eastAsia" w:ascii="仿宋" w:hAnsi="仿宋" w:eastAsia="仿宋" w:cs="仿宋"/>
              </w:rPr>
              <w:t>0.20</w:t>
            </w:r>
          </w:p>
        </w:tc>
        <w:tc>
          <w:tcPr>
            <w:tcW w:w="2332" w:type="dxa"/>
            <w:tcBorders>
              <w:top w:val="single" w:color="auto" w:sz="4" w:space="0"/>
              <w:left w:val="single" w:color="auto" w:sz="4" w:space="0"/>
              <w:bottom w:val="single" w:color="auto" w:sz="4" w:space="0"/>
              <w:right w:val="single" w:color="auto" w:sz="4" w:space="0"/>
            </w:tcBorders>
            <w:vAlign w:val="center"/>
          </w:tcPr>
          <w:p w14:paraId="70149B39">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14:paraId="49C502E0">
            <w:pPr>
              <w:pStyle w:val="22"/>
              <w:widowControl w:val="0"/>
              <w:jc w:val="right"/>
              <w:rPr>
                <w:rFonts w:hint="eastAsia" w:ascii="仿宋" w:hAnsi="仿宋" w:eastAsia="仿宋" w:cs="仿宋"/>
              </w:rPr>
            </w:pPr>
            <w:r>
              <w:rPr>
                <w:rFonts w:hint="eastAsia" w:ascii="仿宋" w:hAnsi="仿宋" w:eastAsia="仿宋" w:cs="仿宋"/>
              </w:rPr>
              <w:t>0.00</w:t>
            </w:r>
          </w:p>
        </w:tc>
        <w:tc>
          <w:tcPr>
            <w:tcW w:w="1697" w:type="dxa"/>
            <w:tcBorders>
              <w:top w:val="single" w:color="auto" w:sz="4" w:space="0"/>
              <w:left w:val="single" w:color="auto" w:sz="4" w:space="0"/>
              <w:bottom w:val="single" w:color="auto" w:sz="4" w:space="0"/>
              <w:right w:val="single" w:color="auto" w:sz="4" w:space="0"/>
            </w:tcBorders>
            <w:vAlign w:val="center"/>
          </w:tcPr>
          <w:p w14:paraId="10F36C48">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14:paraId="021B69C0">
            <w:pPr>
              <w:pStyle w:val="22"/>
              <w:widowControl w:val="0"/>
              <w:jc w:val="right"/>
              <w:rPr>
                <w:rFonts w:hint="eastAsia" w:ascii="仿宋" w:hAnsi="仿宋" w:eastAsia="仿宋" w:cs="仿宋"/>
              </w:rPr>
            </w:pPr>
            <w:r>
              <w:rPr>
                <w:rFonts w:hint="eastAsia" w:ascii="仿宋" w:hAnsi="仿宋" w:eastAsia="仿宋" w:cs="仿宋"/>
              </w:rPr>
              <w:t>0.00</w:t>
            </w:r>
          </w:p>
        </w:tc>
        <w:tc>
          <w:tcPr>
            <w:tcW w:w="1852" w:type="dxa"/>
            <w:tcBorders>
              <w:top w:val="single" w:color="auto" w:sz="4" w:space="0"/>
              <w:left w:val="single" w:color="auto" w:sz="4" w:space="0"/>
              <w:bottom w:val="single" w:color="auto" w:sz="4" w:space="0"/>
              <w:right w:val="single" w:color="auto" w:sz="4" w:space="0"/>
            </w:tcBorders>
            <w:vAlign w:val="center"/>
          </w:tcPr>
          <w:p w14:paraId="2A253F9B">
            <w:pPr>
              <w:pStyle w:val="22"/>
              <w:widowControl w:val="0"/>
              <w:jc w:val="right"/>
              <w:rPr>
                <w:rFonts w:hint="eastAsia" w:ascii="仿宋" w:hAnsi="仿宋" w:eastAsia="仿宋" w:cs="仿宋"/>
              </w:rPr>
            </w:pPr>
            <w:r>
              <w:rPr>
                <w:rFonts w:hint="eastAsia" w:ascii="仿宋" w:hAnsi="仿宋" w:eastAsia="仿宋" w:cs="仿宋"/>
              </w:rPr>
              <w:t>0.20</w:t>
            </w:r>
          </w:p>
        </w:tc>
        <w:tc>
          <w:tcPr>
            <w:tcW w:w="2057" w:type="dxa"/>
            <w:tcBorders>
              <w:top w:val="single" w:color="auto" w:sz="4" w:space="0"/>
              <w:left w:val="single" w:color="auto" w:sz="4" w:space="0"/>
              <w:bottom w:val="single" w:color="auto" w:sz="4" w:space="0"/>
              <w:right w:val="single" w:color="auto" w:sz="4" w:space="0"/>
            </w:tcBorders>
            <w:vAlign w:val="center"/>
          </w:tcPr>
          <w:p w14:paraId="209A7A6A">
            <w:pPr>
              <w:pStyle w:val="22"/>
              <w:widowControl w:val="0"/>
              <w:jc w:val="right"/>
              <w:rPr>
                <w:rFonts w:hint="eastAsia" w:ascii="仿宋" w:hAnsi="仿宋" w:eastAsia="仿宋" w:cs="仿宋"/>
              </w:rPr>
            </w:pPr>
            <w:r>
              <w:rPr>
                <w:rFonts w:hint="eastAsia" w:ascii="仿宋" w:hAnsi="仿宋" w:eastAsia="仿宋" w:cs="仿宋"/>
              </w:rPr>
              <w:t>0.10</w:t>
            </w:r>
          </w:p>
        </w:tc>
        <w:tc>
          <w:tcPr>
            <w:tcW w:w="1783" w:type="dxa"/>
            <w:tcBorders>
              <w:top w:val="single" w:color="auto" w:sz="4" w:space="0"/>
              <w:left w:val="single" w:color="auto" w:sz="4" w:space="0"/>
              <w:bottom w:val="single" w:color="auto" w:sz="4" w:space="0"/>
              <w:right w:val="single" w:color="auto" w:sz="4" w:space="0"/>
            </w:tcBorders>
            <w:vAlign w:val="center"/>
          </w:tcPr>
          <w:p w14:paraId="0455D567">
            <w:pPr>
              <w:pStyle w:val="22"/>
              <w:widowControl w:val="0"/>
              <w:jc w:val="right"/>
              <w:rPr>
                <w:rFonts w:hint="eastAsia" w:ascii="仿宋" w:hAnsi="仿宋" w:eastAsia="仿宋" w:cs="仿宋"/>
              </w:rPr>
            </w:pPr>
            <w:r>
              <w:rPr>
                <w:rFonts w:hint="eastAsia" w:ascii="仿宋" w:hAnsi="仿宋" w:eastAsia="仿宋" w:cs="仿宋"/>
              </w:rPr>
              <w:t>0.00</w:t>
            </w:r>
          </w:p>
        </w:tc>
      </w:tr>
    </w:tbl>
    <w:p w14:paraId="633D90CA">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6"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14:paraId="62805DB4">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14:paraId="15636E86">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14:paraId="6EED4EA3">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14:paraId="1C7C957B">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14:paraId="51688803">
        <w:tblPrEx>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14:paraId="7A598C4F">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2485" w:type="dxa"/>
            <w:tcBorders>
              <w:top w:val="nil"/>
              <w:left w:val="nil"/>
              <w:bottom w:val="single" w:color="auto" w:sz="4" w:space="0"/>
              <w:right w:val="nil"/>
            </w:tcBorders>
            <w:vAlign w:val="center"/>
          </w:tcPr>
          <w:p w14:paraId="3147BBD4">
            <w:pPr>
              <w:pStyle w:val="22"/>
              <w:widowControl w:val="0"/>
              <w:jc w:val="right"/>
              <w:rPr>
                <w:rFonts w:hint="eastAsia" w:ascii="仿宋" w:hAnsi="仿宋" w:eastAsia="仿宋" w:cs="仿宋"/>
              </w:rPr>
            </w:pPr>
            <w:r>
              <w:rPr>
                <w:rFonts w:hint="eastAsia" w:ascii="仿宋" w:hAnsi="仿宋" w:eastAsia="仿宋" w:cs="仿宋"/>
              </w:rPr>
              <w:t>单位：万元</w:t>
            </w:r>
          </w:p>
        </w:tc>
      </w:tr>
      <w:tr w14:paraId="36644733">
        <w:tblPrEx>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14:paraId="139A3874">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14:paraId="699CEF7D">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14:paraId="696DDF51">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14:paraId="2A031337">
        <w:tblPrEx>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14:paraId="0291B8E1">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14:paraId="40D2FDA2">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14:paraId="7625D4FC">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14:paraId="509FCBF0">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14:paraId="7EAB88D3">
            <w:pPr>
              <w:pStyle w:val="22"/>
              <w:widowControl w:val="0"/>
              <w:jc w:val="center"/>
              <w:rPr>
                <w:rFonts w:hint="eastAsia" w:ascii="仿宋" w:hAnsi="仿宋" w:eastAsia="仿宋" w:cs="仿宋"/>
              </w:rPr>
            </w:pPr>
            <w:r>
              <w:rPr>
                <w:rFonts w:hint="eastAsia" w:ascii="仿宋" w:hAnsi="仿宋" w:eastAsia="仿宋" w:cs="仿宋"/>
              </w:rPr>
              <w:t>项目支出</w:t>
            </w:r>
          </w:p>
        </w:tc>
      </w:tr>
      <w:tr w14:paraId="5A7DB80A">
        <w:tblPrEx>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14:paraId="14C9CFFF">
            <w:pPr>
              <w:pStyle w:val="22"/>
              <w:widowControl w:val="0"/>
              <w:jc w:val="center"/>
              <w:rPr>
                <w:rFonts w:hint="eastAsia" w:ascii="仿宋" w:hAnsi="仿宋" w:eastAsia="仿宋" w:cs="仿宋"/>
              </w:rPr>
            </w:pPr>
            <w:r>
              <w:rPr>
                <w:rFonts w:hint="eastAsia" w:ascii="仿宋" w:hAnsi="仿宋" w:eastAsia="仿宋" w:cs="仿宋"/>
              </w:rPr>
              <w:t/>
            </w:r>
          </w:p>
        </w:tc>
        <w:tc>
          <w:tcPr>
            <w:tcW w:w="2834" w:type="dxa"/>
            <w:tcBorders>
              <w:top w:val="single" w:color="auto" w:sz="4" w:space="0"/>
              <w:left w:val="single" w:color="auto" w:sz="4" w:space="0"/>
              <w:bottom w:val="single" w:color="auto" w:sz="4" w:space="0"/>
              <w:right w:val="single" w:color="auto" w:sz="4" w:space="0"/>
            </w:tcBorders>
            <w:vAlign w:val="center"/>
          </w:tcPr>
          <w:p w14:paraId="215C3078">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14:paraId="430CBA39">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E533D5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755F292C">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736E2B16">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14:paraId="22584B85">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14:paraId="5B20A601">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14:paraId="7EB45BA1">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4188B76">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6EED078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736E2B16">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14:paraId="22584B85">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14:paraId="5B20A601">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14:paraId="7EB45BA1">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4188B76">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6EED078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14:paraId="6E6DB1B1">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cs="仿宋" w:eastAsia="仿宋"/>
          <w:b w:val="true"/>
          <w:sz w:val="22"/>
        </w:rPr>
        <w:t>单位</w:t>
      </w:r>
      <w:r>
        <w:rPr>
          <w:rFonts w:ascii="仿宋" w:hAnsi="仿宋" w:cs="仿宋" w:eastAsia="仿宋"/>
          <w:b w:val="true"/>
          <w:sz w:val="22"/>
        </w:rPr>
        <w:t>无政府性基金预算，也没有使用政府性基金安排的支出，故本表无数据。</w:t>
      </w:r>
      <w:r>
        <w:rPr>
          <w:rFonts w:ascii="仿宋" w:hAnsi="仿宋" w:cs="仿宋" w:eastAsia="仿宋"/>
          <w:b w:val="true"/>
          <w:sz w:val="22"/>
        </w:rPr>
        <w:t/>
      </w:r>
    </w:p>
    <w:p w14:paraId="6A70A19F">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7"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Layout w:type="fixed"/>
        <w:tblCellMar>
          <w:top w:w="0" w:type="dxa"/>
          <w:left w:w="108" w:type="dxa"/>
          <w:bottom w:w="0" w:type="dxa"/>
          <w:right w:w="108" w:type="dxa"/>
        </w:tblCellMar>
      </w:tblPr>
      <w:tblGrid>
        <w:gridCol w:w="1596"/>
        <w:gridCol w:w="3803"/>
        <w:gridCol w:w="3111"/>
        <w:gridCol w:w="3094"/>
        <w:gridCol w:w="3091"/>
      </w:tblGrid>
      <w:tr w14:paraId="4774AA8D">
        <w:tblPrEx>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14:paraId="3156F4BF">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14:paraId="4EF98964">
        <w:tblPrEx>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14:paraId="0D2A9578">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14:paraId="1AADF766">
        <w:tblPrEx>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14:paraId="062AC01C">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3091" w:type="dxa"/>
            <w:tcBorders>
              <w:top w:val="nil"/>
              <w:left w:val="nil"/>
              <w:bottom w:val="nil"/>
              <w:right w:val="nil"/>
            </w:tcBorders>
            <w:shd w:val="clear" w:color="auto" w:fill="auto"/>
            <w:noWrap/>
            <w:vAlign w:val="center"/>
          </w:tcPr>
          <w:p w14:paraId="4B5E2371">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14:paraId="2404FBD4">
        <w:tblPrEx>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A26E21">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5671D8D">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D8BADFD">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F5C96E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14:paraId="432E2794">
        <w:tblPrEx>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14:paraId="4441FA9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14:paraId="610A31B2">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14:paraId="0C0CD14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14:paraId="6658BEEA">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14:paraId="503CA6E1">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14:paraId="00D98D52">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14:paraId="1138F447">
        <w:tblPrEx>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B42B31F">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34F07641">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9518AF4">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2C53BBAB">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14:paraId="23E635B9">
        <w:tblPrEx>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DA080F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811437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53DCC2D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54D26D6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r>
      <w:tr w14:paraId="199C4C76">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25698B1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14:paraId="0A0BDF5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7643D8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AB6140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7636582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199C4C76">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25698B1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14:paraId="0A0BDF5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7643D8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AB6140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7636582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14:paraId="7AA8870D">
      <w:pPr>
        <w:numPr>
          <w:ilvl w:val="0"/>
          <w:numId w:val="0"/>
        </w:numPr>
        <w:spacing w:before="25" w:after="0"/>
        <w:ind w:firstLine="442" w:firstLineChars="20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ascii="仿宋" w:hAnsi="仿宋" w:cs="仿宋" w:eastAsia="仿宋"/>
          <w:b w:val="true"/>
          <w:sz w:val="22"/>
        </w:rPr>
        <w:t>注：本</w:t>
      </w:r>
      <w:r>
        <w:rPr>
          <w:rFonts w:ascii="仿宋" w:hAnsi="仿宋" w:cs="仿宋" w:eastAsia="仿宋"/>
          <w:b w:val="true"/>
          <w:sz w:val="22"/>
        </w:rPr>
        <w:t>单位</w:t>
      </w:r>
      <w:r>
        <w:rPr>
          <w:rFonts w:ascii="仿宋" w:hAnsi="仿宋" w:cs="仿宋" w:eastAsia="仿宋"/>
          <w:b w:val="true"/>
          <w:sz w:val="22"/>
        </w:rPr>
        <w:t>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r>
        <w:rPr>
          <w:rFonts w:ascii="仿宋" w:hAnsi="仿宋" w:cs="仿宋" w:eastAsia="仿宋"/>
          <w:b w:val="true"/>
          <w:sz w:val="22"/>
        </w:rPr>
        <w:t/>
      </w:r>
    </w:p>
    <w:p w14:paraId="4F525B1A">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14:paraId="081ECABF">
        <w:tblPrEx>
          <w:tblCellMar>
            <w:top w:w="55" w:type="dxa"/>
            <w:left w:w="55" w:type="dxa"/>
            <w:bottom w:w="55" w:type="dxa"/>
            <w:right w:w="55" w:type="dxa"/>
          </w:tblCellMar>
        </w:tblPrEx>
        <w:trPr>
          <w:trHeight w:val="319" w:hRule="atLeast"/>
        </w:trPr>
        <w:tc>
          <w:tcPr>
            <w:tcW w:w="10235" w:type="dxa"/>
            <w:gridSpan w:val="4"/>
          </w:tcPr>
          <w:p w14:paraId="3FDF9E28">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14:paraId="291E3CF1">
        <w:tblPrEx>
          <w:tblCellMar>
            <w:top w:w="55" w:type="dxa"/>
            <w:left w:w="55" w:type="dxa"/>
            <w:bottom w:w="55" w:type="dxa"/>
            <w:right w:w="55" w:type="dxa"/>
          </w:tblCellMar>
        </w:tblPrEx>
        <w:trPr>
          <w:trHeight w:val="90" w:hRule="atLeast"/>
        </w:trPr>
        <w:tc>
          <w:tcPr>
            <w:tcW w:w="10235" w:type="dxa"/>
            <w:gridSpan w:val="4"/>
          </w:tcPr>
          <w:p w14:paraId="231D1385">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14:paraId="04B652B4">
        <w:tblPrEx>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14:paraId="35496929">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2351" w:type="dxa"/>
            <w:tcBorders>
              <w:bottom w:val="single" w:color="auto" w:sz="4" w:space="0"/>
            </w:tcBorders>
            <w:vAlign w:val="center"/>
          </w:tcPr>
          <w:p w14:paraId="14A254D4">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11FC7058">
        <w:tblPrEx>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14:paraId="0F6FED5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14:paraId="0F83CC29">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14:paraId="6EFE394A">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14:paraId="68F893FF">
        <w:tblPrEx>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14:paraId="06E7A0CE">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rPr>
              <w:t/>
            </w: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2DF58F8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4AEE5119">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14:paraId="22D89D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14:paraId="1946969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7BBBD09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4AEE5119">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14:paraId="22D89D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14:paraId="1946969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7BBBD09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28F6C040">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14:paraId="24CC900D">
      <w:pPr>
        <w:numPr>
          <w:ilvl w:val="0"/>
          <w:numId w:val="0"/>
        </w:numPr>
        <w:tabs>
          <w:tab w:val="left" w:pos="-440"/>
        </w:tabs>
        <w:spacing w:before="25" w:after="0"/>
        <w:ind w:left="-440" w:leftChars="0" w:firstLine="0" w:firstLineChars="0"/>
        <w:rPr>
          <w:rFonts w:hint="eastAsia" w:ascii="仿宋" w:hAnsi="仿宋" w:eastAsia="仿宋" w:cs="仿宋"/>
          <w:b/>
          <w:bCs/>
          <w:sz w:val="22"/>
          <w:szCs w:val="22"/>
        </w:rPr>
      </w:pPr>
      <w:r>
        <w:rPr>
          <w:rFonts w:hint="eastAsia" w:ascii="仿宋" w:hAnsi="仿宋" w:eastAsia="仿宋" w:cs="仿宋"/>
          <w:b/>
          <w:bCs/>
          <w:sz w:val="22"/>
          <w:szCs w:val="22"/>
        </w:rPr>
        <w:t/>
      </w:r>
      <w:r>
        <w:rPr>
          <w:rFonts w:hint="eastAsia" w:ascii="仿宋" w:hAnsi="仿宋" w:eastAsia="仿宋" w:cs="仿宋"/>
          <w:b/>
          <w:bCs/>
          <w:sz w:val="22"/>
          <w:szCs w:val="22"/>
          <w:lang w:val="en-US" w:eastAsia="zh-CN"/>
        </w:rPr>
        <w:t>2.</w:t>
      </w:r>
      <w:r>
        <w:rPr>
          <w:rFonts w:hint="eastAsia" w:ascii="仿宋" w:hAnsi="仿宋" w:eastAsia="仿宋" w:cs="仿宋"/>
          <w:b/>
          <w:bCs/>
          <w:sz w:val="22"/>
          <w:szCs w:val="22"/>
          <w:lang w:eastAsia="zh-CN"/>
        </w:rPr>
        <w:t>本</w:t>
      </w:r>
      <w:r>
        <w:rPr>
          <w:rFonts w:ascii="仿宋" w:hAnsi="仿宋" w:cs="仿宋" w:eastAsia="仿宋"/>
          <w:b w:val="true"/>
          <w:sz w:val="22"/>
        </w:rPr>
        <w:t>单位</w:t>
      </w:r>
      <w:r>
        <w:rPr>
          <w:rFonts w:ascii="仿宋" w:hAnsi="仿宋" w:cs="仿宋" w:eastAsia="仿宋"/>
          <w:b w:val="true"/>
          <w:sz w:val="22"/>
        </w:rPr>
        <w:t>无一般公共预算机关运行经费支出，故本表无数据。</w:t>
      </w:r>
      <w:r>
        <w:rPr>
          <w:rFonts w:ascii="仿宋" w:hAnsi="仿宋" w:cs="仿宋" w:eastAsia="仿宋"/>
          <w:b w:val="true"/>
          <w:sz w:val="22"/>
        </w:rPr>
        <w:t/>
      </w:r>
    </w:p>
    <w:p w14:paraId="219881AC">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8"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479"/>
        <w:gridCol w:w="1109"/>
        <w:gridCol w:w="1173"/>
        <w:gridCol w:w="1188"/>
        <w:gridCol w:w="1169"/>
        <w:gridCol w:w="1421"/>
      </w:tblGrid>
      <w:tr w14:paraId="17AE5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14:paraId="25ABA2C5">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14:paraId="76100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14:paraId="7C23C5B6">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14:paraId="2D4D3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9213"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14:paraId="2DB53ADF">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江阴市生命健康产业创新服务中心</w:t>
            </w:r>
          </w:p>
        </w:tc>
        <w:tc>
          <w:tcPr>
            <w:tcW w:w="4639"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14:paraId="535DB9A2">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14:paraId="13948C0E">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14:paraId="10946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D4FC7E2">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AF93C99">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019AB60">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863A4CB">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479"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822C97">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639"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F9C219A">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71AEF85">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14:paraId="6D92C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C91EE03">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A12B648">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92F3862">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0B5BF50">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79"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E3A18FB">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64F1135">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BF9C23">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76F5A3">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A0F303E">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F2CFD1">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14:paraId="0AAAF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BCFE2A4">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sz w:val="22"/>
                <w:szCs w:val="22"/>
              </w:rPr>
              <w:t/>
            </w: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E522CA">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585776D">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659CECE">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F86FA57">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0DC751C">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B0F214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D2F4384">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4545084">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1AB642">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货物</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江阴市生命健康产业创新服务中心</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其他办公用品</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0.06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服务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江阴市生命健康产业创新服务中心</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印刷费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其他印刷服务</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0.10</w:t>
            </w:r>
          </w:p>
        </w:tc>
      </w:tr>
    </w:tbl>
    <w:p w14:paraId="51FF3C07">
      <w:pPr>
        <w:bidi w:val="0"/>
        <w:rPr>
          <w:rFonts w:hint="eastAsia" w:ascii="仿宋" w:hAnsi="仿宋" w:eastAsia="仿宋" w:cs="仿宋"/>
          <w:b/>
          <w:bCs/>
          <w:sz w:val="22"/>
          <w:szCs w:val="22"/>
        </w:rPr>
        <w:sectPr>
          <w:footerReference r:id="rId19"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bookmarkStart w:id="0" w:name="_GoBack"/>
      <w:bookmarkEnd w:id="0"/>
    </w:p>
    <w:p w14:paraId="3ED135E2">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r>
        <w:rPr>
          <w:rFonts w:ascii="仿宋" w:hAnsi="仿宋" w:cs="仿宋" w:eastAsia="仿宋"/>
          <w:b w:val="true"/>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14:paraId="1540B497">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一、收支预算总体情况说明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江阴市生命健康产业创新服务中心2025年度收入、支出预算总计39.19万元，与上年相比收、支预算总计各增加39.19万元（去年预算数为0万元，无法计算增减比率）。其中：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（一）收入预算总计39.19万元。包括：</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1．本年收入合计39.19万元。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一般公共预算拨款收入39.19万元，与上年相比增加39.19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（2）政府性基金预算拨款收入0万元，与上年预算数相同。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（3）国有资本经营预算拨款收入0万元，与上年预算数相同。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（4）财政专户管理资金收入0万元，与上年预算数相同。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（5）事业收入0万元，与上年预算数相同。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（6）事业单位经营收入0万元，与上年预算数相同。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（7）上级补助收入0万元，与上年预算数相同。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（8）附属单位上缴收入0万元，与上年预算数相同。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（9）其他收入0万元，与上年预算数相同。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2．上年结转结余为0万元。与上年预算数相同。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（二）支出预算总计39.19万元。包括：</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1．本年支出合计39.19万元。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一般公共服务支出（类）支出29.36万元，主要用于事业单位的基本支出。与上年相比增加29.36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社会保障和就业支出（类）支出3.85万元，主要用于单位缴纳的基本养老保险费支出和职业年金支出等。与上年相比增加3.85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卫生健康支出（类）支出1.11万元，主要用于单位缴纳的医疗保险费支出。与上年相比增加1.11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4）住房保障支出（类）支出4.87万元，主要用于为职工缴纳的住房公积金，发放的提租补贴。与上年相比增加4.87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2．年终结转结余为0万元。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二、收入预算情况说明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江阴市生命健康产业创新服务中心2025年收入预算合计39.19万元，包括本年收入39.19万元，上年结转结余0万元。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本年一般公共预算收入39.19万元，占100%；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本年政府性基金预算收入0万元，占0%；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本年国有资本经营预算收入0万元，占0%；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本年财政专户管理资金0万元，占0%；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本年事业单位经营收入0万元，占0%；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本年上级补助收入0万元，占0%；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本年附属单位上缴收入0万元，占0%；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本年其他收入0万元，占0%；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上年结转结余的一般公共预算收入0万元，占0%；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上年结转结余的政府性基金预算收入0万元，占0%；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上年结转结余的国有资本经营预算收入0万元，占0%；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上年结转结余的财政专户管理资金0万元，占0%；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上年结转结余的单位资金0万元，占0%。</w:t>
      </w:r>
      <w:r>
        <w:rPr>
          <w:rFonts w:ascii="仿宋" w:hAnsi="仿宋" w:cs="仿宋" w:eastAsia="仿宋"/>
        </w:rPr>
        <w:t/>
      </w:r>
    </w:p>
    <w:p w14:paraId="5E7D86B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1" name="Drawing 1" descr="Generated"/>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true"/>
                    </pic:cNvPicPr>
                  </pic:nvPicPr>
                  <pic:blipFill>
                    <a:blip r:embed="rId24"/>
                    <a:stretch>
                      <a:fillRect/>
                    </a:stretch>
                  </pic:blipFill>
                  <pic:spPr>
                    <a:xfrm>
                      <a:off x="0" y="0"/>
                      <a:ext cx="6134100" cy="3429000"/>
                    </a:xfrm>
                    <a:prstGeom prst="rect">
                      <a:avLst/>
                    </a:prstGeom>
                  </pic:spPr>
                </pic:pic>
              </a:graphicData>
            </a:graphic>
          </wp:inline>
        </w:drawing>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江阴市生命健康产业创新服务中心2025年支出预算合计39.19万元，其中：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基本支出39.19万元，占100%；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项目支出0万元，占0%；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事业单位经营支出0万元，占0%；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上缴上级支出0万元，占0%；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对附属单位补助支出0万元，占0%。</w:t>
      </w:r>
      <w:r>
        <w:rPr>
          <w:rFonts w:ascii="仿宋" w:hAnsi="仿宋" w:cs="仿宋" w:eastAsia="仿宋"/>
        </w:rPr>
        <w:t/>
      </w:r>
    </w:p>
    <w:p w14:paraId="5E7D86B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2" name="Drawing 2" descr="Generated"/>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true"/>
                    </pic:cNvPicPr>
                  </pic:nvPicPr>
                  <pic:blipFill>
                    <a:blip r:embed="rId25"/>
                    <a:stretch>
                      <a:fillRect/>
                    </a:stretch>
                  </pic:blipFill>
                  <pic:spPr>
                    <a:xfrm>
                      <a:off x="0" y="0"/>
                      <a:ext cx="6134100" cy="3429000"/>
                    </a:xfrm>
                    <a:prstGeom prst="rect">
                      <a:avLst/>
                    </a:prstGeom>
                  </pic:spPr>
                </pic:pic>
              </a:graphicData>
            </a:graphic>
          </wp:inline>
        </w:drawing>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四、财政拨款收支预算总体情况说明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财政拨款收、支总预算39.19万元。与上年相比，财政拨款收、支总计各增加39.19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五、财政拨款支出预算情况说明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财政拨款预算支出39.19万元，占本年支出合计的100%。与上年相比，财政拨款支出增加39.19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（一）一般公共服务支出（类）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市场监督管理事务（款）事业运行（项）支出29.36万元，与上年相比增加29.36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（二）社会保障和就业支出（类）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行政事业单位养老支出（款）机关事业单位基本养老保险缴费支出（项）支出2.44万元，与上年相比增加2.44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行政事业单位养老支出（款）机关事业单位职业年金缴费支出（项）支出1.22万元，与上年相比增加1.22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其他社会保障和就业支出（款）其他社会保障和就业支出（项）支出0.19万元，与上年相比增加0.19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（三）卫生健康支出（类）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行政事业单位医疗（款）事业单位医疗（项）支出1.11万元，与上年相比增加1.11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（四）住房保障支出（类）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住房改革支出（款）住房公积金（项）支出1.54万元，与上年相比增加1.54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住房改革支出（款）购房补贴（项）支出3.33万元，与上年相比增加3.33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六、财政拨款基本支出预算情况说明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江阴市生命健康产业创新服务中心2025年度财政拨款基本支出预算39.19万元，其中：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35.51万元。主要包括：基本工资、津贴补贴、奖金、伙食补助费、绩效工资、机关事业单位基本养老保险缴费、职业年金缴费、职工基本医疗保险缴费、其他社会保障缴费、住房公积金、医疗费、其他对个人和家庭的补助。</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（二）公用经费3.68万元。主要包括：办公费、印刷费、差旅费、会议费、公务接待费、工会经费、其他交通费用。</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七、一般公共预算支出预算情况说明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一般公共预算财政拨款支出预算39.19万元，与上年相比增加39.19万元（去年预算数为0万元，无法计算增减比率）。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八、一般公共预算基本支出预算情况说明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江阴市生命健康产业创新服务中心2025年度一般公共预算财政拨款基本支出预算39.19万元，其中：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35.51万元。主要包括：基本工资、津贴补贴、奖金、伙食补助费、绩效工资、机关事业单位基本养老保险缴费、职业年金缴费、职工基本医疗保险缴费、其他社会保障缴费、住房公积金、医疗费、其他对个人和家庭的补助。</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（二）公用经费3.68万元。主要包括：办公费、印刷费、差旅费、会议费、公务接待费、工会经费、其他交通费用。</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九、一般公共预算“三公”经费、会议费、培训费支出预算情况说明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一般公共预算拨款安排的“三公”经费支出预算0.2万元，比上年预算增加0.2万元，变动原因江阴市生命健康产业创新服务中心是2024年新成立事业单位，所用经费都为财政追加经费，未做2024年预算。其中，因公出国（境）费支出0万元，占“三公”经费的0%；公务用车购置及运行维护费支出0万元，占“三公”经费的0%；公务接待费支出0.2万元，占“三公”经费的100%。具体情况如下：</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1．因公出国（境）费预算支出0万元，与上年预算数相同。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2．公务用车购置及运行维护费预算支出0万元。其中：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（1）公务用车购置预算支出0万元，与上年预算数相同。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（2）公务用车运行维护费预算支出0万元，与上年预算数相同。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3．公务接待费预算支出0.2万元，比上年预算增加0.2万元，主要原因是江阴市生命健康产业创新服务中心是2024年新成立事业单位，所用经费都为财政追加经费，未做2024年预算。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一般公共预算拨款安排的会议费预算支出0.1万元，比上年预算增加0.1万元，主要原因是江阴市生命健康产业创新服务中心是2024年新成立事业单位，所用经费都为财政追加经费，未做2024年预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江阴市生命健康产业创新服务中心2025年度一般公共预算拨款安排的培训费预算支出0万元，与上年预算数相同。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十、政府性基金预算支出预算情况说明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江阴市生命健康产业创新服务中心2025年政府性基金支出预算支出0万元。与上年预算数相同。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十一、国有资本经营预算支出预算情况说明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江阴市生命健康产业创新服务中心2025年国有资本经营预算支出0万元。与上年预算数相同。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十二、一般公共预算机关运行经费支出预算情况说明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2025年本单位一般公共预算机关运行经费预算支出0万元，与上年预算数相同。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十三、政府采购支出预算情况说明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2025年度政府采购支出预算总额0.16万元，其中：拟采购货物支出0.06万元、拟采购工程支出0万元、拟采购服务支出0.1万元。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十四、国有资产占用情况说明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单位共有车辆0辆，其中，副部（省）级及以上领导用车0辆、主要领导干部用车0辆、机要通信用车0辆、应急保障用车0辆、执法执勤用车0辆、特种专业技术用车0辆、离退休干部用车0辆，其他用车0辆；单价100万元（含）以上的设备0台（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十五、预算绩效目标设置情况说明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度，本单位整体支出纳入绩效目标管理，涉及财政性资金39.19万元；本单位共0个项目纳入绩效目标管理，涉及财政性资金合计0万元，占财政性资金(人员类和运转类中的公用经费项目支出除外)总额的比例为0%。</w:t>
      </w:r>
      <w:r>
        <w:rPr>
          <w:rFonts w:ascii="仿宋" w:hAnsi="仿宋" w:cs="仿宋" w:eastAsia="仿宋"/>
        </w:rPr>
        <w:t/>
      </w:r>
    </w:p>
    <w:p w14:paraId="60A71CD5">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14:paraId="63293F33">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cs="仿宋" w:eastAsia="仿宋"/>
          <w:b w:val="true"/>
        </w:rPr>
        <w:t>：</w:t>
      </w:r>
      <w:r>
        <w:rPr>
          <w:rFonts w:hint="eastAsia" w:ascii="仿宋" w:hAnsi="仿宋" w:eastAsia="仿宋" w:cs="仿宋"/>
        </w:rPr>
        <w:t>单位从同级财政部门取得的各类财政拨款，包括一般公共预算拨款、政府性基金预算拨款、国有资本经营预算拨款。</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cs="仿宋" w:eastAsia="仿宋"/>
          <w:b w:val="true"/>
        </w:rPr>
        <w:t>：</w:t>
      </w:r>
      <w:r>
        <w:rPr>
          <w:rFonts w:hint="eastAsia" w:ascii="仿宋" w:hAnsi="仿宋" w:eastAsia="仿宋" w:cs="仿宋"/>
        </w:rPr>
        <w:t>缴入财政专户、实行专项管理的高中以上学费、住宿费、高校委托培养费、函大、电大、夜大及短训班培训费等教育收费。</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cs="仿宋" w:eastAsia="仿宋"/>
          <w:b w:val="true"/>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cs="仿宋" w:eastAsia="仿宋"/>
          <w:b w:val="true"/>
        </w:rPr>
        <w:t>：</w:t>
      </w:r>
      <w:r>
        <w:rPr>
          <w:rFonts w:hint="eastAsia" w:ascii="仿宋" w:hAnsi="仿宋" w:eastAsia="仿宋" w:cs="仿宋"/>
        </w:rPr>
        <w:t>指为保障机构正常运转、完成工作任务而发生的人员支出和公用支出。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cs="仿宋" w:eastAsia="仿宋"/>
          <w:b w:val="true"/>
        </w:rPr>
        <w:t>：</w:t>
      </w:r>
      <w:r>
        <w:rPr>
          <w:rFonts w:hint="eastAsia" w:ascii="仿宋" w:hAnsi="仿宋" w:eastAsia="仿宋" w:cs="仿宋"/>
        </w:rPr>
        <w:t>指在基本支出之外为完成特定工作任务和事业发展目标所发生的支出。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cs="仿宋" w:eastAsia="仿宋"/>
          <w:b w:val="true"/>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cs="仿宋" w:eastAsia="仿宋"/>
          <w:b w:val="true"/>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八、一般公共服务支出(类)市场监督管理事务(款)事业运行(项)</w:t>
      </w:r>
      <w:r>
        <w:rPr>
          <w:rFonts w:ascii="仿宋" w:hAnsi="仿宋" w:cs="仿宋" w:eastAsia="仿宋"/>
          <w:b w:val="true"/>
        </w:rPr>
        <w:t>：</w:t>
      </w:r>
      <w:r>
        <w:rPr>
          <w:rFonts w:hint="eastAsia" w:ascii="仿宋" w:hAnsi="仿宋" w:eastAsia="仿宋" w:cs="仿宋"/>
        </w:rPr>
        <w:t>反映事业单位的基本支出，不包括行政单位（包括实行公务员管理的事业单位）后勤服务中心、医务室等附属事业单位。</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九、社会保障和就业支出(类)行政事业单位养老支出(款)机关事业单位基本养老保险缴费支出(项)</w:t>
      </w:r>
      <w:r>
        <w:rPr>
          <w:rFonts w:ascii="仿宋" w:hAnsi="仿宋" w:cs="仿宋" w:eastAsia="仿宋"/>
          <w:b w:val="true"/>
        </w:rPr>
        <w:t>：</w:t>
      </w:r>
      <w:r>
        <w:rPr>
          <w:rFonts w:hint="eastAsia" w:ascii="仿宋" w:hAnsi="仿宋" w:eastAsia="仿宋" w:cs="仿宋"/>
        </w:rPr>
        <w:t>反映机关事业单位实施养老保险制度由单位缴纳的基本养老保险费支出。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十、社会保障和就业支出(类)行政事业单位养老支出(款)机关事业单位职业年金缴费支出(项)</w:t>
      </w:r>
      <w:r>
        <w:rPr>
          <w:rFonts w:ascii="仿宋" w:hAnsi="仿宋" w:cs="仿宋" w:eastAsia="仿宋"/>
          <w:b w:val="true"/>
        </w:rPr>
        <w:t>：</w:t>
      </w:r>
      <w:r>
        <w:rPr>
          <w:rFonts w:hint="eastAsia" w:ascii="仿宋" w:hAnsi="仿宋" w:eastAsia="仿宋" w:cs="仿宋"/>
        </w:rPr>
        <w:t>反映机关事业单位实施养老保险制度由单位实际缴纳的职业年金支出。(含职业年金补记支出。）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十一、社会保障和就业支出(类)其他社会保障和就业支出(款)其他社会保障和就业支出(项)</w:t>
      </w:r>
      <w:r>
        <w:rPr>
          <w:rFonts w:ascii="仿宋" w:hAnsi="仿宋" w:cs="仿宋" w:eastAsia="仿宋"/>
          <w:b w:val="true"/>
        </w:rPr>
        <w:t>：</w:t>
      </w:r>
      <w:r>
        <w:rPr>
          <w:rFonts w:hint="eastAsia" w:ascii="仿宋" w:hAnsi="仿宋" w:eastAsia="仿宋" w:cs="仿宋"/>
        </w:rPr>
        <w:t>反映除上述项目以外其他用于社会保障和就业方面的支出。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十二、卫生健康支出(类)行政事业单位医疗(款)事业单位医疗(项)</w:t>
      </w:r>
      <w:r>
        <w:rPr>
          <w:rFonts w:ascii="仿宋" w:hAnsi="仿宋" w:cs="仿宋" w:eastAsia="仿宋"/>
          <w:b w:val="true"/>
        </w:rPr>
        <w:t>：</w:t>
      </w:r>
      <w:r>
        <w:rPr>
          <w:rFonts w:hint="eastAsia" w:ascii="仿宋" w:hAnsi="仿宋" w:eastAsia="仿宋" w:cs="仿宋"/>
        </w:rPr>
        <w:t>反映财政部门安排的事业单位基本医疗保险缴费经费，未参加医疗保险的事业单位的公费医疗经费，按国家规定享受离休人员待遇的医疗经费。</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十三、住房保障支出(类)住房改革支出(款)住房公积金(项)</w:t>
      </w:r>
      <w:r>
        <w:rPr>
          <w:rFonts w:ascii="仿宋" w:hAnsi="仿宋" w:cs="仿宋" w:eastAsia="仿宋"/>
          <w:b w:val="true"/>
        </w:rPr>
        <w:t>：</w:t>
      </w:r>
      <w:r>
        <w:rPr>
          <w:rFonts w:hint="eastAsia" w:ascii="仿宋" w:hAnsi="仿宋" w:eastAsia="仿宋" w:cs="仿宋"/>
        </w:rPr>
        <w:t>反映行政事业单位按人力资源和社会保障部、财政部规定的基本工资和津贴补贴以及规定比例为职工缴纳的住房公积金。</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十四、住房保障支出(类)住房改革支出(款)购房补贴(项)</w:t>
      </w:r>
      <w:r>
        <w:rPr>
          <w:rFonts w:ascii="仿宋" w:hAnsi="仿宋" w:cs="仿宋" w:eastAsia="仿宋"/>
          <w:b w:val="true"/>
        </w:rPr>
        <w:t>：</w:t>
      </w:r>
      <w:r>
        <w:rPr>
          <w:rFonts w:hint="eastAsia" w:ascii="仿宋" w:hAnsi="仿宋" w:eastAsia="仿宋" w:cs="仿宋"/>
        </w:rPr>
        <w:t>反映按房改政策规定，行政事业单位向符合条件职工（含离退休人员）、军队(含武警)向转役复员离退休人员发放的用于购买住房的补贴。</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9D44A">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07B329B4">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55044">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0674D884">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DB4F1">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43F9E01C">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06B37">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54973739">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B7DF2">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7387FC5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C2DD7">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1EE1AB0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43712">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7C57DBC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54045">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1B453216">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838EE">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11550493">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124A0">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14E81EC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1B55A">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108D36C8">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881FA">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1E3E9A2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3E973">
    <w:pPr>
      <w:pStyle w:val="9"/>
      <w:jc w:val="center"/>
    </w:pPr>
    <w:r>
      <w:rPr>
        <w:sz w:val="18"/>
      </w:rPr>
      <w:pict>
        <v:shape id="_x0000_s4107" o:spid="_x0000_s4107"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5279EB44">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FF68D">
    <w:pPr>
      <w:pStyle w:val="9"/>
      <w:jc w:val="center"/>
    </w:pPr>
    <w:r>
      <w:rPr>
        <w:sz w:val="18"/>
      </w:rPr>
      <w:pict>
        <v:shape id="_x0000_s4108" o:spid="_x0000_s4108"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7BD642A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00F64">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405305F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D1B7F">
    <w:pPr>
      <w:pStyle w:val="10"/>
      <w:pBdr>
        <w:bottom w:val="single" w:color="000000" w:sz="4" w:space="1"/>
      </w:pBdr>
      <w:jc w:val="both"/>
      <w:rPr>
        <w:rFonts w:hint="default" w:eastAsia="Arial Unicode MS"/>
        <w:lang w:val="en-US" w:eastAsia="zh-CN"/>
      </w:rPr>
    </w:pPr>
    <w:r>
      <w:rPr>
        <w:rFonts w:hint="eastAsia"/>
        <w:lang w:val="en-US" w:eastAsia="zh-CN"/>
      </w:rPr>
      <w:t>江阴市生命健康产业创新服务中心</w:t>
    </w:r>
    <w:r>
      <w:t>2025</w:t>
    </w:r>
    <w:r>
      <w:t>年度</w:t>
    </w:r>
    <w:r>
      <w:t>单位</w:t>
    </w:r>
    <w:r>
      <w:t>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1B3BA">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GUwNWYwNGFmYzNiMTMwMzI4MzFhMzI2ZWRjOTFjMmM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CC4FA5"/>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footer9.xml" Type="http://schemas.openxmlformats.org/officeDocument/2006/relationships/footer"/><Relationship Id="rId15" Target="footer10.xml" Type="http://schemas.openxmlformats.org/officeDocument/2006/relationships/footer"/><Relationship Id="rId16" Target="footer11.xml" Type="http://schemas.openxmlformats.org/officeDocument/2006/relationships/footer"/><Relationship Id="rId17" Target="footer12.xml" Type="http://schemas.openxmlformats.org/officeDocument/2006/relationships/footer"/><Relationship Id="rId18" Target="footer13.xml" Type="http://schemas.openxmlformats.org/officeDocument/2006/relationships/footer"/><Relationship Id="rId19" Target="footer14.xml" Type="http://schemas.openxmlformats.org/officeDocument/2006/relationships/footer"/><Relationship Id="rId2" Target="settings.xml" Type="http://schemas.openxmlformats.org/officeDocument/2006/relationships/settings"/><Relationship Id="rId20" Target="footer15.xml" Type="http://schemas.openxmlformats.org/officeDocument/2006/relationships/footer"/><Relationship Id="rId21" Target="theme/theme1.xml" Type="http://schemas.openxmlformats.org/officeDocument/2006/relationships/theme"/><Relationship Id="rId22" Target="../customXml/item1.xml" Type="http://schemas.openxmlformats.org/officeDocument/2006/relationships/customXml"/><Relationship Id="rId23" Target="fontTable.xml" Type="http://schemas.openxmlformats.org/officeDocument/2006/relationships/fontTable"/><Relationship Id="rId24" Target="media/image1.jpeg" Type="http://schemas.openxmlformats.org/officeDocument/2006/relationships/image"/><Relationship Id="rId25" Target="media/image2.jpeg" Type="http://schemas.openxmlformats.org/officeDocument/2006/relationships/image"/><Relationship Id="rId3" Target="footnotes.xml" Type="http://schemas.openxmlformats.org/officeDocument/2006/relationships/footnotes"/><Relationship Id="rId4" Target="header1.xml" Type="http://schemas.openxmlformats.org/officeDocument/2006/relationships/header"/><Relationship Id="rId5" Target="header2.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1913</Words>
  <Characters>6541</Characters>
  <Paragraphs>501</Paragraphs>
  <TotalTime>4</TotalTime>
  <ScaleCrop>false</ScaleCrop>
  <LinksUpToDate>false</LinksUpToDate>
  <CharactersWithSpaces>6558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2021-04-16T03:22:00Z</dcterms:created>
  <dc:creator>陈长军(本处室套红)</dc:creator>
  <cp:lastModifiedBy>预决算公开</cp:lastModifiedBy>
  <dcterms:modified xsi:type="dcterms:W3CDTF">2025-02-27T06:18:55Z</dcterms:modified>
  <cp:revision>175</cp:revision>
  <dc:title>部门预算公开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2052-12.1.0.20305</vt:lpwstr>
  </property>
  <property fmtid="{D5CDD505-2E9C-101B-9397-08002B2CF9AE}" pid="6" name="LastSaved">
    <vt:filetime>2021-04-15T00:00:00Z</vt:filetime>
  </property>
  <property fmtid="{D5CDD505-2E9C-101B-9397-08002B2CF9AE}" pid="7" name="KSOTemplateDocerSaveRecord">
    <vt:lpwstr>eyJoZGlkIjoiMjBmODA2NDVhMWEwODkwZDExMzkyOWZhZTcyZGM3OTQiLCJ1c2VySWQiOiIyMDI2NTc4ODUifQ==</vt:lpwstr>
  </property>
</Properties>
</file>