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江阴市市场监督管理局（机关）</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市场综合监督管理。贯彻执行国家有关市场监督管理的方针政策和法律法规，拟订市场监督管理有关规范性文件。组织实施知识产权战略、质量强市战略、食品安全战略和标准化战略，拟订并组织实施有关规划，规范和维护市场秩序，营造诚实守信、公平竞争的市场环境。</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2、负责参与反垄断统一执法工作。统筹推进竞争政策实施，组织指导实施公平竞争审查制度。依据授权参与本市和指定区域的反垄断执法工作。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监督管理市场秩序。依法监督管理市场交易、网络商品交易及有关服务的行为。组织指导查处价格收费违法违规、不正当竞争、违法直销、传销、侵犯商标专利知识产权和制售假冒伪劣行为。指导广告业发展，监督管理广告活动。组织指导查处无照生产经营和相关无证生产经营行为。</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宏观质量管理。拟订实施全市质量发展的制度措施。组织实施质量奖励制度，推进品牌发展战略。按照权限会同有关部门组织实施重大工程设备质量监理、服务质量监测、重大质量事故调查制度。根据上级有关规定要求组织实施缺陷产品召回制度，监督管理产品防伪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5、负责产品质量安全监督管理。负责组织全市生产、流通领域产品质量监督检查工作。组织实施质量分级、质量安全追溯制度。实施工业产品生产许可管理。</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6、负责特种设备安全监督管理。综合管理特种设备安全监察、监督工作，监督检查高耗能特种设备节能标准和锅炉环境保护标准执行情况。按规定权限组织调查特种设备事故。组织开展特种设备安全宣传教育。</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食品安全监督管理。负责食品安全监督管理的综合协调，组织实施食品安全战略，组织制定并实施全市食品安全重大政策，建立健全食品安全重要信息直报制度。建立并组织实施覆盖食品生产、流通、消费全过程的监督检查制度和隐患排查治理机制，防范区域性、系统性食品安全风险。推动建立食品生产经营者主体责任落实机制，健全食品安全追溯体系。组织开展食品安全监督抽检、风险监测、核查处置和风险预警、风险交流工作。负责食品安全应急体系建设，组织指导食品安全事件应急处置工作。组织实施和监督管理食品生产经营企业许可、特殊食品备案工作。推动落实食品安全工作责任制。承担市食品安全委员会办公室的日常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8、负责统一管理全市计量工作。贯彻实施国家计量制度，推行法定计量单位，管理计量器具及量值传递和比对工作，负责规范、监督商品量和市场计量行为。</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9、负责统一管理全市标准化工作。组织制定并实施全市标准化战略和规划，组织实施标准以及对标准制定、实施进行监督。推动参与国际标准化活动。</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10、负责统一管理全市检验检测工作。推进全市检验检测体系发展，完善全市检验检测体系。规范检验检测市场，指导协调全市检验检测行业发展。</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11、负责统一管理全市认证认可工作。组织实施国家统一的认证认可和合格评定监督管理制度，落实认证认可工作规划，指导和监督检查全市产品认证、体系认证、服务认证工作。指导促进全市认证行业发展。</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药品、医疗器械和化妆品的质量管理。组织实施药品零售、使用，医疗器械经营、使用，化妆品经营的行政监督和技术监督工作。组织开展监管对象药品、化妆品不良反应和医疗器械不良事件监测；建立健全药品安全应急体系；配合有关部门实施国家基本药物制度。</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负责统筹协调全市知识产权工作，落实国家、省市知识产权战略，拟订并组织实施我市知识产权战略和知识产权强市建设规划、计划；指导、协调重要经济科技活动知识产权评议；贯彻执行商标、专利、地理标志等知识产权保护制度；促进知识产权创造和运用；统筹推进知识产权公共服务体系建设；开展知识产权宣传、培训工作，推动知识产权人才队伍建设。</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负责法律、法规规定由市场监督管理部门承担的市场主体登记注册以及各类行政许可工作。建立市场主体信息公示和共享机制，依法公示和共享有关信息。加强信用监管，推动市场主体信用体系建设。按规定承担技术性贸易措施有关工作。负责全市市场监督管理系统科技和信息化建设、应急和新闻宣传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负责组织和指导市场监管综合执法工作，加强市场监管综合执法队伍建设。组织查处违反市场监督管理法律、法规、规章的行为。贯彻落实市综合行政执法体制改革相关工作任务，依据划转职权依法履行知识产权、物价、文化、粮油、商务、旅游、盐务行政处罚权。</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负责赋予镇街园区经济社会管理权限有关事项的法律法规宣传、政策制定、协调指导、业务培训等工作。牵头负责江苏政务服务网上有关赋权事项的动态调整和日常维护工作。承担公共安全体系建设的相关任务。</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17、完成市委、市政府交办的其他任务。</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政策法规科、行政许可服务科、信用监督管理科、价格监督检查和反不正当竞争科、网络交易监督管理科、质量监督管理科、食品安全协调科、食品生产安全监督管理科（特殊食品安全监督管理科）、食品经营安全监督管理科、特种设备安全监察科、标准化和计量监督管理科、执法稽查科（投诉举报中心）、药品医疗器械监督管理科、知识产权科、安全生产监督管理科、财务科、组织人事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凝心铸魂强根基。一是不断锤炼政治品格。推进“基石工程”，通过“把支部建进小区将服务送进家门”畅通党群关系“最后一米”，让党旗始终在一线高高飘扬。二是稳步提升队伍素质。继续用好内部管理五项制度，实施基层分局等级评定三年行动计划，深入推进标准化规范化建设。三是扎实推进作风建设。深入实施体检式监督、系统性规范，拧紧内部监督“总闸门”。巩固群众身边不正之风和腐败问题集中整治工作成果，以务实作风推动解决人民群众关切问题。</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持之以恒激活力。一是优化营商环境。落实优化营商环境5.0，开展企业“一站式”服务、“营商客堂间”会客活动，培育壮大各类经营主体。深化食品药品准入准营改革，助力企业群众“高效办成一件事”。搭建三级联动“空中咨询室”，以“一站一中心”高效服务推动招商引资、产业发展、行业规范。二是促进公平竞争。全面落实公平竞争审查制度，统筹增量审查、存量清理，强化线上监测、线下抽查，强化反不正当竞争监管执法，全力营造公平竞争社会氛围。打通政企互动通道，探索构建电线电缆产业公平竞争联盟，以有序竞争促进产业高质量发展。三是提振消费信心。深化计量惠民工程，加强民用“三表”计量监督，推行电子计价秤“六统一”计量管理。推动放心消费“微窗口”、消费维权服务站扩面增效，畅通ODR在线纠纷解决渠道，把更多消费纠纷化解在萌芽状态。</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向新而行添动力。一是促进质量提升。围绕产业链深挖“种子企业”，完善质量品牌培育库，加大质量人才培养力度。优化“澄质汇”基础服务，推进多场景应用，服务产业转型升级。围绕质量强县建设目标，深入实施质量提升行动，力争纳入国家级质量强县培育库。二是强化标准引领。推进智能环境检测、城镇环境卫生综合服务、中药配方颗粒技术标准创新基地等标准化试点示范项目建设。开展低碳、绿色发展、数字化等新兴领域标准研制，分类分批推进“对标达标”工作，培育一批标准创新型企业，以标准创新引领产业转型升级。三是集聚创新动能。深化国家知识产权强县示范县建设，高标准完成江苏省知识产权保护示范区创建项目验收。推进江阴市知识产权保护综合体实体化运行，健全跨部门执法协作“一网通办”工作机制。加快实施专利导航项目，打通专利快速预审、发明专利批量预审通道，助推产业转型升级。培育商业秘密保护标杆企业16家，新增商业秘密保护示范点35家、维权联系点1家。</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精准施策提效能。一是深化法治监管。把服务经济、服务民生、服务社会作为市场监督管理行政执法工作的出发点和落脚点，推行服务型执法新模式。建立健全职业投诉举报规制机制，运用法治思维推动破解监管执法难题。二是强化信用监管。优化“信用+执法”渐进式监管省级试点实施路径，探索可复制可推广的“江阴经验”。持续规范“双随机、一公开”检查，加强跨部门联合监管，最大程度减少现场检查频次。三是优化智慧监管。加快建设江阴市场监管数据中心，全面提升业务协同、数据应用、决策分析水平。深度运用“明厨亮灶”平台、暨阳红骑士数字平台、特种设备智慧管理系统等信息化工具，助力监管提质增效。开展“澄网智监”网络交易综合监测，加强网络直播营销活动监管，增强“以网管网”能力。</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恪尽职守保安全。一是强化食品安全监管。巩固“强基固本”专项行动成效，推动食品安全从“随机安全”向“本质安全”转型。推进主题公园、食安小屋、科普驿站等“食安阵地”扩面提质，打造多元志愿者队伍，构建立体高效的食品安全治理网络。二是筑牢药品安全防线。紧盯集采中选和创新药品医疗器械、疫苗、儿童化妆品等品种加强线上线下一体化监管，严厉打击违法行为。健全家庭过期药品回收长效机制，依托优药事驿站、儿童友好药房推动药事服务“小切口”融入民生实事“大场景”。三是提升产品质量安全水平。强化灶管阀、电动自行车及配件、儿童用品等产品质量安全监管，全面压实质量安全主体责任。深化认证提升、高端认证等专项行动，以质量认证支撑产业发展、助力消费升级。四是守牢特种设备安全底线。深入推进安全生产治本攻坚三年行动，开展“盲区”“死角”设备排查治理，有效降低安全风险。推广“服务+科技”综合保险，有序推动老旧住宅电梯修理、改造和更新。</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江阴市市场监督管理局（机关）</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江阴市市场监督管理局（机关）</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14,520.06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10,487.10</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1,175.74</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302.97</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213.38</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2,340.87</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14,520.06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14,520.06</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14,520.06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14,520.06</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14,520.06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14,520.06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14,520.06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415002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江阴市市场监督管理局（机关）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14,520.06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14,520.06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14,520.06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14,520.06</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11,776.75</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2,743.31</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10,487.10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2,529.93</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知识产权事务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2011499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其他知识产权事务支出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10,152.10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2,194.93</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2,194.93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2,194.93</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1,175.74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1,175.74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1,143.84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1,143.84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762.56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762.56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513.69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513.69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1,324.10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1,324.10</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503.08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503.08</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江阴市市场监督管理局（机关）</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14,520.06</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14,520.06</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14,520.06</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10,487.10</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1,175.74</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302.97</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213.38</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2,340.87</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14,520.06</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14,520.06</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14,520.06</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11,776.75</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11,067.61</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709.14</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2,743.31</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10,487.10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7,957.17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7,248.03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709.14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2,529.93</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知识产权事务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2011499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其他知识产权事务支出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10,152.10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7,957.17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7,248.03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709.14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2,194.93</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7,957.17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7,957.17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7,248.03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709.14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2,194.93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2,194.93</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1,175.74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1,175.74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1,175.74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1,143.84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1,143.84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1,143.84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762.56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762.56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762.56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381.28</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31.90</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31.90</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2,340.87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2,340.87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2,340.87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2,340.87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2,340.87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2,340.87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513.69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513.69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513.69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1,324.10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1,324.10</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1,324.10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503.08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503.08</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503.08</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江阴市市场监督管理局（机关）</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11,776.75</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11,067.61</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709.14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10,276.49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10,276.49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1,054.21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1,054.21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3,551.97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3,551.97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2,724.32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2,724.32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139.40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139.40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762.56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762.56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381.28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381.28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302.97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302.97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31.90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31.90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513.69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513.69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28.92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28.92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785.27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785.27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707.09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707.09</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213.84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213.84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10.80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144.00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40.00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4.90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4.90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19.94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19.94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60.25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90.00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56.36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56.36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791.12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791.12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760.25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760.25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22.58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22.58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8.29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8.29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2.05</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14,520.06</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11,776.75</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11,067.61</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709.14</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2,743.31</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10,487.10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7,248.03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709.14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2,529.93</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知识产权事务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2011499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其他知识产权事务支出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10,152.10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7,248.03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709.14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2,194.93</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7,957.17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7,248.03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709.14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2,194.93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2,194.93</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1,175.74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1,175.74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1,175.74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1,143.84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1,143.84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1,143.84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762.56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762.56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762.56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381.28</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302.97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2,340.87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513.69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513.69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513.69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1,324.10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1,324.10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1,324.10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503.08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503.08</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503.08</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11,776.75</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11,067.61</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709.14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10,276.49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10,276.49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1,054.21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1,054.21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3,551.97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3,551.97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2,724.32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2,724.32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139.40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139.40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762.56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762.56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381.28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381.28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302.97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302.97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31.90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31.90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513.69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513.69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28.92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28.92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785.27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785.27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707.09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707.09</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213.84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213.84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10.80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10.80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144.00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144.00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40.00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4.90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4.90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被装购置费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19.94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19.94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60.25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60.25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90.00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56.36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56.36</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791.12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791.12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760.25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760.25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22.58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22.58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8.29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8.29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2.05</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133.86</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128.96</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38.96</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90.00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4.90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5.00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707.09</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707.09</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213.84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30224</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被装购置费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60.25</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56.36</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江阴市市场监督管理局（机关）</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917.57</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917.57</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50.99</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50.99</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江阴市市场监督管理局（机关）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50.99</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50.99</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轿车</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35.96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35.96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866.58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866.58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江阴市市场监督管理局（机关）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866.58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866.58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85.58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85.58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市场监管创建综合业务费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检测专项经费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606.00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606.00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老旧住宅电梯评估费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公共安全服务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江阴市市场监督管理局（机关）2025年度收入、支出预算总计14,520.06万元，与上年相比收、支预算总计各减少680.47万元，减少4.48%。其中：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（一）收入预算总计14,520.06万元。包括：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1．本年收入合计14,520.06万元。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（1）一般公共预算拨款收入14,520.06万元，与上年相比减少680.47万元，减少4.48%。主要原因是编外用工人数减少导致编外用工经费减少；知识产权专项经费、新增食品小作坊专项经费减少。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（二）支出预算总计14,520.06万元。包括：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1．本年支出合计14,520.06万元。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10,487.1万元，主要用于市场监督管理事务。与上年相比减少804.6万元，减少7.13%。主要原因是编外用工人数减少导致编外用工经费减少；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1,175.74万元，主要用于机关事业单位养老保险缴费支出、职业年金缴费支出和其他社会保障就业支出（包括工伤保险、生育保险）。与上年相比减少178.59万元，减少13.19%。主要原因是其他社会保障就业支出中的“医疗保险缴费支出”因统计口径调整，今年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302.97万元，主要用于医疗保险缴费支出。与上年相比增加302.97万元（去年预算数为0万元，无法计算增减比率）。主要原因是上年其他社会保障就业支出中的“医疗保险缴费支出”因统计口径调整，今年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（4）城乡社区支出（类）支出213.38万元，主要用于物业管理费支出。与上年预算数相同。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（5）住房保障支出（类）支出2,340.87万元，主要用于为职工缴纳住房公积金，发放提租补贴和购房补贴。与上年相比减少0.25万元，减少0.01%。主要原因是退休7人、调出2人导致住房保障支出减少。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江阴市市场监督管理局（机关）2025年收入预算合计14,520.06万元，包括本年收入14,520.06万元，上年结转结余0万元。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本年一般公共预算收入14,520.06万元，占100%；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江阴市市场监督管理局（机关）2025年支出预算合计14,520.06万元，其中：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基本支出11,776.75万元，占81.11%；</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项目支出2,743.31万元，占18.89%；</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度财政拨款收、支总预算14,520.06万元。与上年相比，财政拨款收、支总计各减少680.47万元，减少4.48%。主要原因是编外用工人数减少导致编外用工经费减少；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财政拨款预算支出14,520.06万元，占本年支出合计的100%。与上年相比，财政拨款支出减少680.47万元，减少4.48%。主要原因是编外用工人数减少导致编外用工经费减少；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1.知识产权事务（款）其他知识产权事务支出（项）支出335万元，与上年相比减少665万元，减少66.5%。主要原因是知识产权奖补范围、比例等调整。</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2.市场监督管理事务（款）行政运行（项）支出7,957.17万元，与上年相比减少232.33万元，减少2.84%。主要原因是编外用工经费、办公经费等减少。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3.市场监督管理事务（款）一般行政管理事务（项）支出0万元，与上年相比减少7万元，减少100%。主要原因是电梯责任保险专项经费取消。</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4.市场监督管理事务（款）其他市场监督管理事务（项）支出2,194.93万元，与上年相比增加99.73万元，增长4.76%。主要原因是今年新增“老旧住宅电梯评估费”专项资金。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1.行政事业单位养老支出（款）机关事业单位基本养老保险缴费支出（项）支出762.56万元，与上年相比增加19.37万元，增长2.61%。主要原因是新录用11人、调入1人导致养老金缴费支出增加。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2.行政事业单位养老支出（款）机关事业单位职业年金缴费支出（项）支出381.28万元，与上年相比增加9.68万元，增长2.6%。主要原因是新录用11人、调入1人导致职业年金缴费支出增加。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31.9万元，与上年相比减少207.64万元，减少86.68%。主要原因是其他社会保障就业支出中的“医疗保险缴费支出”因统计口径调整，今年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医疗（款）行政单位医疗（项）支出302.97万元，与上年相比增加302.97万元（去年预算数为0万元，无法计算增减比率）。主要原因是其他社会保障就业支出中的“医疗保险缴费支出”因统计口径调整，今年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（四）城乡社区支出（类）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其他城乡社区支出（款）其他城乡社区支出（项）支出213.38万元，与上年预算数相同。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1.住房改革支出（款）住房公积金（项）支出513.69万元，与上年相比减少8.95万元，减少1.71%。主要原因是退休7人、调出2人导致公积金支出减少。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2.住房改革支出（款）提租补贴（项）支出1,324.1万元，与上年相比减少11.22万元，减少0.84%。主要原因是退休7人导致提租补贴支出减少。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3.住房改革支出（款）购房补贴（项）支出503.08万元，与上年相比增加19.92万元，增长4.12%。主要原因是新录用11人、调入1人导致购房补贴支出增加。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江阴市市场监督管理局（机关）2025年度财政拨款基本支出预算11,776.75万元，其中：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11,067.61万元。主要包括：基本工资、津贴补贴、奖金、伙食补助费、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709.14万元。主要包括：办公费、印刷费、水费、电费、邮电费、差旅费、会议费、培训费、公务接待费、被装购置费、工会经费、公务用车运行维护费、其他交通费用、其他商品和服务支出、其他资本性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一般公共预算财政拨款支出预算14,520.06万元，与上年相比减少680.47万元，减少4.48%。主要原因是编外用工人数减少导致编外用工经费减少；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江阴市市场监督管理局（机关）2025年度一般公共预算财政拨款基本支出预算11,776.75万元，其中：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11,067.61万元。主要包括：基本工资、津贴补贴、奖金、伙食补助费、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709.14万元。主要包括：办公费、印刷费、水费、电费、邮电费、差旅费、会议费、培训费、公务接待费、被装购置费、工会经费、公务用车运行维护费、其他交通费用、其他商品和服务支出、其他资本性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度一般公共预算拨款安排的“三公”经费支出预算133.86万元，比上年预算减少46.16万元，变动原因上年公务用车购置4辆，今年公务用车购置2辆，且公务用车维护运行费下降0.2万元/辆。其中，因公出国（境）费支出0万元，占“三公”经费的0%；公务用车购置及运行维护费支出128.96万元，占“三公”经费的96.34%；公务接待费支出4.9万元，占“三公”经费的3.66%。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2．公务用车购置及运行维护费预算支出128.96万元。其中：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（1）公务用车购置预算支出38.96万元，比上年预算减少38.96万元，主要原因是上年公务用车购置4辆，今年公务用车购置2辆。</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（2）公务用车运行维护费预算支出90万元，比上年预算减少7.2万元，主要原因是公务用车维护运行费下降0.2万元/辆。</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3．公务接待费预算支出4.9万元，与上年预算数相同。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江阴市市场监督管理局（机关）2025年度一般公共预算拨款安排的会议费预算支出2万元，与上年预算数相同。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江阴市市场监督管理局（机关）2025年度一般公共预算拨款安排的培训费预算支出5万元，与上年预算数相同。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江阴市市场监督管理局（机关）2025年国有资本经营预算支出0万元。与上年预算数相同。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2025年本单位一般公共预算机关运行经费预算支出707.09万元，与上年相比增加17.55万元，增长2.55%。主要原因是办公费、差旅费、被装购置费增加。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2025年度政府采购支出预算总额917.57万元，其中：拟采购货物支出50.99万元、拟采购工程支出0万元、拟采购服务支出866.58万元。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38辆，其中，副部（省）级及以上领导用车0辆、主要领导干部用车0辆、机要通信用车0辆、应急保障用车0辆、执法执勤用车36辆、特种专业技术用车0辆、离退休干部用车0辆，其他用车2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14,520.06万元；本单位共10个项目纳入绩效目标管理，涉及财政性资金合计2,743.31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八、一般公共服务支出(类)知识产权事务(款)其他知识产权事务支出(项)</w:t>
      </w:r>
      <w:r>
        <w:rPr>
          <w:rFonts w:ascii="仿宋" w:hAnsi="仿宋" w:cs="仿宋" w:eastAsia="仿宋"/>
          <w:b w:val="true"/>
        </w:rPr>
        <w:t>：</w:t>
      </w:r>
      <w:r>
        <w:rPr>
          <w:rFonts w:hint="eastAsia" w:ascii="仿宋" w:hAnsi="仿宋" w:eastAsia="仿宋" w:cs="仿宋"/>
        </w:rPr>
        <w:t>反映除上述项目以外其他用于知识产权事务方面的支出。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九、一般公共服务支出(类)市场监督管理事务(款)行政运行(项)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十、一般公共服务支出(类)市场监督管理事务(款)其他市场监督管理事务(项)</w:t>
      </w:r>
      <w:r>
        <w:rPr>
          <w:rFonts w:ascii="仿宋" w:hAnsi="仿宋" w:cs="仿宋" w:eastAsia="仿宋"/>
          <w:b w:val="true"/>
        </w:rPr>
        <w:t>：</w:t>
      </w:r>
      <w:r>
        <w:rPr>
          <w:rFonts w:hint="eastAsia" w:ascii="仿宋" w:hAnsi="仿宋" w:eastAsia="仿宋" w:cs="仿宋"/>
        </w:rPr>
        <w:t>反映用于除上述项目以外其他市场监督管理事务方面的支出。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江阴市市场监督管理局（机关）</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