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Look w:val="04A0" w:firstRow="1" w:lastRow="0" w:firstColumn="1" w:lastColumn="0" w:noHBand="0" w:noVBand="1"/>
      </w:tblPr>
      <w:tblGrid>
        <w:gridCol w:w="10082"/>
      </w:tblGrid>
      <w:tr w:rsidR="008E00C4">
        <w:trPr>
          <w:trHeight w:val="4054"/>
        </w:trPr>
        <w:tc>
          <w:tcPr>
            <w:tcW w:w="10402" w:type="dxa"/>
            <w:tcBorders>
              <w:top w:val="nil"/>
              <w:left w:val="nil"/>
              <w:bottom w:val="nil"/>
              <w:right w:val="nil"/>
            </w:tcBorders>
          </w:tcPr>
          <w:p w:rsidR="008E00C4" w:rsidRDefault="008E00C4">
            <w:pPr>
              <w:pStyle w:val="a4"/>
              <w:spacing w:line="550" w:lineRule="exact"/>
              <w:rPr>
                <w:rFonts w:ascii="仿宋" w:eastAsia="仿宋" w:hAnsi="仿宋" w:cs="仿宋"/>
                <w:b/>
                <w:bCs/>
                <w:color w:val="FF0000"/>
                <w:sz w:val="22"/>
                <w:szCs w:val="22"/>
              </w:rPr>
            </w:pPr>
          </w:p>
        </w:tc>
      </w:tr>
      <w:tr w:rsidR="008E00C4">
        <w:trPr>
          <w:trHeight w:val="4945"/>
        </w:trPr>
        <w:tc>
          <w:tcPr>
            <w:tcW w:w="10402" w:type="dxa"/>
            <w:tcBorders>
              <w:top w:val="nil"/>
              <w:left w:val="nil"/>
              <w:bottom w:val="nil"/>
              <w:right w:val="nil"/>
            </w:tcBorders>
            <w:vAlign w:val="center"/>
          </w:tcPr>
          <w:p w:rsidR="008E00C4" w:rsidRDefault="00000116">
            <w:pPr>
              <w:ind w:rightChars="129" w:right="284"/>
              <w:jc w:val="center"/>
              <w:rPr>
                <w:rFonts w:ascii="仿宋" w:eastAsia="仿宋" w:hAnsi="仿宋" w:cs="仿宋"/>
                <w:b/>
                <w:bCs/>
                <w:color w:val="FF0000"/>
              </w:rPr>
            </w:pPr>
            <w:r>
              <w:rPr>
                <w:rFonts w:ascii="宋体" w:eastAsia="宋体" w:hAnsi="宋体" w:cs="宋体"/>
                <w:b/>
                <w:sz w:val="52"/>
              </w:rPr>
              <w:t>2025</w:t>
            </w:r>
            <w:r>
              <w:rPr>
                <w:rFonts w:ascii="宋体" w:eastAsia="宋体" w:hAnsi="宋体" w:cs="宋体"/>
                <w:b/>
                <w:sz w:val="52"/>
              </w:rPr>
              <w:t>年度</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江阴市旅游事业发展服务中心</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单位预算公开</w:t>
            </w:r>
          </w:p>
        </w:tc>
      </w:tr>
    </w:tbl>
    <w:p w:rsidR="008E00C4" w:rsidRDefault="008E00C4">
      <w:pPr>
        <w:ind w:rightChars="129" w:right="284"/>
        <w:jc w:val="both"/>
        <w:rPr>
          <w:rFonts w:ascii="宋体" w:eastAsia="宋体" w:hAnsi="宋体" w:cs="宋体"/>
          <w:b/>
          <w:bCs/>
          <w:sz w:val="52"/>
          <w:szCs w:val="52"/>
        </w:rPr>
        <w:sectPr w:rsidR="008E00C4">
          <w:headerReference w:type="default" r:id="rId7"/>
          <w:headerReference w:type="first" r:id="rId8"/>
          <w:pgSz w:w="11906" w:h="16838"/>
          <w:pgMar w:top="1580" w:right="1020" w:bottom="770" w:left="1020" w:header="170" w:footer="280" w:gutter="0"/>
          <w:cols w:space="720"/>
          <w:formProt w:val="0"/>
          <w:titlePg/>
          <w:docGrid w:linePitch="100"/>
        </w:sectPr>
      </w:pPr>
    </w:p>
    <w:p w:rsidR="008E00C4" w:rsidRDefault="008E00C4">
      <w:pPr>
        <w:pStyle w:val="a4"/>
        <w:spacing w:before="4"/>
        <w:rPr>
          <w:rFonts w:ascii="华文仿宋" w:eastAsia="华文仿宋" w:hAnsi="华文仿宋" w:cs="仿宋"/>
          <w:sz w:val="10"/>
        </w:rPr>
      </w:pPr>
    </w:p>
    <w:p w:rsidR="008E00C4" w:rsidRDefault="00000116">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8E00C4" w:rsidRDefault="008E00C4">
      <w:pPr>
        <w:pStyle w:val="a4"/>
        <w:snapToGrid w:val="0"/>
        <w:spacing w:before="7"/>
        <w:rPr>
          <w:rFonts w:ascii="仿宋" w:eastAsia="仿宋" w:hAnsi="仿宋" w:cs="仿宋"/>
          <w:sz w:val="27"/>
        </w:rPr>
      </w:pP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8E00C4" w:rsidRDefault="00000116">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rsidR="008E00C4" w:rsidRDefault="00000116">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8E00C4" w:rsidRDefault="00000116">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2025</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8E00C4" w:rsidRDefault="00000116">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bidi="ar"/>
        </w:rPr>
        <w:t>2025</w:t>
      </w:r>
      <w:r>
        <w:rPr>
          <w:rFonts w:ascii="仿宋" w:eastAsia="仿宋" w:hAnsi="仿宋" w:cs="仿宋" w:hint="eastAsia"/>
          <w:b/>
          <w:bCs/>
          <w:lang w:val="en-US"/>
        </w:rPr>
        <w:t>年度</w:t>
      </w:r>
      <w:r>
        <w:rPr>
          <w:rFonts w:ascii="仿宋" w:eastAsia="仿宋" w:hAnsi="仿宋" w:cs="仿宋"/>
          <w:b/>
        </w:rPr>
        <w:t>单位预算表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、一般公共预算机关运行经费支出预算表</w:t>
      </w:r>
    </w:p>
    <w:p w:rsidR="008E00C4" w:rsidRDefault="00000116">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8E00C4" w:rsidRDefault="00000116">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bidi="ar"/>
        </w:rPr>
        <w:t>2025</w:t>
      </w:r>
      <w:r>
        <w:rPr>
          <w:rFonts w:ascii="仿宋" w:eastAsia="仿宋" w:hAnsi="仿宋" w:cs="仿宋" w:hint="eastAsia"/>
          <w:b/>
          <w:bCs/>
          <w:color w:val="000000"/>
          <w:sz w:val="30"/>
          <w:szCs w:val="30"/>
          <w:lang w:val="en-US" w:bidi="ar"/>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w:t>
      </w:r>
      <w:r>
        <w:rPr>
          <w:rFonts w:ascii="仿宋" w:eastAsia="仿宋" w:hAnsi="仿宋" w:cs="仿宋" w:hint="eastAsia"/>
          <w:b/>
          <w:bCs/>
          <w:color w:val="000000"/>
          <w:sz w:val="30"/>
          <w:szCs w:val="30"/>
          <w:lang w:val="en-US" w:bidi="ar"/>
        </w:rPr>
        <w:t>情况说明</w:t>
      </w:r>
    </w:p>
    <w:p w:rsidR="008E00C4" w:rsidRDefault="00000116">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8E00C4" w:rsidRDefault="008E00C4">
      <w:pPr>
        <w:pStyle w:val="a4"/>
        <w:snapToGrid w:val="0"/>
        <w:spacing w:line="312" w:lineRule="auto"/>
        <w:ind w:leftChars="300" w:left="669" w:right="2414" w:hanging="9"/>
        <w:jc w:val="both"/>
        <w:rPr>
          <w:rFonts w:ascii="仿宋" w:eastAsia="仿宋" w:hAnsi="仿宋" w:cs="仿宋"/>
        </w:rPr>
        <w:sectPr w:rsidR="008E00C4">
          <w:footerReference w:type="default" r:id="rId9"/>
          <w:pgSz w:w="11906" w:h="16838"/>
          <w:pgMar w:top="1580" w:right="1020" w:bottom="770" w:left="1020" w:header="170" w:footer="280" w:gutter="0"/>
          <w:pgNumType w:fmt="numberInDash" w:start="1"/>
          <w:cols w:space="720"/>
          <w:formProt w:val="0"/>
          <w:docGrid w:linePitch="100"/>
        </w:sectPr>
      </w:pPr>
    </w:p>
    <w:p w:rsidR="008E00C4" w:rsidRDefault="008E00C4">
      <w:pPr>
        <w:pStyle w:val="a4"/>
        <w:spacing w:before="1"/>
        <w:rPr>
          <w:rFonts w:ascii="华文仿宋" w:eastAsia="华文仿宋" w:hAnsi="华文仿宋" w:cs="仿宋"/>
          <w:sz w:val="14"/>
        </w:rPr>
      </w:pPr>
    </w:p>
    <w:p w:rsidR="008E00C4" w:rsidRDefault="00000116">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rsidR="008E00C4" w:rsidRDefault="008E00C4">
      <w:pPr>
        <w:ind w:rightChars="229" w:right="504"/>
        <w:jc w:val="both"/>
      </w:pPr>
    </w:p>
    <w:p w:rsidR="008E00C4" w:rsidRDefault="00000116">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一</w:t>
      </w:r>
      <w:r>
        <w:rPr>
          <w:rFonts w:ascii="仿宋" w:eastAsia="仿宋" w:hAnsi="仿宋" w:cs="仿宋"/>
        </w:rPr>
        <w:t>)</w:t>
      </w:r>
      <w:r>
        <w:rPr>
          <w:rFonts w:ascii="仿宋" w:eastAsia="仿宋" w:hAnsi="仿宋" w:cs="仿宋"/>
        </w:rPr>
        <w:t>贯彻执行国家和省、市关于旅游业发展的法律法规和政策，贯彻落实本市旅游业发展规划、计划有关工作。</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二</w:t>
      </w:r>
      <w:r>
        <w:rPr>
          <w:rFonts w:ascii="仿宋" w:eastAsia="仿宋" w:hAnsi="仿宋" w:cs="仿宋"/>
        </w:rPr>
        <w:t>)</w:t>
      </w:r>
      <w:r>
        <w:rPr>
          <w:rFonts w:ascii="仿宋" w:eastAsia="仿宋" w:hAnsi="仿宋" w:cs="仿宋"/>
        </w:rPr>
        <w:t>负责本市旅游投诉统一受理工作。依法依规调解旅游消费纠纷，维护旅游者和旅游经营者的合法权益。</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三</w:t>
      </w:r>
      <w:r>
        <w:rPr>
          <w:rFonts w:ascii="仿宋" w:eastAsia="仿宋" w:hAnsi="仿宋" w:cs="仿宋"/>
        </w:rPr>
        <w:t>)</w:t>
      </w:r>
      <w:r>
        <w:rPr>
          <w:rFonts w:ascii="仿宋" w:eastAsia="仿宋" w:hAnsi="仿宋" w:cs="仿宋"/>
        </w:rPr>
        <w:t>承担本市旅游公共服务工作。建设巩固服务阵地，培养专业化人才队伍，提升旅游公共服务质效。</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四</w:t>
      </w:r>
      <w:r>
        <w:rPr>
          <w:rFonts w:ascii="仿宋" w:eastAsia="仿宋" w:hAnsi="仿宋" w:cs="仿宋"/>
        </w:rPr>
        <w:t>)</w:t>
      </w:r>
      <w:r>
        <w:rPr>
          <w:rFonts w:ascii="仿宋" w:eastAsia="仿宋" w:hAnsi="仿宋" w:cs="仿宋"/>
        </w:rPr>
        <w:t>负责本市旅游志愿服务组织的指导与协调。推进旅游志愿者队伍健康发展，加强对公众旅游安全与文明旅游的宣传引导。</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五</w:t>
      </w:r>
      <w:r>
        <w:rPr>
          <w:rFonts w:ascii="仿宋" w:eastAsia="仿宋" w:hAnsi="仿宋" w:cs="仿宋"/>
        </w:rPr>
        <w:t>)</w:t>
      </w:r>
      <w:r>
        <w:rPr>
          <w:rFonts w:ascii="仿宋" w:eastAsia="仿宋" w:hAnsi="仿宋" w:cs="仿宋"/>
        </w:rPr>
        <w:t>协助承担本市旅游宣传推广工作。参与旅游促销、节庆或会展活动，扩大旅游形象宣传，促进旅游市场推广。</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六</w:t>
      </w:r>
      <w:r>
        <w:rPr>
          <w:rFonts w:ascii="仿宋" w:eastAsia="仿宋" w:hAnsi="仿宋" w:cs="仿宋"/>
        </w:rPr>
        <w:t>)</w:t>
      </w:r>
      <w:r>
        <w:rPr>
          <w:rFonts w:ascii="仿宋" w:eastAsia="仿宋" w:hAnsi="仿宋" w:cs="仿宋"/>
        </w:rPr>
        <w:t>协助监督旅游市场主体的经营行为。</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七</w:t>
      </w:r>
      <w:r>
        <w:rPr>
          <w:rFonts w:ascii="仿宋" w:eastAsia="仿宋" w:hAnsi="仿宋" w:cs="仿宋"/>
        </w:rPr>
        <w:t>)</w:t>
      </w:r>
      <w:r>
        <w:rPr>
          <w:rFonts w:ascii="仿宋" w:eastAsia="仿宋" w:hAnsi="仿宋" w:cs="仿宋"/>
        </w:rPr>
        <w:t>落实本单位安全生产主体责任。</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八</w:t>
      </w:r>
      <w:r>
        <w:rPr>
          <w:rFonts w:ascii="仿宋" w:eastAsia="仿宋" w:hAnsi="仿宋" w:cs="仿宋"/>
        </w:rPr>
        <w:t>)</w:t>
      </w:r>
      <w:r>
        <w:rPr>
          <w:rFonts w:ascii="仿宋" w:eastAsia="仿宋" w:hAnsi="仿宋" w:cs="仿宋"/>
        </w:rPr>
        <w:t>完成市文体广电和旅游局交办的其他任务。</w:t>
      </w:r>
    </w:p>
    <w:p w:rsidR="008E00C4" w:rsidRDefault="00000116">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本单位无内设机构。本单位无下属单位。</w:t>
      </w:r>
    </w:p>
    <w:p w:rsidR="008E00C4" w:rsidRDefault="00000116">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2025</w:t>
      </w:r>
      <w:r>
        <w:rPr>
          <w:rFonts w:ascii="仿宋" w:eastAsia="仿宋" w:hAnsi="仿宋" w:cs="仿宋" w:hint="eastAsia"/>
          <w:b/>
          <w:bCs/>
        </w:rPr>
        <w:t>年度</w:t>
      </w:r>
      <w:r>
        <w:rPr>
          <w:rFonts w:ascii="仿宋" w:eastAsia="仿宋" w:hAnsi="仿宋" w:cs="仿宋"/>
          <w:b/>
        </w:rPr>
        <w:t>单位主要工作任务及目标</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、坚守忠心强化</w:t>
      </w:r>
      <w:r>
        <w:rPr>
          <w:rFonts w:ascii="仿宋" w:eastAsia="仿宋" w:hAnsi="仿宋" w:cs="仿宋"/>
        </w:rPr>
        <w:t>“</w:t>
      </w:r>
      <w:r>
        <w:rPr>
          <w:rFonts w:ascii="仿宋" w:eastAsia="仿宋" w:hAnsi="仿宋" w:cs="仿宋"/>
        </w:rPr>
        <w:t>政治引领</w:t>
      </w:r>
      <w:r>
        <w:rPr>
          <w:rFonts w:ascii="仿宋" w:eastAsia="仿宋" w:hAnsi="仿宋" w:cs="仿宋"/>
        </w:rPr>
        <w:t>”</w:t>
      </w:r>
      <w:r>
        <w:rPr>
          <w:rFonts w:ascii="仿宋" w:eastAsia="仿宋" w:hAnsi="仿宋" w:cs="仿宋"/>
        </w:rPr>
        <w:t>，推动理论学习常态化。</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）提高政治领悟力，理论常悟常新，推动笃信笃行。及</w:t>
      </w:r>
      <w:r>
        <w:rPr>
          <w:rFonts w:ascii="仿宋" w:eastAsia="仿宋" w:hAnsi="仿宋" w:cs="仿宋"/>
        </w:rPr>
        <w:lastRenderedPageBreak/>
        <w:t>时跟进、层层递进学深悟透习近平总书记系列重要讲话及文旅高质量发展系列、新质生产力等创新理论，并转化为内在强大动力和素质能力。</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）提高政治判断力，自身稳扎稳打，推动知纪明纪。自觉加强党性锤炼，提高政治鉴别能力，牢记政治责任，党纪国法教育、中心制度学习走深走实。</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）提高政治执行力，履职有为有序，推动敢当敢为。做到脑中有政治，眼中有大局，心中有责任，手中有实招。</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、立足</w:t>
      </w:r>
      <w:r>
        <w:rPr>
          <w:rFonts w:ascii="仿宋" w:eastAsia="仿宋" w:hAnsi="仿宋" w:cs="仿宋"/>
        </w:rPr>
        <w:t>“</w:t>
      </w:r>
      <w:r>
        <w:rPr>
          <w:rFonts w:ascii="仿宋" w:eastAsia="仿宋" w:hAnsi="仿宋" w:cs="仿宋"/>
        </w:rPr>
        <w:t>实心</w:t>
      </w:r>
      <w:r>
        <w:rPr>
          <w:rFonts w:ascii="仿宋" w:eastAsia="仿宋" w:hAnsi="仿宋" w:cs="仿宋"/>
        </w:rPr>
        <w:t>”</w:t>
      </w:r>
      <w:r>
        <w:rPr>
          <w:rFonts w:ascii="仿宋" w:eastAsia="仿宋" w:hAnsi="仿宋" w:cs="仿宋"/>
        </w:rPr>
        <w:t>书写</w:t>
      </w:r>
      <w:r>
        <w:rPr>
          <w:rFonts w:ascii="仿宋" w:eastAsia="仿宋" w:hAnsi="仿宋" w:cs="仿宋"/>
        </w:rPr>
        <w:t>“</w:t>
      </w:r>
      <w:r>
        <w:rPr>
          <w:rFonts w:ascii="仿宋" w:eastAsia="仿宋" w:hAnsi="仿宋" w:cs="仿宋"/>
        </w:rPr>
        <w:t>履职尽责</w:t>
      </w:r>
      <w:r>
        <w:rPr>
          <w:rFonts w:ascii="仿宋" w:eastAsia="仿宋" w:hAnsi="仿宋" w:cs="仿宋"/>
        </w:rPr>
        <w:t>”</w:t>
      </w:r>
      <w:r>
        <w:rPr>
          <w:rFonts w:ascii="仿宋" w:eastAsia="仿宋" w:hAnsi="仿宋" w:cs="仿宋"/>
        </w:rPr>
        <w:t>，促进业务水平精细化。</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）聚焦旅游诉求热点类型，推进受理</w:t>
      </w:r>
      <w:r>
        <w:rPr>
          <w:rFonts w:ascii="仿宋" w:eastAsia="仿宋" w:hAnsi="仿宋" w:cs="仿宋"/>
        </w:rPr>
        <w:t>再优化。旅游诉求处理工作进一步适应新质生产力驱动下的旅游高质量发展新形势新要求，一要关注舆情发展，妥善处置诉求，确保及时响应、耐心调解、高效反馈，争取达标考核百分百满意率；二要梳理典型案例，强化提醒教育，落实工作台账、数据上报制度；三要开展类型共性分析，梳理同类诉求并抓好典型个例剖析，推动诉求调解、文明宣讲双条线实现调解一例、警示一域的综合效应；四要加强部门合作，交流实例，探讨方法，不断提升旅游投诉处理的效率和质量。</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）彰显志愿服务品牌效应，培育力量更专业。第一，培训手段强调多元化，除传统的集中授课、实</w:t>
      </w:r>
      <w:r>
        <w:rPr>
          <w:rFonts w:ascii="仿宋" w:eastAsia="仿宋" w:hAnsi="仿宋" w:cs="仿宋"/>
        </w:rPr>
        <w:t>地培训方式外，借助在线课程、移动应用、实地培训和远程直播等现代信息技术手段，提升志愿者培训的便捷性和可及性。第二，培训项目强</w:t>
      </w:r>
      <w:r>
        <w:rPr>
          <w:rFonts w:ascii="仿宋" w:eastAsia="仿宋" w:hAnsi="仿宋" w:cs="仿宋"/>
        </w:rPr>
        <w:lastRenderedPageBreak/>
        <w:t>调科学性，涵盖志愿服务理念、职业道德规范、专业技能及心理辅导等方面，通过理论学习与实践演练相结合的方式，养成实践技能提升解决问题能力，从而灵活应对上岗的多样化需求。</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弘扬文明旅游新风尚，宣传服务更多元。一是组织旅游志愿者协会重点保障江阴外滩、长江大保护展示馆等市级重要涉旅场所深入开展志愿服务，正面引导带动文明理念传播，反面曝光促进文明行为养成，保驾护航江阴旅游，擦亮文明安全底色；</w:t>
      </w:r>
      <w:r>
        <w:rPr>
          <w:rFonts w:ascii="仿宋" w:eastAsia="仿宋" w:hAnsi="仿宋" w:cs="仿宋"/>
        </w:rPr>
        <w:t>二是以协会品牌</w:t>
      </w:r>
      <w:r>
        <w:rPr>
          <w:rFonts w:ascii="仿宋" w:eastAsia="仿宋" w:hAnsi="仿宋" w:cs="仿宋"/>
        </w:rPr>
        <w:t>“</w:t>
      </w:r>
      <w:r>
        <w:rPr>
          <w:rFonts w:ascii="仿宋" w:eastAsia="仿宋" w:hAnsi="仿宋" w:cs="仿宋"/>
        </w:rPr>
        <w:t>文明宣讲</w:t>
      </w:r>
      <w:r>
        <w:rPr>
          <w:rFonts w:ascii="仿宋" w:eastAsia="仿宋" w:hAnsi="仿宋" w:cs="仿宋"/>
        </w:rPr>
        <w:t>”</w:t>
      </w:r>
      <w:r>
        <w:rPr>
          <w:rFonts w:ascii="仿宋" w:eastAsia="仿宋" w:hAnsi="仿宋" w:cs="仿宋"/>
        </w:rPr>
        <w:t>项目为抓手，结对更多社区、村建立</w:t>
      </w:r>
      <w:r>
        <w:rPr>
          <w:rFonts w:ascii="仿宋" w:eastAsia="仿宋" w:hAnsi="仿宋" w:cs="仿宋"/>
        </w:rPr>
        <w:t>“</w:t>
      </w:r>
      <w:r>
        <w:rPr>
          <w:rFonts w:ascii="仿宋" w:eastAsia="仿宋" w:hAnsi="仿宋" w:cs="仿宋"/>
        </w:rPr>
        <w:t>公益宣讲进社区</w:t>
      </w:r>
      <w:r>
        <w:rPr>
          <w:rFonts w:ascii="仿宋" w:eastAsia="仿宋" w:hAnsi="仿宋" w:cs="仿宋"/>
        </w:rPr>
        <w:t>”</w:t>
      </w:r>
      <w:r>
        <w:rPr>
          <w:rFonts w:ascii="仿宋" w:eastAsia="仿宋" w:hAnsi="仿宋" w:cs="仿宋"/>
        </w:rPr>
        <w:t>合作长效机制，有机融合江阴文旅资源、旅游安全、文明出行三个板块，并根据社区居民需求推荐江阴游程；三是坚持需求导向，发布出游提示。于假期出游高峰及城市热门活动期间加大普法宣传力度，引导社区运用新媒体平台发布安全文明旅游提示，进一步推动文明旅游、安全出行宣贯遍地开花。</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、秉持</w:t>
      </w:r>
      <w:r>
        <w:rPr>
          <w:rFonts w:ascii="仿宋" w:eastAsia="仿宋" w:hAnsi="仿宋" w:cs="仿宋"/>
        </w:rPr>
        <w:t>“</w:t>
      </w:r>
      <w:r>
        <w:rPr>
          <w:rFonts w:ascii="仿宋" w:eastAsia="仿宋" w:hAnsi="仿宋" w:cs="仿宋"/>
        </w:rPr>
        <w:t>热心</w:t>
      </w:r>
      <w:r>
        <w:rPr>
          <w:rFonts w:ascii="仿宋" w:eastAsia="仿宋" w:hAnsi="仿宋" w:cs="仿宋"/>
        </w:rPr>
        <w:t>”</w:t>
      </w:r>
      <w:r>
        <w:rPr>
          <w:rFonts w:ascii="仿宋" w:eastAsia="仿宋" w:hAnsi="仿宋" w:cs="仿宋"/>
        </w:rPr>
        <w:t>加强联动协作，共谋文旅发展活力化。</w:t>
      </w:r>
    </w:p>
    <w:p w:rsidR="008E00C4" w:rsidRDefault="0000011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积极配合相关科室进行城市文化旅游宣传推广和协助旅游市场秩序维护整治；传承好</w:t>
      </w:r>
      <w:r>
        <w:rPr>
          <w:rFonts w:ascii="仿宋" w:eastAsia="仿宋" w:hAnsi="仿宋" w:cs="仿宋"/>
        </w:rPr>
        <w:t>“</w:t>
      </w:r>
      <w:r>
        <w:rPr>
          <w:rFonts w:ascii="仿宋" w:eastAsia="仿宋" w:hAnsi="仿宋" w:cs="仿宋"/>
        </w:rPr>
        <w:t>志在旅游</w:t>
      </w:r>
      <w:r>
        <w:rPr>
          <w:rFonts w:ascii="仿宋" w:eastAsia="仿宋" w:hAnsi="仿宋" w:cs="仿宋"/>
        </w:rPr>
        <w:t>”</w:t>
      </w:r>
      <w:r>
        <w:rPr>
          <w:rFonts w:ascii="仿宋" w:eastAsia="仿宋" w:hAnsi="仿宋" w:cs="仿宋"/>
        </w:rPr>
        <w:t>品牌影响力及文明的渗透力，利用好</w:t>
      </w:r>
      <w:r>
        <w:rPr>
          <w:rFonts w:ascii="仿宋" w:eastAsia="仿宋" w:hAnsi="仿宋" w:cs="仿宋"/>
        </w:rPr>
        <w:t>国家财政货币政策把旅游公共服务纳入文旅事业项目中，通过文明旅游服务促进旅游文明及文旅消费。</w:t>
      </w:r>
    </w:p>
    <w:p w:rsidR="008E00C4" w:rsidRDefault="008E00C4">
      <w:pPr>
        <w:pStyle w:val="a4"/>
        <w:spacing w:line="235" w:lineRule="auto"/>
        <w:ind w:leftChars="300" w:left="669" w:right="2414" w:hanging="9"/>
        <w:jc w:val="both"/>
        <w:rPr>
          <w:rFonts w:ascii="仿宋" w:eastAsia="仿宋" w:hAnsi="仿宋" w:cs="仿宋"/>
        </w:rPr>
        <w:sectPr w:rsidR="008E00C4">
          <w:footerReference w:type="default" r:id="rId10"/>
          <w:pgSz w:w="11906" w:h="16838"/>
          <w:pgMar w:top="1580" w:right="1020" w:bottom="770" w:left="1020" w:header="170" w:footer="280" w:gutter="0"/>
          <w:pgNumType w:fmt="numberInDash"/>
          <w:cols w:space="720"/>
          <w:formProt w:val="0"/>
          <w:docGrid w:linePitch="100"/>
        </w:sectPr>
      </w:pPr>
    </w:p>
    <w:p w:rsidR="008E00C4" w:rsidRDefault="008E00C4">
      <w:pPr>
        <w:pStyle w:val="a4"/>
        <w:spacing w:line="360" w:lineRule="auto"/>
        <w:ind w:leftChars="200" w:left="440" w:rightChars="229" w:right="504" w:firstLine="658"/>
        <w:jc w:val="both"/>
        <w:rPr>
          <w:rFonts w:ascii="仿宋" w:eastAsia="仿宋" w:hAnsi="仿宋" w:cs="仿宋"/>
          <w:lang w:val="en-US"/>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8E00C4">
      <w:pPr>
        <w:pStyle w:val="10"/>
        <w:tabs>
          <w:tab w:val="left" w:pos="1609"/>
        </w:tabs>
        <w:spacing w:before="12" w:line="300" w:lineRule="auto"/>
        <w:ind w:left="340" w:right="567" w:firstLine="0"/>
        <w:jc w:val="center"/>
        <w:rPr>
          <w:rFonts w:ascii="仿宋" w:eastAsia="仿宋" w:hAnsi="仿宋" w:cs="仿宋"/>
          <w:b/>
          <w:bCs/>
          <w:sz w:val="44"/>
          <w:szCs w:val="44"/>
        </w:rPr>
      </w:pPr>
    </w:p>
    <w:p w:rsidR="008E00C4" w:rsidRDefault="00000116">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8E00C4" w:rsidRDefault="00000116">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2025</w:t>
      </w:r>
      <w:r>
        <w:rPr>
          <w:rFonts w:ascii="仿宋" w:eastAsia="仿宋" w:hAnsi="仿宋" w:cs="仿宋" w:hint="eastAsia"/>
          <w:b/>
          <w:bCs/>
          <w:sz w:val="44"/>
          <w:szCs w:val="44"/>
        </w:rPr>
        <w:t>年度</w:t>
      </w:r>
    </w:p>
    <w:p w:rsidR="008E00C4" w:rsidRDefault="00000116">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江阴市旅游事业发展服务中心</w:t>
      </w:r>
    </w:p>
    <w:p w:rsidR="008E00C4" w:rsidRDefault="00000116">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firstRow="1" w:lastRow="0" w:firstColumn="1" w:lastColumn="0" w:noHBand="0" w:noVBand="1"/>
      </w:tblPr>
      <w:tblGrid>
        <w:gridCol w:w="3908"/>
        <w:gridCol w:w="1869"/>
        <w:gridCol w:w="3704"/>
        <w:gridCol w:w="67"/>
        <w:gridCol w:w="1781"/>
      </w:tblGrid>
      <w:tr w:rsidR="008E00C4">
        <w:trPr>
          <w:trHeight w:val="116"/>
          <w:jc w:val="center"/>
        </w:trPr>
        <w:tc>
          <w:tcPr>
            <w:tcW w:w="11329" w:type="dxa"/>
            <w:gridSpan w:val="5"/>
            <w:vAlign w:val="center"/>
          </w:tcPr>
          <w:p w:rsidR="008E00C4" w:rsidRDefault="00000116">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8E00C4">
        <w:trPr>
          <w:trHeight w:val="348"/>
          <w:jc w:val="center"/>
        </w:trPr>
        <w:tc>
          <w:tcPr>
            <w:tcW w:w="11329" w:type="dxa"/>
            <w:gridSpan w:val="5"/>
          </w:tcPr>
          <w:p w:rsidR="008E00C4" w:rsidRDefault="00000116">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8E00C4">
        <w:trPr>
          <w:trHeight w:val="333"/>
          <w:jc w:val="center"/>
        </w:trPr>
        <w:tc>
          <w:tcPr>
            <w:tcW w:w="9481" w:type="dxa"/>
            <w:gridSpan w:val="3"/>
            <w:tcBorders>
              <w:bottom w:val="single" w:sz="4" w:space="0" w:color="000000"/>
            </w:tcBorders>
            <w:vAlign w:val="center"/>
          </w:tcPr>
          <w:p w:rsidR="008E00C4" w:rsidRDefault="00000116">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江阴市旅游事业发展服务中心</w:t>
            </w:r>
          </w:p>
        </w:tc>
        <w:tc>
          <w:tcPr>
            <w:tcW w:w="1848" w:type="dxa"/>
            <w:gridSpan w:val="2"/>
            <w:tcBorders>
              <w:bottom w:val="single" w:sz="4" w:space="0" w:color="000000"/>
            </w:tcBorders>
            <w:vAlign w:val="center"/>
          </w:tcPr>
          <w:p w:rsidR="008E00C4" w:rsidRDefault="00000116">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r>
      <w:tr w:rsidR="008E00C4">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8E00C4">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310.81</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205.52</w:t>
            </w: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35.93</w:t>
            </w: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10.32</w:t>
            </w: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r>
              <w:rPr>
                <w:rFonts w:ascii="仿宋" w:eastAsia="仿宋" w:hAnsi="仿宋" w:cs="仿宋" w:hint="eastAsia"/>
                <w:color w:val="000000"/>
                <w:lang w:eastAsia="ar-SA"/>
              </w:rPr>
              <w:t xml:space="preserve"> </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59.04</w:t>
            </w: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8E00C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keepNext/>
              <w:keepLines/>
              <w:jc w:val="right"/>
              <w:rPr>
                <w:rFonts w:ascii="仿宋" w:eastAsia="仿宋" w:hAnsi="仿宋" w:cs="仿宋"/>
                <w:color w:val="000000"/>
                <w:lang w:eastAsia="ar-SA"/>
              </w:rPr>
            </w:pPr>
          </w:p>
        </w:tc>
      </w:tr>
      <w:tr w:rsidR="008E00C4">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right"/>
              <w:rPr>
                <w:rFonts w:ascii="仿宋" w:eastAsia="仿宋" w:hAnsi="仿宋" w:cs="仿宋"/>
                <w:b/>
                <w:bCs/>
                <w:color w:val="000000"/>
                <w:lang w:val="en-US"/>
              </w:rPr>
            </w:pPr>
            <w:r>
              <w:rPr>
                <w:rFonts w:ascii="仿宋" w:eastAsia="仿宋" w:hAnsi="仿宋" w:cs="仿宋" w:hint="eastAsia"/>
                <w:b/>
                <w:bCs/>
                <w:color w:val="000000"/>
                <w:lang w:val="en-US"/>
              </w:rPr>
              <w:t>310.81</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right"/>
              <w:rPr>
                <w:rFonts w:ascii="仿宋" w:eastAsia="仿宋" w:hAnsi="仿宋" w:cs="仿宋"/>
                <w:b/>
                <w:bCs/>
                <w:color w:val="000000"/>
                <w:lang w:val="en-US"/>
              </w:rPr>
            </w:pPr>
            <w:r>
              <w:rPr>
                <w:rFonts w:ascii="仿宋" w:eastAsia="仿宋" w:hAnsi="仿宋" w:cs="仿宋" w:hint="eastAsia"/>
                <w:b/>
                <w:bCs/>
                <w:color w:val="000000"/>
                <w:lang w:val="en-US"/>
              </w:rPr>
              <w:t>310.81</w:t>
            </w:r>
          </w:p>
        </w:tc>
      </w:tr>
      <w:tr w:rsidR="008E00C4">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8E00C4">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8E00C4">
            <w:pPr>
              <w:jc w:val="right"/>
              <w:rPr>
                <w:rFonts w:ascii="仿宋" w:eastAsia="仿宋" w:hAnsi="仿宋" w:cs="仿宋"/>
                <w:b/>
                <w:bCs/>
                <w:color w:val="000000"/>
                <w:lang w:val="en-US"/>
              </w:rPr>
            </w:pPr>
          </w:p>
        </w:tc>
      </w:tr>
      <w:tr w:rsidR="008E00C4">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310.81</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8E00C4" w:rsidRDefault="00000116">
            <w:pPr>
              <w:jc w:val="right"/>
              <w:rPr>
                <w:rFonts w:ascii="仿宋" w:eastAsia="仿宋" w:hAnsi="仿宋" w:cs="仿宋"/>
                <w:b/>
                <w:bCs/>
                <w:color w:val="000000"/>
                <w:lang w:val="en-US"/>
              </w:rPr>
            </w:pPr>
            <w:r>
              <w:rPr>
                <w:rFonts w:ascii="仿宋" w:eastAsia="仿宋" w:hAnsi="仿宋" w:cs="仿宋" w:hint="eastAsia"/>
                <w:b/>
                <w:bCs/>
                <w:color w:val="000000"/>
                <w:lang w:val="en-US"/>
              </w:rPr>
              <w:t>310.81</w:t>
            </w:r>
          </w:p>
        </w:tc>
      </w:tr>
    </w:tbl>
    <w:p w:rsidR="008E00C4" w:rsidRDefault="008E00C4">
      <w:pPr>
        <w:spacing w:before="66"/>
        <w:rPr>
          <w:rFonts w:ascii="仿宋" w:eastAsia="仿宋" w:hAnsi="仿宋" w:cs="仿宋"/>
          <w:b/>
          <w:bCs/>
          <w:color w:val="000000"/>
        </w:rPr>
        <w:sectPr w:rsidR="008E00C4">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8E00C4">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8E00C4" w:rsidRDefault="00000116">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8E00C4">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8E00C4" w:rsidRDefault="00000116">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8E00C4">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8E00C4" w:rsidRDefault="00000116">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8E00C4">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8E00C4">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8E00C4" w:rsidRDefault="00000116">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8E00C4">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310.81</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310.81</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310.81</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val="en-US"/>
              </w:rPr>
            </w:pPr>
          </w:p>
        </w:tc>
      </w:tr>
      <w:tr w:rsidR="008E00C4">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 xml:space="preserve">  358019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江阴市旅游事业发展服务中心</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310.81</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310.81</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310.81</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pacing w:line="34" w:lineRule="atLeast"/>
              <w:ind w:right="45"/>
              <w:jc w:val="right"/>
              <w:rPr>
                <w:rFonts w:ascii="仿宋" w:eastAsia="仿宋" w:hAnsi="仿宋" w:cs="仿宋"/>
                <w:color w:val="000000"/>
                <w:sz w:val="15"/>
                <w:szCs w:val="15"/>
                <w:lang w:eastAsia="ar-SA"/>
              </w:rPr>
            </w:pPr>
          </w:p>
        </w:tc>
      </w:tr>
    </w:tbl>
    <w:p w:rsidR="008E00C4" w:rsidRDefault="008E00C4">
      <w:pPr>
        <w:spacing w:before="66"/>
        <w:rPr>
          <w:rFonts w:ascii="仿宋" w:eastAsia="仿宋" w:hAnsi="仿宋" w:cs="仿宋"/>
          <w:b/>
          <w:bCs/>
        </w:rPr>
        <w:sectPr w:rsidR="008E00C4">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8E00C4">
        <w:trPr>
          <w:trHeight w:val="341"/>
        </w:trPr>
        <w:tc>
          <w:tcPr>
            <w:tcW w:w="15347" w:type="dxa"/>
            <w:gridSpan w:val="8"/>
            <w:vAlign w:val="center"/>
          </w:tcPr>
          <w:p w:rsidR="008E00C4" w:rsidRDefault="00000116">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8E00C4">
        <w:trPr>
          <w:trHeight w:val="321"/>
        </w:trPr>
        <w:tc>
          <w:tcPr>
            <w:tcW w:w="15347" w:type="dxa"/>
            <w:gridSpan w:val="8"/>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8E00C4">
        <w:trPr>
          <w:trHeight w:val="218"/>
        </w:trPr>
        <w:tc>
          <w:tcPr>
            <w:tcW w:w="12030" w:type="dxa"/>
            <w:gridSpan w:val="6"/>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317" w:type="dxa"/>
            <w:gridSpan w:val="2"/>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8E00C4">
        <w:trPr>
          <w:trHeight w:val="533"/>
        </w:trPr>
        <w:tc>
          <w:tcPr>
            <w:tcW w:w="1556"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8E00C4">
        <w:trPr>
          <w:trHeight w:hRule="exact" w:val="375"/>
        </w:trPr>
        <w:tc>
          <w:tcPr>
            <w:tcW w:w="4779" w:type="dxa"/>
            <w:gridSpan w:val="2"/>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1714"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1749" w:type="dxa"/>
            <w:tcBorders>
              <w:left w:val="single" w:sz="4" w:space="0" w:color="000000"/>
              <w:bottom w:val="single" w:sz="4" w:space="0" w:color="000000"/>
            </w:tcBorders>
            <w:vAlign w:val="center"/>
          </w:tcPr>
          <w:p w:rsidR="008E00C4" w:rsidRDefault="008E00C4">
            <w:pPr>
              <w:pStyle w:val="TableParagraph"/>
              <w:jc w:val="right"/>
              <w:rPr>
                <w:rFonts w:ascii="仿宋" w:eastAsia="仿宋" w:hAnsi="仿宋" w:cs="仿宋"/>
              </w:rPr>
            </w:pPr>
          </w:p>
        </w:tc>
        <w:tc>
          <w:tcPr>
            <w:tcW w:w="1868" w:type="dxa"/>
            <w:tcBorders>
              <w:left w:val="single" w:sz="4" w:space="0" w:color="000000"/>
              <w:bottom w:val="single" w:sz="4" w:space="0" w:color="000000"/>
            </w:tcBorders>
            <w:vAlign w:val="center"/>
          </w:tcPr>
          <w:p w:rsidR="008E00C4" w:rsidRDefault="008E00C4">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8E00C4" w:rsidRDefault="008E00C4">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20701</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2070114</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文化和旅游管理事务</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35.93</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35.93</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20805</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34.29</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34.29</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2080505</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2080506</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20899</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2089999</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210</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卫生健康支出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21011</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行政事业单位医疗</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2101102</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事业单位医疗</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22102</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2210201</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2210202</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10.78</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10.78</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r w:rsidR="008E00C4">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 xml:space="preserve">    2210203</w:t>
            </w:r>
          </w:p>
        </w:tc>
        <w:tc>
          <w:tcPr>
            <w:tcW w:w="3223"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29.61</w:t>
            </w:r>
          </w:p>
        </w:tc>
        <w:tc>
          <w:tcPr>
            <w:tcW w:w="1714" w:type="dxa"/>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29.61</w:t>
            </w:r>
          </w:p>
        </w:tc>
        <w:tc>
          <w:tcPr>
            <w:tcW w:w="1749"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8E00C4" w:rsidRDefault="008E00C4">
            <w:pPr>
              <w:pStyle w:val="TableParagraph"/>
              <w:jc w:val="right"/>
              <w:rPr>
                <w:rFonts w:ascii="仿宋" w:eastAsia="仿宋" w:hAnsi="仿宋" w:cs="仿宋"/>
              </w:rPr>
            </w:pPr>
          </w:p>
        </w:tc>
      </w:tr>
    </w:tbl>
    <w:p w:rsidR="008E00C4" w:rsidRDefault="008E00C4">
      <w:pPr>
        <w:spacing w:before="59"/>
        <w:ind w:left="57"/>
        <w:rPr>
          <w:rFonts w:ascii="仿宋" w:eastAsia="仿宋" w:hAnsi="仿宋" w:cs="仿宋"/>
          <w:b/>
          <w:bCs/>
        </w:rPr>
        <w:sectPr w:rsidR="008E00C4">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8E00C4">
        <w:trPr>
          <w:trHeight w:val="319"/>
        </w:trPr>
        <w:tc>
          <w:tcPr>
            <w:tcW w:w="15789" w:type="dxa"/>
            <w:gridSpan w:val="4"/>
          </w:tcPr>
          <w:p w:rsidR="008E00C4" w:rsidRDefault="00000116">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8E00C4">
        <w:trPr>
          <w:trHeight w:val="319"/>
        </w:trPr>
        <w:tc>
          <w:tcPr>
            <w:tcW w:w="15789" w:type="dxa"/>
            <w:gridSpan w:val="4"/>
          </w:tcPr>
          <w:p w:rsidR="008E00C4" w:rsidRDefault="00000116">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8E00C4">
        <w:trPr>
          <w:trHeight w:val="319"/>
        </w:trPr>
        <w:tc>
          <w:tcPr>
            <w:tcW w:w="11890" w:type="dxa"/>
            <w:gridSpan w:val="3"/>
          </w:tcPr>
          <w:p w:rsidR="008E00C4" w:rsidRDefault="0000011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99" w:type="dxa"/>
            <w:vAlign w:val="center"/>
          </w:tcPr>
          <w:p w:rsidR="008E00C4" w:rsidRDefault="00000116">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8E00C4">
        <w:trPr>
          <w:trHeight w:val="196"/>
        </w:trPr>
        <w:tc>
          <w:tcPr>
            <w:tcW w:w="7947" w:type="dxa"/>
            <w:gridSpan w:val="2"/>
            <w:tcBorders>
              <w:top w:val="single" w:sz="4" w:space="0" w:color="000000"/>
              <w:left w:val="single" w:sz="4" w:space="0" w:color="000000"/>
              <w:bottom w:val="single" w:sz="4" w:space="0" w:color="000000"/>
            </w:tcBorders>
          </w:tcPr>
          <w:p w:rsidR="008E00C4" w:rsidRDefault="00000116">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8E00C4" w:rsidRDefault="00000116">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8E00C4">
        <w:trPr>
          <w:trHeight w:val="468"/>
        </w:trPr>
        <w:tc>
          <w:tcPr>
            <w:tcW w:w="3987"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8E00C4" w:rsidRDefault="00000116">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310.81</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205.52</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35.93</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10.32</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（十八）援助其他地区支出</w:t>
            </w:r>
            <w:r>
              <w:rPr>
                <w:rFonts w:ascii="仿宋" w:eastAsia="仿宋" w:hAnsi="仿宋" w:cs="仿宋" w:hint="eastAsia"/>
              </w:rPr>
              <w:t xml:space="preserve"> </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59.04</w:t>
            </w: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（三十）抗疫特别国债安排的支出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lang w:val="en-US"/>
              </w:rPr>
            </w:pPr>
          </w:p>
        </w:tc>
      </w:tr>
      <w:tr w:rsidR="008E00C4">
        <w:trPr>
          <w:cantSplit/>
          <w:trHeight w:hRule="exact" w:val="296"/>
        </w:trPr>
        <w:tc>
          <w:tcPr>
            <w:tcW w:w="3987"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8E00C4" w:rsidRDefault="00000116">
            <w:pPr>
              <w:jc w:val="right"/>
              <w:rPr>
                <w:rFonts w:ascii="仿宋" w:eastAsia="仿宋" w:hAnsi="仿宋" w:cs="仿宋"/>
              </w:rPr>
            </w:pPr>
            <w:r>
              <w:rPr>
                <w:rFonts w:ascii="仿宋" w:eastAsia="仿宋" w:hAnsi="仿宋" w:cs="仿宋" w:hint="eastAsia"/>
              </w:rPr>
              <w:t>310.81</w:t>
            </w:r>
          </w:p>
        </w:tc>
        <w:tc>
          <w:tcPr>
            <w:tcW w:w="3943"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8E00C4" w:rsidRDefault="00000116">
            <w:pPr>
              <w:jc w:val="right"/>
              <w:rPr>
                <w:rFonts w:ascii="仿宋" w:eastAsia="仿宋" w:hAnsi="仿宋" w:cs="仿宋"/>
              </w:rPr>
            </w:pPr>
            <w:r>
              <w:rPr>
                <w:rFonts w:ascii="仿宋" w:eastAsia="仿宋" w:hAnsi="仿宋" w:cs="仿宋" w:hint="eastAsia"/>
              </w:rPr>
              <w:t>310.81</w:t>
            </w:r>
          </w:p>
        </w:tc>
      </w:tr>
    </w:tbl>
    <w:p w:rsidR="008E00C4" w:rsidRDefault="008E00C4">
      <w:pPr>
        <w:ind w:leftChars="-100" w:left="-220"/>
        <w:rPr>
          <w:rFonts w:ascii="仿宋" w:eastAsia="仿宋" w:hAnsi="仿宋" w:cs="仿宋"/>
          <w:b/>
          <w:bCs/>
        </w:rPr>
        <w:sectPr w:rsidR="008E00C4">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8E00C4">
        <w:trPr>
          <w:trHeight w:val="321"/>
        </w:trPr>
        <w:tc>
          <w:tcPr>
            <w:tcW w:w="15216" w:type="dxa"/>
            <w:gridSpan w:val="7"/>
            <w:vAlign w:val="center"/>
          </w:tcPr>
          <w:p w:rsidR="008E00C4" w:rsidRDefault="00000116">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8E00C4">
        <w:trPr>
          <w:trHeight w:val="321"/>
        </w:trPr>
        <w:tc>
          <w:tcPr>
            <w:tcW w:w="15216" w:type="dxa"/>
            <w:gridSpan w:val="7"/>
          </w:tcPr>
          <w:p w:rsidR="008E00C4" w:rsidRDefault="00000116">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8E00C4">
        <w:trPr>
          <w:trHeight w:val="309"/>
        </w:trPr>
        <w:tc>
          <w:tcPr>
            <w:tcW w:w="13552" w:type="dxa"/>
            <w:gridSpan w:val="6"/>
          </w:tcPr>
          <w:p w:rsidR="008E00C4" w:rsidRDefault="00000116">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64" w:type="dxa"/>
            <w:vAlign w:val="center"/>
          </w:tcPr>
          <w:p w:rsidR="008E00C4" w:rsidRDefault="00000116">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8E00C4">
        <w:trPr>
          <w:trHeight w:val="319"/>
        </w:trPr>
        <w:tc>
          <w:tcPr>
            <w:tcW w:w="1846" w:type="dxa"/>
            <w:vMerge w:val="restart"/>
            <w:tcBorders>
              <w:top w:val="single" w:sz="6" w:space="0" w:color="000000"/>
              <w:left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8E00C4">
        <w:trPr>
          <w:trHeight w:val="296"/>
        </w:trPr>
        <w:tc>
          <w:tcPr>
            <w:tcW w:w="1846" w:type="dxa"/>
            <w:vMerge/>
            <w:tcBorders>
              <w:left w:val="single" w:sz="6" w:space="0" w:color="000000"/>
              <w:bottom w:val="single" w:sz="6" w:space="0" w:color="000000"/>
            </w:tcBorders>
            <w:vAlign w:val="center"/>
          </w:tcPr>
          <w:p w:rsidR="008E00C4" w:rsidRDefault="008E00C4">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8E00C4" w:rsidRDefault="008E00C4">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8E00C4" w:rsidRDefault="008E00C4">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8E00C4" w:rsidRDefault="00000116">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8E00C4" w:rsidRDefault="00000116">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8E00C4" w:rsidRDefault="00000116">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8E00C4" w:rsidRDefault="008E00C4">
            <w:pPr>
              <w:spacing w:after="34" w:line="34" w:lineRule="atLeast"/>
              <w:rPr>
                <w:rFonts w:ascii="仿宋" w:eastAsia="仿宋" w:hAnsi="仿宋" w:cs="仿宋"/>
              </w:rPr>
            </w:pPr>
          </w:p>
        </w:tc>
      </w:tr>
      <w:tr w:rsidR="008E00C4">
        <w:trPr>
          <w:trHeight w:hRule="exact" w:val="350"/>
        </w:trPr>
        <w:tc>
          <w:tcPr>
            <w:tcW w:w="6059" w:type="dxa"/>
            <w:gridSpan w:val="2"/>
            <w:tcBorders>
              <w:left w:val="single" w:sz="6" w:space="0" w:color="000000"/>
              <w:bottom w:val="single" w:sz="6" w:space="0" w:color="000000"/>
            </w:tcBorders>
            <w:vAlign w:val="center"/>
          </w:tcPr>
          <w:p w:rsidR="008E00C4" w:rsidRDefault="00000116">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310.81</w:t>
            </w:r>
          </w:p>
        </w:tc>
        <w:tc>
          <w:tcPr>
            <w:tcW w:w="1827" w:type="dxa"/>
            <w:tcBorders>
              <w:left w:val="single" w:sz="6" w:space="0" w:color="000000"/>
              <w:bottom w:val="single" w:sz="6" w:space="0" w:color="000000"/>
            </w:tcBorders>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310.81</w:t>
            </w:r>
          </w:p>
        </w:tc>
        <w:tc>
          <w:tcPr>
            <w:tcW w:w="1813" w:type="dxa"/>
            <w:tcBorders>
              <w:left w:val="single" w:sz="6" w:space="0" w:color="000000"/>
              <w:bottom w:val="single" w:sz="6" w:space="0" w:color="000000"/>
            </w:tcBorders>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300.67</w:t>
            </w:r>
          </w:p>
        </w:tc>
        <w:tc>
          <w:tcPr>
            <w:tcW w:w="1813" w:type="dxa"/>
            <w:tcBorders>
              <w:left w:val="single" w:sz="6" w:space="0" w:color="000000"/>
              <w:bottom w:val="single" w:sz="6" w:space="0" w:color="000000"/>
            </w:tcBorders>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10.14</w:t>
            </w:r>
          </w:p>
        </w:tc>
        <w:tc>
          <w:tcPr>
            <w:tcW w:w="1664" w:type="dxa"/>
            <w:tcBorders>
              <w:left w:val="single" w:sz="6" w:space="0" w:color="000000"/>
              <w:bottom w:val="single" w:sz="6" w:space="0" w:color="000000"/>
              <w:right w:val="single" w:sz="6" w:space="0" w:color="000000"/>
            </w:tcBorders>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195.38</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10.14</w:t>
            </w: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20701</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195.38</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10.14</w:t>
            </w: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2070114</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文化和旅游管理事务</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205.52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195.38</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10.14</w:t>
            </w: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35.93</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35.93</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35.93</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34.29</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34.29</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34.29</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2080505</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22.86</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22.86</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22.86</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2080506</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11.43</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11.43</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11.43</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20899</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2089999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1.64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210</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卫生健康支出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21011</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行政事业单位医疗</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2101102</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事业单位医疗</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10.32</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59.04</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18.65</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18.65</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18.65</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r w:rsidR="008E00C4">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 xml:space="preserve">    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29.61</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29.61</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spacing w:after="34" w:line="34" w:lineRule="atLeast"/>
              <w:jc w:val="right"/>
              <w:rPr>
                <w:rFonts w:ascii="仿宋" w:eastAsia="仿宋" w:hAnsi="仿宋" w:cs="仿宋"/>
              </w:rPr>
            </w:pPr>
            <w:r>
              <w:rPr>
                <w:rFonts w:ascii="仿宋" w:eastAsia="仿宋" w:hAnsi="仿宋" w:cs="仿宋" w:hint="eastAsia"/>
              </w:rPr>
              <w:t>29.61</w:t>
            </w:r>
          </w:p>
        </w:tc>
        <w:tc>
          <w:tcPr>
            <w:tcW w:w="1813"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spacing w:after="34" w:line="34" w:lineRule="atLeast"/>
              <w:jc w:val="right"/>
              <w:rPr>
                <w:rFonts w:ascii="仿宋" w:eastAsia="仿宋" w:hAnsi="仿宋" w:cs="仿宋"/>
              </w:rPr>
            </w:pPr>
          </w:p>
        </w:tc>
      </w:tr>
    </w:tbl>
    <w:p w:rsidR="008E00C4" w:rsidRDefault="008E00C4">
      <w:pPr>
        <w:tabs>
          <w:tab w:val="left" w:pos="55"/>
        </w:tabs>
        <w:jc w:val="both"/>
        <w:rPr>
          <w:rFonts w:ascii="仿宋" w:eastAsia="仿宋" w:hAnsi="仿宋" w:cs="仿宋"/>
          <w:b/>
          <w:bCs/>
        </w:rPr>
        <w:sectPr w:rsidR="008E00C4">
          <w:footerReference w:type="default" r:id="rId15"/>
          <w:pgSz w:w="16838" w:h="11906" w:orient="landscape"/>
          <w:pgMar w:top="720" w:right="720" w:bottom="720" w:left="720" w:header="170" w:footer="280" w:gutter="0"/>
          <w:pgNumType w:fmt="numberInDash"/>
          <w:cols w:space="720"/>
          <w:formProt w:val="0"/>
          <w:docGrid w:linePitch="100"/>
        </w:sectPr>
      </w:pPr>
    </w:p>
    <w:p w:rsidR="008E00C4" w:rsidRDefault="008E00C4">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8E00C4">
        <w:trPr>
          <w:trHeight w:val="319"/>
        </w:trPr>
        <w:tc>
          <w:tcPr>
            <w:tcW w:w="10817" w:type="dxa"/>
            <w:gridSpan w:val="5"/>
            <w:vAlign w:val="center"/>
          </w:tcPr>
          <w:p w:rsidR="008E00C4" w:rsidRDefault="00000116">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8E00C4">
        <w:trPr>
          <w:trHeight w:val="319"/>
        </w:trPr>
        <w:tc>
          <w:tcPr>
            <w:tcW w:w="10817" w:type="dxa"/>
            <w:gridSpan w:val="5"/>
          </w:tcPr>
          <w:p w:rsidR="008E00C4" w:rsidRDefault="00000116">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8E00C4">
        <w:trPr>
          <w:trHeight w:val="319"/>
        </w:trPr>
        <w:tc>
          <w:tcPr>
            <w:tcW w:w="8760" w:type="dxa"/>
            <w:gridSpan w:val="4"/>
          </w:tcPr>
          <w:p w:rsidR="008E00C4" w:rsidRDefault="0000011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057" w:type="dxa"/>
            <w:vAlign w:val="center"/>
          </w:tcPr>
          <w:p w:rsidR="008E00C4" w:rsidRDefault="00000116">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8E00C4">
        <w:trPr>
          <w:trHeight w:val="243"/>
        </w:trPr>
        <w:tc>
          <w:tcPr>
            <w:tcW w:w="4673" w:type="dxa"/>
            <w:gridSpan w:val="2"/>
            <w:tcBorders>
              <w:top w:val="single" w:sz="4" w:space="0" w:color="000000"/>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8E00C4">
        <w:trPr>
          <w:trHeight w:val="267"/>
        </w:trPr>
        <w:tc>
          <w:tcPr>
            <w:tcW w:w="1131"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公用经费</w:t>
            </w:r>
          </w:p>
        </w:tc>
      </w:tr>
      <w:tr w:rsidR="008E00C4">
        <w:trPr>
          <w:trHeight w:hRule="exact" w:val="350"/>
        </w:trPr>
        <w:tc>
          <w:tcPr>
            <w:tcW w:w="4673" w:type="dxa"/>
            <w:gridSpan w:val="2"/>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2040"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300.67</w:t>
            </w:r>
          </w:p>
        </w:tc>
        <w:tc>
          <w:tcPr>
            <w:tcW w:w="2057" w:type="dxa"/>
            <w:tcBorders>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300.34</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300.34</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36.80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36.80</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46.39</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46.39</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75.32</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75.32</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3.96</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3.96</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71.77</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71.77</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1.20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1.20</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3.54</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3.54</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0.50</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0.90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0.90</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2.20</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w:t>
            </w: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2040"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2057"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bl>
    <w:p w:rsidR="008E00C4" w:rsidRDefault="008E00C4">
      <w:pPr>
        <w:spacing w:line="255" w:lineRule="exact"/>
        <w:rPr>
          <w:rFonts w:ascii="仿宋" w:eastAsia="仿宋" w:hAnsi="仿宋" w:cs="仿宋"/>
          <w:b/>
          <w:bCs/>
        </w:rPr>
        <w:sectPr w:rsidR="008E00C4">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8E00C4">
        <w:trPr>
          <w:trHeight w:val="321"/>
        </w:trPr>
        <w:tc>
          <w:tcPr>
            <w:tcW w:w="15216" w:type="dxa"/>
            <w:gridSpan w:val="7"/>
            <w:vAlign w:val="center"/>
          </w:tcPr>
          <w:p w:rsidR="008E00C4" w:rsidRDefault="00000116">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8E00C4">
        <w:trPr>
          <w:trHeight w:val="321"/>
        </w:trPr>
        <w:tc>
          <w:tcPr>
            <w:tcW w:w="15216" w:type="dxa"/>
            <w:gridSpan w:val="7"/>
          </w:tcPr>
          <w:p w:rsidR="008E00C4" w:rsidRDefault="00000116">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8E00C4">
        <w:trPr>
          <w:trHeight w:val="288"/>
        </w:trPr>
        <w:tc>
          <w:tcPr>
            <w:tcW w:w="13566" w:type="dxa"/>
            <w:gridSpan w:val="6"/>
          </w:tcPr>
          <w:p w:rsidR="008E00C4" w:rsidRDefault="00000116">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50" w:type="dxa"/>
            <w:vAlign w:val="center"/>
          </w:tcPr>
          <w:p w:rsidR="008E00C4" w:rsidRDefault="00000116">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8E00C4">
        <w:trPr>
          <w:trHeight w:val="319"/>
        </w:trPr>
        <w:tc>
          <w:tcPr>
            <w:tcW w:w="1792" w:type="dxa"/>
            <w:vMerge w:val="restart"/>
            <w:tcBorders>
              <w:top w:val="single" w:sz="6" w:space="0" w:color="000000"/>
              <w:left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项目支出</w:t>
            </w:r>
          </w:p>
        </w:tc>
      </w:tr>
      <w:tr w:rsidR="008E00C4">
        <w:trPr>
          <w:trHeight w:val="341"/>
        </w:trPr>
        <w:tc>
          <w:tcPr>
            <w:tcW w:w="1792" w:type="dxa"/>
            <w:vMerge/>
            <w:tcBorders>
              <w:left w:val="single" w:sz="6" w:space="0" w:color="000000"/>
              <w:bottom w:val="single" w:sz="6" w:space="0" w:color="000000"/>
            </w:tcBorders>
            <w:vAlign w:val="center"/>
          </w:tcPr>
          <w:p w:rsidR="008E00C4" w:rsidRDefault="008E00C4">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8E00C4" w:rsidRDefault="008E00C4">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8E00C4" w:rsidRDefault="008E00C4">
            <w:pPr>
              <w:rPr>
                <w:rFonts w:ascii="仿宋" w:eastAsia="仿宋" w:hAnsi="仿宋" w:cs="仿宋"/>
              </w:rPr>
            </w:pPr>
          </w:p>
        </w:tc>
        <w:tc>
          <w:tcPr>
            <w:tcW w:w="1693" w:type="dxa"/>
            <w:tcBorders>
              <w:left w:val="single" w:sz="6" w:space="0" w:color="000000"/>
              <w:bottom w:val="single" w:sz="6" w:space="0" w:color="000000"/>
            </w:tcBorders>
            <w:vAlign w:val="center"/>
          </w:tcPr>
          <w:p w:rsidR="008E00C4" w:rsidRDefault="00000116">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8E00C4" w:rsidRDefault="00000116">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8E00C4" w:rsidRDefault="00000116">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8E00C4" w:rsidRDefault="008E00C4">
            <w:pPr>
              <w:rPr>
                <w:rFonts w:ascii="仿宋" w:eastAsia="仿宋" w:hAnsi="仿宋" w:cs="仿宋"/>
              </w:rPr>
            </w:pPr>
          </w:p>
        </w:tc>
      </w:tr>
      <w:tr w:rsidR="008E00C4">
        <w:trPr>
          <w:trHeight w:hRule="exact" w:val="378"/>
        </w:trPr>
        <w:tc>
          <w:tcPr>
            <w:tcW w:w="6099" w:type="dxa"/>
            <w:gridSpan w:val="2"/>
            <w:tcBorders>
              <w:left w:val="single" w:sz="6" w:space="0" w:color="000000"/>
              <w:bottom w:val="single" w:sz="6"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1693" w:type="dxa"/>
            <w:tcBorders>
              <w:left w:val="single" w:sz="6" w:space="0" w:color="000000"/>
              <w:bottom w:val="single" w:sz="6"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1987" w:type="dxa"/>
            <w:tcBorders>
              <w:left w:val="single" w:sz="6" w:space="0" w:color="000000"/>
              <w:bottom w:val="single" w:sz="6"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300.67</w:t>
            </w:r>
          </w:p>
        </w:tc>
        <w:tc>
          <w:tcPr>
            <w:tcW w:w="1827" w:type="dxa"/>
            <w:tcBorders>
              <w:left w:val="single" w:sz="6" w:space="0" w:color="000000"/>
              <w:bottom w:val="single" w:sz="6" w:space="0" w:color="000000"/>
            </w:tcBorders>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1650" w:type="dxa"/>
            <w:tcBorders>
              <w:left w:val="single" w:sz="6" w:space="0" w:color="000000"/>
              <w:bottom w:val="single" w:sz="6" w:space="0" w:color="000000"/>
              <w:right w:val="single" w:sz="6" w:space="0" w:color="000000"/>
            </w:tcBorders>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195.38</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20701</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195.38</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2070114</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文化和旅游管理事务</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205.52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195.38</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35.93</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35.93</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35.93</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34.29</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34.29</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34.29</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2080505</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2080506</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20899</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2089999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210</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卫生健康支出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21011</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行政事业单位医疗</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2101102</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事业单位医疗</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59.04</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10.78</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10.78</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29.61</w:t>
            </w:r>
          </w:p>
        </w:tc>
        <w:tc>
          <w:tcPr>
            <w:tcW w:w="1693"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29.61</w:t>
            </w:r>
          </w:p>
        </w:tc>
        <w:tc>
          <w:tcPr>
            <w:tcW w:w="1987" w:type="dxa"/>
            <w:tcBorders>
              <w:top w:val="single" w:sz="6" w:space="0" w:color="000000"/>
              <w:left w:val="single" w:sz="4" w:space="0" w:color="000000"/>
              <w:bottom w:val="single" w:sz="6"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29.61</w:t>
            </w:r>
          </w:p>
        </w:tc>
        <w:tc>
          <w:tcPr>
            <w:tcW w:w="1827" w:type="dxa"/>
            <w:tcBorders>
              <w:top w:val="single" w:sz="6" w:space="0" w:color="000000"/>
              <w:left w:val="single" w:sz="4" w:space="0" w:color="000000"/>
              <w:bottom w:val="single" w:sz="6"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8E00C4" w:rsidRDefault="008E00C4">
            <w:pPr>
              <w:pStyle w:val="TableParagraph"/>
              <w:jc w:val="right"/>
              <w:rPr>
                <w:rFonts w:ascii="仿宋" w:eastAsia="仿宋" w:hAnsi="仿宋" w:cs="仿宋"/>
              </w:rPr>
            </w:pPr>
          </w:p>
        </w:tc>
      </w:tr>
    </w:tbl>
    <w:p w:rsidR="008E00C4" w:rsidRDefault="008E00C4">
      <w:pPr>
        <w:spacing w:before="25"/>
        <w:rPr>
          <w:rFonts w:ascii="仿宋" w:eastAsia="仿宋" w:hAnsi="仿宋" w:cs="仿宋"/>
          <w:b/>
          <w:bCs/>
        </w:rPr>
        <w:sectPr w:rsidR="008E00C4">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8E00C4">
        <w:trPr>
          <w:trHeight w:val="319"/>
        </w:trPr>
        <w:tc>
          <w:tcPr>
            <w:tcW w:w="10954" w:type="dxa"/>
            <w:gridSpan w:val="5"/>
          </w:tcPr>
          <w:p w:rsidR="008E00C4" w:rsidRDefault="00000116">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8E00C4">
        <w:trPr>
          <w:trHeight w:val="189"/>
        </w:trPr>
        <w:tc>
          <w:tcPr>
            <w:tcW w:w="10954" w:type="dxa"/>
            <w:gridSpan w:val="5"/>
          </w:tcPr>
          <w:p w:rsidR="008E00C4" w:rsidRDefault="00000116">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8E00C4">
        <w:trPr>
          <w:trHeight w:val="138"/>
        </w:trPr>
        <w:tc>
          <w:tcPr>
            <w:tcW w:w="9281" w:type="dxa"/>
            <w:gridSpan w:val="4"/>
            <w:vAlign w:val="center"/>
          </w:tcPr>
          <w:p w:rsidR="008E00C4" w:rsidRDefault="0000011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73" w:type="dxa"/>
            <w:vAlign w:val="center"/>
          </w:tcPr>
          <w:p w:rsidR="008E00C4" w:rsidRDefault="00000116">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8E00C4">
        <w:trPr>
          <w:trHeight w:val="180"/>
        </w:trPr>
        <w:tc>
          <w:tcPr>
            <w:tcW w:w="4894" w:type="dxa"/>
            <w:gridSpan w:val="2"/>
            <w:tcBorders>
              <w:top w:val="single" w:sz="4" w:space="0" w:color="000000"/>
              <w:left w:val="single" w:sz="4" w:space="0" w:color="000000"/>
              <w:bottom w:val="single" w:sz="4" w:space="0" w:color="000000"/>
            </w:tcBorders>
            <w:vAlign w:val="center"/>
          </w:tcPr>
          <w:p w:rsidR="008E00C4" w:rsidRDefault="00000116">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8E00C4" w:rsidRDefault="00000116">
            <w:pPr>
              <w:jc w:val="center"/>
              <w:rPr>
                <w:rFonts w:ascii="仿宋" w:eastAsia="仿宋" w:hAnsi="仿宋" w:cs="仿宋"/>
              </w:rPr>
            </w:pPr>
            <w:r>
              <w:rPr>
                <w:rFonts w:ascii="仿宋" w:eastAsia="仿宋" w:hAnsi="仿宋" w:cs="仿宋" w:hint="eastAsia"/>
              </w:rPr>
              <w:t>本年一般公共预算基本支出</w:t>
            </w:r>
          </w:p>
        </w:tc>
      </w:tr>
      <w:tr w:rsidR="008E00C4">
        <w:trPr>
          <w:trHeight w:val="190"/>
        </w:trPr>
        <w:tc>
          <w:tcPr>
            <w:tcW w:w="1227"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公用经费</w:t>
            </w:r>
          </w:p>
        </w:tc>
      </w:tr>
      <w:tr w:rsidR="008E00C4">
        <w:trPr>
          <w:trHeight w:hRule="exact" w:val="382"/>
        </w:trPr>
        <w:tc>
          <w:tcPr>
            <w:tcW w:w="4894" w:type="dxa"/>
            <w:gridSpan w:val="2"/>
            <w:tcBorders>
              <w:left w:val="single" w:sz="4" w:space="0" w:color="000000"/>
              <w:bottom w:val="single" w:sz="4" w:space="0" w:color="000000"/>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310.81</w:t>
            </w:r>
          </w:p>
        </w:tc>
        <w:tc>
          <w:tcPr>
            <w:tcW w:w="1974" w:type="dxa"/>
            <w:tcBorders>
              <w:left w:val="single" w:sz="4" w:space="0" w:color="000000"/>
              <w:bottom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300.67</w:t>
            </w:r>
          </w:p>
        </w:tc>
        <w:tc>
          <w:tcPr>
            <w:tcW w:w="1673" w:type="dxa"/>
            <w:tcBorders>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300.34</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300.34</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36.80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36.80</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46.39</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46.39</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75.32</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75.32</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30106</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3.96</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3.96</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30107</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71.77</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71.77</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22.86</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11.43</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10.32</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1.64</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18.65</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30114</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1.20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1.20</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10.14</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3.54</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3.54</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0.50</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0.90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0.90</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2.20</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30239</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3.00</w:t>
            </w: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r w:rsidR="008E00C4">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 xml:space="preserve">  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1974" w:type="dxa"/>
            <w:tcBorders>
              <w:top w:val="single" w:sz="4" w:space="0" w:color="000000"/>
              <w:left w:val="single" w:sz="4" w:space="0" w:color="000000"/>
              <w:bottom w:val="single" w:sz="4" w:space="0" w:color="000000"/>
              <w:right w:val="single" w:sz="4" w:space="0" w:color="000000"/>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0.33</w:t>
            </w:r>
          </w:p>
        </w:tc>
        <w:tc>
          <w:tcPr>
            <w:tcW w:w="1673" w:type="dxa"/>
            <w:tcBorders>
              <w:top w:val="single" w:sz="4" w:space="0" w:color="000000"/>
              <w:left w:val="single" w:sz="4" w:space="0" w:color="000000"/>
              <w:bottom w:val="single" w:sz="4" w:space="0" w:color="000000"/>
              <w:right w:val="single" w:sz="4" w:space="0" w:color="000000"/>
            </w:tcBorders>
            <w:vAlign w:val="center"/>
          </w:tcPr>
          <w:p w:rsidR="008E00C4" w:rsidRDefault="008E00C4">
            <w:pPr>
              <w:pStyle w:val="TableParagraph"/>
              <w:jc w:val="right"/>
              <w:rPr>
                <w:rFonts w:ascii="仿宋" w:eastAsia="仿宋" w:hAnsi="仿宋" w:cs="仿宋"/>
              </w:rPr>
            </w:pPr>
          </w:p>
        </w:tc>
      </w:tr>
    </w:tbl>
    <w:p w:rsidR="008E00C4" w:rsidRDefault="008E00C4">
      <w:pPr>
        <w:spacing w:before="25"/>
        <w:rPr>
          <w:rFonts w:ascii="仿宋" w:eastAsia="仿宋" w:hAnsi="仿宋" w:cs="仿宋"/>
          <w:b/>
          <w:bCs/>
        </w:rPr>
        <w:sectPr w:rsidR="008E00C4">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8E00C4">
        <w:trPr>
          <w:trHeight w:val="321"/>
        </w:trPr>
        <w:tc>
          <w:tcPr>
            <w:tcW w:w="15909" w:type="dxa"/>
            <w:gridSpan w:val="8"/>
          </w:tcPr>
          <w:p w:rsidR="008E00C4" w:rsidRDefault="00000116">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8E00C4">
        <w:trPr>
          <w:trHeight w:val="207"/>
        </w:trPr>
        <w:tc>
          <w:tcPr>
            <w:tcW w:w="15909" w:type="dxa"/>
            <w:gridSpan w:val="8"/>
          </w:tcPr>
          <w:p w:rsidR="008E00C4" w:rsidRDefault="00000116">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8E00C4">
        <w:trPr>
          <w:trHeight w:val="103"/>
        </w:trPr>
        <w:tc>
          <w:tcPr>
            <w:tcW w:w="12069" w:type="dxa"/>
            <w:gridSpan w:val="6"/>
            <w:tcBorders>
              <w:bottom w:val="single" w:sz="4" w:space="0" w:color="auto"/>
            </w:tcBorders>
          </w:tcPr>
          <w:p w:rsidR="008E00C4" w:rsidRDefault="0000011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40" w:type="dxa"/>
            <w:gridSpan w:val="2"/>
            <w:tcBorders>
              <w:bottom w:val="single" w:sz="4" w:space="0" w:color="auto"/>
            </w:tcBorders>
            <w:vAlign w:val="center"/>
          </w:tcPr>
          <w:p w:rsidR="008E00C4" w:rsidRDefault="00000116">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8E00C4">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sz w:val="20"/>
              </w:rPr>
            </w:pPr>
            <w:r>
              <w:rPr>
                <w:rFonts w:ascii="仿宋" w:eastAsia="仿宋" w:hAnsi="仿宋" w:cs="仿宋" w:hint="eastAsia"/>
              </w:rPr>
              <w:t>培训费</w:t>
            </w:r>
          </w:p>
        </w:tc>
      </w:tr>
      <w:tr w:rsidR="008E00C4">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8E00C4" w:rsidRDefault="008E00C4">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8E00C4" w:rsidRDefault="008E00C4">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8E00C4" w:rsidRDefault="008E00C4">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8E00C4" w:rsidRDefault="008E00C4">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8E00C4" w:rsidRDefault="008E00C4">
            <w:pPr>
              <w:rPr>
                <w:rFonts w:ascii="仿宋" w:eastAsia="仿宋" w:hAnsi="仿宋" w:cs="仿宋"/>
                <w:sz w:val="2"/>
                <w:szCs w:val="2"/>
              </w:rPr>
            </w:pPr>
          </w:p>
        </w:tc>
      </w:tr>
      <w:tr w:rsidR="008E00C4">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2332"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2057"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0.90</w:t>
            </w:r>
          </w:p>
        </w:tc>
      </w:tr>
    </w:tbl>
    <w:p w:rsidR="008E00C4" w:rsidRDefault="008E00C4">
      <w:pPr>
        <w:ind w:left="227" w:firstLineChars="100" w:firstLine="221"/>
        <w:rPr>
          <w:rFonts w:ascii="仿宋" w:eastAsia="仿宋" w:hAnsi="仿宋" w:cs="仿宋"/>
          <w:b/>
          <w:bCs/>
        </w:rPr>
        <w:sectPr w:rsidR="008E00C4">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8E00C4">
        <w:trPr>
          <w:trHeight w:val="213"/>
        </w:trPr>
        <w:tc>
          <w:tcPr>
            <w:tcW w:w="10812" w:type="dxa"/>
            <w:gridSpan w:val="5"/>
            <w:tcBorders>
              <w:top w:val="nil"/>
              <w:left w:val="nil"/>
              <w:bottom w:val="nil"/>
              <w:right w:val="nil"/>
            </w:tcBorders>
            <w:vAlign w:val="center"/>
          </w:tcPr>
          <w:p w:rsidR="008E00C4" w:rsidRDefault="00000116">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8E00C4">
        <w:trPr>
          <w:trHeight w:val="213"/>
        </w:trPr>
        <w:tc>
          <w:tcPr>
            <w:tcW w:w="10812" w:type="dxa"/>
            <w:gridSpan w:val="5"/>
            <w:tcBorders>
              <w:top w:val="nil"/>
              <w:left w:val="nil"/>
              <w:bottom w:val="nil"/>
              <w:right w:val="nil"/>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8E00C4">
        <w:trPr>
          <w:trHeight w:val="213"/>
        </w:trPr>
        <w:tc>
          <w:tcPr>
            <w:tcW w:w="8327" w:type="dxa"/>
            <w:gridSpan w:val="4"/>
            <w:tcBorders>
              <w:top w:val="nil"/>
              <w:left w:val="nil"/>
              <w:bottom w:val="single" w:sz="4" w:space="0" w:color="auto"/>
              <w:right w:val="nil"/>
            </w:tcBorders>
            <w:vAlign w:val="center"/>
          </w:tcPr>
          <w:p w:rsidR="008E00C4" w:rsidRDefault="0000011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485" w:type="dxa"/>
            <w:tcBorders>
              <w:top w:val="nil"/>
              <w:left w:val="nil"/>
              <w:bottom w:val="single" w:sz="4" w:space="0" w:color="auto"/>
              <w:right w:val="nil"/>
            </w:tcBorders>
            <w:vAlign w:val="center"/>
          </w:tcPr>
          <w:p w:rsidR="008E00C4" w:rsidRDefault="00000116">
            <w:pPr>
              <w:pStyle w:val="TableParagraph"/>
              <w:jc w:val="right"/>
              <w:rPr>
                <w:rFonts w:ascii="仿宋" w:eastAsia="仿宋" w:hAnsi="仿宋" w:cs="仿宋"/>
              </w:rPr>
            </w:pPr>
            <w:r>
              <w:rPr>
                <w:rFonts w:ascii="仿宋" w:eastAsia="仿宋" w:hAnsi="仿宋" w:cs="仿宋" w:hint="eastAsia"/>
              </w:rPr>
              <w:t>单位：万元</w:t>
            </w:r>
          </w:p>
        </w:tc>
      </w:tr>
      <w:tr w:rsidR="008E00C4">
        <w:trPr>
          <w:trHeight w:val="187"/>
        </w:trPr>
        <w:tc>
          <w:tcPr>
            <w:tcW w:w="1618" w:type="dxa"/>
            <w:vMerge w:val="restart"/>
            <w:tcBorders>
              <w:top w:val="single" w:sz="4" w:space="0" w:color="auto"/>
              <w:left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本年政府性基金预算支出</w:t>
            </w:r>
          </w:p>
        </w:tc>
      </w:tr>
      <w:tr w:rsidR="008E00C4">
        <w:trPr>
          <w:trHeight w:val="139"/>
        </w:trPr>
        <w:tc>
          <w:tcPr>
            <w:tcW w:w="1618" w:type="dxa"/>
            <w:vMerge/>
            <w:tcBorders>
              <w:left w:val="single" w:sz="4" w:space="0" w:color="auto"/>
              <w:bottom w:val="single" w:sz="4" w:space="0" w:color="auto"/>
              <w:right w:val="single" w:sz="4" w:space="0" w:color="auto"/>
            </w:tcBorders>
            <w:vAlign w:val="center"/>
          </w:tcPr>
          <w:p w:rsidR="008E00C4" w:rsidRDefault="008E00C4">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8E00C4" w:rsidRDefault="008E00C4">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项目支出</w:t>
            </w:r>
          </w:p>
        </w:tc>
      </w:tr>
      <w:tr w:rsidR="008E00C4">
        <w:trPr>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8E00C4" w:rsidRDefault="008E00C4">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8E00C4" w:rsidRDefault="00000116">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r>
      <w:tr w:rsidR="008E00C4">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8E00C4" w:rsidRDefault="008E00C4">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8E00C4" w:rsidRDefault="008E00C4">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r>
      <w:tr w:rsidR="008E00C4">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8E00C4" w:rsidRDefault="008E00C4">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8E00C4" w:rsidRDefault="008E00C4">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8E00C4" w:rsidRDefault="008E00C4">
            <w:pPr>
              <w:jc w:val="right"/>
              <w:rPr>
                <w:rFonts w:ascii="仿宋" w:eastAsia="仿宋" w:hAnsi="仿宋" w:cs="仿宋"/>
              </w:rPr>
            </w:pPr>
          </w:p>
        </w:tc>
      </w:tr>
    </w:tbl>
    <w:p w:rsidR="008E00C4" w:rsidRDefault="00000116">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rsidR="008E00C4" w:rsidRDefault="008E00C4">
      <w:pPr>
        <w:spacing w:before="25"/>
        <w:rPr>
          <w:rFonts w:ascii="仿宋" w:eastAsia="仿宋" w:hAnsi="仿宋" w:cs="仿宋"/>
          <w:b/>
          <w:bCs/>
          <w:lang w:val="en-US"/>
        </w:rPr>
        <w:sectPr w:rsidR="008E00C4">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8E00C4">
        <w:trPr>
          <w:trHeight w:val="447"/>
          <w:jc w:val="center"/>
        </w:trPr>
        <w:tc>
          <w:tcPr>
            <w:tcW w:w="14695" w:type="dxa"/>
            <w:gridSpan w:val="5"/>
            <w:tcBorders>
              <w:top w:val="nil"/>
              <w:left w:val="nil"/>
              <w:bottom w:val="nil"/>
              <w:right w:val="nil"/>
            </w:tcBorders>
            <w:shd w:val="clear" w:color="auto" w:fill="auto"/>
            <w:vAlign w:val="center"/>
          </w:tcPr>
          <w:p w:rsidR="008E00C4" w:rsidRDefault="00000116">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8E00C4">
        <w:trPr>
          <w:trHeight w:val="960"/>
          <w:jc w:val="center"/>
        </w:trPr>
        <w:tc>
          <w:tcPr>
            <w:tcW w:w="14695" w:type="dxa"/>
            <w:gridSpan w:val="5"/>
            <w:tcBorders>
              <w:top w:val="nil"/>
              <w:left w:val="nil"/>
              <w:bottom w:val="nil"/>
              <w:right w:val="nil"/>
            </w:tcBorders>
            <w:shd w:val="clear" w:color="auto" w:fill="auto"/>
            <w:vAlign w:val="center"/>
          </w:tcPr>
          <w:p w:rsidR="008E00C4" w:rsidRDefault="00000116">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8E00C4">
        <w:trPr>
          <w:trHeight w:val="319"/>
          <w:jc w:val="center"/>
        </w:trPr>
        <w:tc>
          <w:tcPr>
            <w:tcW w:w="11604" w:type="dxa"/>
            <w:gridSpan w:val="4"/>
            <w:tcBorders>
              <w:top w:val="nil"/>
              <w:left w:val="nil"/>
              <w:bottom w:val="single" w:sz="4" w:space="0" w:color="auto"/>
              <w:right w:val="nil"/>
            </w:tcBorders>
            <w:shd w:val="clear" w:color="auto" w:fill="auto"/>
            <w:vAlign w:val="center"/>
          </w:tcPr>
          <w:p w:rsidR="008E00C4" w:rsidRDefault="00000116">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091" w:type="dxa"/>
            <w:tcBorders>
              <w:top w:val="nil"/>
              <w:left w:val="nil"/>
              <w:bottom w:val="nil"/>
              <w:right w:val="nil"/>
            </w:tcBorders>
            <w:shd w:val="clear" w:color="auto" w:fill="auto"/>
            <w:noWrap/>
            <w:vAlign w:val="center"/>
          </w:tcPr>
          <w:p w:rsidR="008E00C4" w:rsidRDefault="00000116">
            <w:pPr>
              <w:widowControl/>
              <w:jc w:val="right"/>
              <w:rPr>
                <w:rFonts w:ascii="仿宋" w:eastAsia="仿宋" w:hAnsi="仿宋" w:cs="仿宋"/>
              </w:rPr>
            </w:pPr>
            <w:r>
              <w:rPr>
                <w:rFonts w:ascii="仿宋" w:eastAsia="仿宋" w:hAnsi="仿宋" w:cs="仿宋" w:hint="eastAsia"/>
              </w:rPr>
              <w:t>单位：万元</w:t>
            </w:r>
          </w:p>
        </w:tc>
      </w:tr>
      <w:tr w:rsidR="008E00C4">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项目支出</w:t>
            </w:r>
          </w:p>
        </w:tc>
      </w:tr>
      <w:tr w:rsidR="008E00C4">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功能分类</w:t>
            </w:r>
          </w:p>
          <w:p w:rsidR="008E00C4" w:rsidRDefault="00000116">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8E00C4" w:rsidRDefault="008E00C4">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8E00C4" w:rsidRDefault="008E00C4">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8E00C4" w:rsidRDefault="008E00C4">
            <w:pPr>
              <w:widowControl/>
              <w:spacing w:line="34" w:lineRule="atLeast"/>
              <w:rPr>
                <w:rFonts w:ascii="仿宋" w:eastAsia="仿宋" w:hAnsi="仿宋" w:cs="仿宋"/>
              </w:rPr>
            </w:pPr>
          </w:p>
        </w:tc>
      </w:tr>
      <w:tr w:rsidR="008E00C4">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3</w:t>
            </w:r>
          </w:p>
        </w:tc>
      </w:tr>
      <w:tr w:rsidR="008E00C4">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000116">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r>
      <w:tr w:rsidR="008E00C4">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r>
      <w:tr w:rsidR="008E00C4">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8E00C4" w:rsidRDefault="008E00C4">
            <w:pPr>
              <w:widowControl/>
              <w:spacing w:line="34" w:lineRule="atLeast"/>
              <w:jc w:val="center"/>
              <w:rPr>
                <w:rFonts w:ascii="仿宋" w:eastAsia="仿宋" w:hAnsi="仿宋" w:cs="仿宋"/>
              </w:rPr>
            </w:pPr>
          </w:p>
        </w:tc>
      </w:tr>
    </w:tbl>
    <w:p w:rsidR="008E00C4" w:rsidRDefault="00000116">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8E00C4" w:rsidRDefault="008E00C4">
      <w:pPr>
        <w:spacing w:before="25"/>
        <w:rPr>
          <w:rFonts w:ascii="仿宋" w:eastAsia="仿宋" w:hAnsi="仿宋" w:cs="仿宋"/>
          <w:b/>
          <w:bCs/>
          <w:lang w:val="en-US"/>
        </w:rPr>
        <w:sectPr w:rsidR="008E00C4">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8E00C4">
        <w:trPr>
          <w:trHeight w:val="319"/>
        </w:trPr>
        <w:tc>
          <w:tcPr>
            <w:tcW w:w="10235" w:type="dxa"/>
            <w:gridSpan w:val="4"/>
          </w:tcPr>
          <w:p w:rsidR="008E00C4" w:rsidRDefault="00000116">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8E00C4">
        <w:trPr>
          <w:trHeight w:val="90"/>
        </w:trPr>
        <w:tc>
          <w:tcPr>
            <w:tcW w:w="10235" w:type="dxa"/>
            <w:gridSpan w:val="4"/>
          </w:tcPr>
          <w:p w:rsidR="008E00C4" w:rsidRDefault="00000116">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8E00C4">
        <w:trPr>
          <w:trHeight w:val="90"/>
        </w:trPr>
        <w:tc>
          <w:tcPr>
            <w:tcW w:w="7884" w:type="dxa"/>
            <w:gridSpan w:val="3"/>
            <w:tcBorders>
              <w:bottom w:val="single" w:sz="4" w:space="0" w:color="auto"/>
            </w:tcBorders>
            <w:vAlign w:val="center"/>
          </w:tcPr>
          <w:p w:rsidR="008E00C4" w:rsidRDefault="0000011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351" w:type="dxa"/>
            <w:tcBorders>
              <w:bottom w:val="single" w:sz="4" w:space="0" w:color="auto"/>
            </w:tcBorders>
            <w:vAlign w:val="center"/>
          </w:tcPr>
          <w:p w:rsidR="008E00C4" w:rsidRDefault="00000116">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8E00C4">
        <w:trPr>
          <w:trHeight w:val="363"/>
        </w:trPr>
        <w:tc>
          <w:tcPr>
            <w:tcW w:w="3088" w:type="dxa"/>
            <w:tcBorders>
              <w:top w:val="single" w:sz="4" w:space="0" w:color="auto"/>
              <w:left w:val="single" w:sz="4" w:space="0" w:color="auto"/>
              <w:bottom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8E00C4" w:rsidRDefault="00000116">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8E00C4" w:rsidRDefault="00000116">
            <w:pPr>
              <w:jc w:val="center"/>
              <w:rPr>
                <w:rFonts w:ascii="仿宋" w:eastAsia="仿宋" w:hAnsi="仿宋" w:cs="仿宋"/>
              </w:rPr>
            </w:pPr>
            <w:r>
              <w:rPr>
                <w:rFonts w:ascii="仿宋" w:eastAsia="仿宋" w:hAnsi="仿宋" w:cs="仿宋" w:hint="eastAsia"/>
              </w:rPr>
              <w:t>机关运行经费支出</w:t>
            </w:r>
          </w:p>
        </w:tc>
      </w:tr>
      <w:tr w:rsidR="008E00C4">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rsidR="008E00C4" w:rsidRDefault="00000116">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8E00C4" w:rsidRDefault="008E00C4">
            <w:pPr>
              <w:pStyle w:val="TableParagraph"/>
              <w:jc w:val="right"/>
              <w:rPr>
                <w:rFonts w:ascii="仿宋" w:eastAsia="仿宋" w:hAnsi="仿宋" w:cs="仿宋"/>
              </w:rPr>
            </w:pPr>
          </w:p>
        </w:tc>
      </w:tr>
      <w:tr w:rsidR="008E00C4">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8E00C4" w:rsidRDefault="008E00C4">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8E00C4" w:rsidRDefault="008E00C4">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8E00C4" w:rsidRDefault="008E00C4">
            <w:pPr>
              <w:pStyle w:val="TableParagraph"/>
              <w:jc w:val="right"/>
              <w:rPr>
                <w:rFonts w:ascii="仿宋" w:eastAsia="仿宋" w:hAnsi="仿宋" w:cs="仿宋"/>
              </w:rPr>
            </w:pPr>
          </w:p>
        </w:tc>
      </w:tr>
      <w:tr w:rsidR="008E00C4">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8E00C4" w:rsidRDefault="008E00C4">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8E00C4" w:rsidRDefault="008E00C4">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8E00C4" w:rsidRDefault="008E00C4">
            <w:pPr>
              <w:pStyle w:val="TableParagraph"/>
              <w:jc w:val="right"/>
              <w:rPr>
                <w:rFonts w:ascii="仿宋" w:eastAsia="仿宋" w:hAnsi="仿宋" w:cs="仿宋"/>
              </w:rPr>
            </w:pPr>
          </w:p>
        </w:tc>
      </w:tr>
    </w:tbl>
    <w:p w:rsidR="008E00C4" w:rsidRDefault="00000116">
      <w:pPr>
        <w:tabs>
          <w:tab w:val="left" w:pos="-440"/>
        </w:tabs>
        <w:spacing w:before="25"/>
        <w:ind w:left="-440" w:rightChars="-100" w:right="-220"/>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8E00C4" w:rsidRDefault="00000116">
      <w:pPr>
        <w:tabs>
          <w:tab w:val="left" w:pos="-440"/>
        </w:tabs>
        <w:spacing w:before="25"/>
        <w:ind w:left="-440"/>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rsidR="008E00C4" w:rsidRDefault="008E00C4">
      <w:pPr>
        <w:spacing w:before="78" w:line="290" w:lineRule="auto"/>
        <w:ind w:left="227" w:right="57"/>
        <w:jc w:val="both"/>
        <w:rPr>
          <w:rFonts w:ascii="仿宋" w:eastAsia="仿宋" w:hAnsi="仿宋" w:cs="仿宋"/>
          <w:b/>
          <w:bCs/>
        </w:rPr>
        <w:sectPr w:rsidR="008E00C4">
          <w:footerReference w:type="default" r:id="rId21"/>
          <w:pgSz w:w="11906" w:h="16838"/>
          <w:pgMar w:top="1100" w:right="906" w:bottom="770" w:left="1320" w:header="170" w:footer="280" w:gutter="0"/>
          <w:pgNumType w:fmt="numberInDash"/>
          <w:cols w:space="720"/>
          <w:formProt w:val="0"/>
          <w:docGrid w:linePitch="100"/>
        </w:sectPr>
      </w:pPr>
    </w:p>
    <w:tbl>
      <w:tblPr>
        <w:tblW w:w="1527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776"/>
        <w:gridCol w:w="1105"/>
        <w:gridCol w:w="1121"/>
        <w:gridCol w:w="947"/>
        <w:gridCol w:w="1169"/>
        <w:gridCol w:w="1421"/>
      </w:tblGrid>
      <w:tr w:rsidR="008E00C4">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8E00C4" w:rsidRDefault="00000116">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8E00C4">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8E00C4" w:rsidRDefault="00000116">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8E00C4">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8E00C4" w:rsidRDefault="00000116">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342"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8E00C4" w:rsidRDefault="008E00C4">
            <w:pPr>
              <w:pStyle w:val="TableParagraph"/>
              <w:rPr>
                <w:rFonts w:ascii="仿宋" w:eastAsia="仿宋" w:hAnsi="仿宋" w:cs="仿宋"/>
                <w:lang w:val="en-US"/>
              </w:rPr>
            </w:pPr>
          </w:p>
        </w:tc>
        <w:tc>
          <w:tcPr>
            <w:tcW w:w="1421"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8E00C4" w:rsidRDefault="00000116">
            <w:pPr>
              <w:pStyle w:val="TableParagraph"/>
              <w:jc w:val="right"/>
              <w:rPr>
                <w:rFonts w:ascii="仿宋" w:eastAsia="仿宋" w:hAnsi="仿宋" w:cs="仿宋"/>
                <w:lang w:val="en-US"/>
              </w:rPr>
            </w:pPr>
            <w:r>
              <w:rPr>
                <w:rFonts w:ascii="仿宋" w:eastAsia="仿宋" w:hAnsi="仿宋" w:cs="仿宋" w:hint="eastAsia"/>
              </w:rPr>
              <w:t>单位：万元</w:t>
            </w:r>
          </w:p>
        </w:tc>
      </w:tr>
      <w:tr w:rsidR="008E00C4">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342"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42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8E00C4">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42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r>
      <w:tr w:rsidR="008E00C4">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r>
      <w:tr w:rsidR="008E00C4">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rPr>
                <w:rFonts w:ascii="仿宋" w:eastAsia="仿宋" w:hAnsi="仿宋" w:cs="仿宋"/>
                <w:lang w:val="en-US"/>
              </w:rPr>
            </w:pPr>
            <w:r>
              <w:rPr>
                <w:rFonts w:ascii="仿宋" w:eastAsia="仿宋" w:hAnsi="仿宋" w:cs="仿宋" w:hint="eastAsia"/>
                <w:lang w:val="en-US"/>
              </w:rPr>
              <w:t>货物</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r>
      <w:tr w:rsidR="008E00C4">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rPr>
                <w:rFonts w:ascii="仿宋" w:eastAsia="仿宋" w:hAnsi="仿宋" w:cs="仿宋"/>
                <w:lang w:val="en-US"/>
              </w:rPr>
            </w:pPr>
            <w:r>
              <w:rPr>
                <w:rFonts w:ascii="仿宋" w:eastAsia="仿宋" w:hAnsi="仿宋" w:cs="仿宋" w:hint="eastAsia"/>
                <w:lang w:val="en-US"/>
              </w:rPr>
              <w:t>江阴市旅游事业发展服务中心</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r>
      <w:tr w:rsidR="008E00C4">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jc w:val="center"/>
              <w:rPr>
                <w:rFonts w:ascii="仿宋" w:eastAsia="仿宋" w:hAnsi="仿宋" w:cs="仿宋"/>
                <w:lang w:val="en-US"/>
              </w:rPr>
            </w:pPr>
            <w:r>
              <w:rPr>
                <w:rFonts w:ascii="仿宋" w:eastAsia="仿宋" w:hAnsi="仿宋" w:cs="仿宋" w:hint="eastAsia"/>
                <w:lang w:val="en-US"/>
              </w:rPr>
              <w:t>非义务教育商品服务支出定额（含定额补助）</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jc w:val="center"/>
              <w:rPr>
                <w:rFonts w:ascii="仿宋" w:eastAsia="仿宋" w:hAnsi="仿宋" w:cs="仿宋"/>
                <w:lang w:val="en-US"/>
              </w:rPr>
            </w:pPr>
            <w:r>
              <w:rPr>
                <w:rFonts w:ascii="仿宋" w:eastAsia="仿宋" w:hAnsi="仿宋" w:cs="仿宋" w:hint="eastAsia"/>
                <w:lang w:val="en-US"/>
              </w:rPr>
              <w:t>办公费</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jc w:val="center"/>
              <w:rPr>
                <w:rFonts w:ascii="仿宋" w:eastAsia="仿宋" w:hAnsi="仿宋" w:cs="仿宋"/>
                <w:lang w:val="en-US"/>
              </w:rPr>
            </w:pPr>
            <w:r>
              <w:rPr>
                <w:rFonts w:ascii="仿宋" w:eastAsia="仿宋" w:hAnsi="仿宋" w:cs="仿宋" w:hint="eastAsia"/>
                <w:lang w:val="en-US"/>
              </w:rPr>
              <w:t>复印纸</w:t>
            </w: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140EC1">
            <w:pPr>
              <w:snapToGrid w:val="0"/>
              <w:spacing w:line="34" w:lineRule="atLeast"/>
              <w:jc w:val="center"/>
              <w:rPr>
                <w:rFonts w:ascii="仿宋" w:eastAsia="仿宋" w:hAnsi="仿宋" w:cs="仿宋" w:hint="eastAsia"/>
                <w:lang w:val="en-US"/>
              </w:rPr>
            </w:pPr>
            <w:r>
              <w:rPr>
                <w:rFonts w:ascii="仿宋" w:eastAsia="仿宋" w:hAnsi="仿宋" w:cs="仿宋" w:hint="eastAsia"/>
                <w:lang w:val="en-US"/>
              </w:rPr>
              <w:t>集中</w:t>
            </w:r>
            <w:r>
              <w:rPr>
                <w:rFonts w:ascii="仿宋" w:eastAsia="仿宋" w:hAnsi="仿宋" w:cs="仿宋"/>
                <w:lang w:val="en-US"/>
              </w:rPr>
              <w:t>采购</w:t>
            </w: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8E00C4">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8E00C4" w:rsidRDefault="00000116">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0.10</w:t>
            </w:r>
          </w:p>
        </w:tc>
      </w:tr>
    </w:tbl>
    <w:p w:rsidR="008E00C4" w:rsidRDefault="008E00C4">
      <w:pPr>
        <w:rPr>
          <w:rFonts w:ascii="仿宋" w:eastAsia="仿宋" w:hAnsi="仿宋" w:cs="仿宋"/>
          <w:b/>
          <w:bCs/>
        </w:rPr>
        <w:sectPr w:rsidR="008E00C4">
          <w:footerReference w:type="default" r:id="rId22"/>
          <w:pgSz w:w="16838" w:h="11906" w:orient="landscape"/>
          <w:pgMar w:top="1320" w:right="771" w:bottom="1320" w:left="770" w:header="170" w:footer="280" w:gutter="0"/>
          <w:pgNumType w:fmt="numberInDash"/>
          <w:cols w:space="720"/>
          <w:formProt w:val="0"/>
          <w:docGrid w:linePitch="100"/>
        </w:sectPr>
      </w:pPr>
      <w:bookmarkStart w:id="0" w:name="_GoBack"/>
      <w:bookmarkEnd w:id="0"/>
    </w:p>
    <w:p w:rsidR="008E00C4" w:rsidRDefault="00000116">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2025</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8E00C4" w:rsidRDefault="008E00C4">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年度收入、支出预算总计</w:t>
      </w:r>
      <w:r>
        <w:rPr>
          <w:rFonts w:ascii="仿宋" w:eastAsia="仿宋" w:hAnsi="仿宋" w:cs="仿宋"/>
        </w:rPr>
        <w:t>310.81</w:t>
      </w:r>
      <w:r>
        <w:rPr>
          <w:rFonts w:ascii="仿宋" w:eastAsia="仿宋" w:hAnsi="仿宋" w:cs="仿宋"/>
        </w:rPr>
        <w:t>万元，与上年相比收、支预算总计各增加</w:t>
      </w:r>
      <w:r>
        <w:rPr>
          <w:rFonts w:ascii="仿宋" w:eastAsia="仿宋" w:hAnsi="仿宋" w:cs="仿宋"/>
        </w:rPr>
        <w:t>94.48</w:t>
      </w:r>
      <w:r>
        <w:rPr>
          <w:rFonts w:ascii="仿宋" w:eastAsia="仿宋" w:hAnsi="仿宋" w:cs="仿宋"/>
        </w:rPr>
        <w:t>万元，增长</w:t>
      </w:r>
      <w:r>
        <w:rPr>
          <w:rFonts w:ascii="仿宋" w:eastAsia="仿宋" w:hAnsi="仿宋" w:cs="仿宋"/>
        </w:rPr>
        <w:t>43.67%</w:t>
      </w:r>
      <w:r>
        <w:rPr>
          <w:rFonts w:ascii="仿宋" w:eastAsia="仿宋" w:hAnsi="仿宋" w:cs="仿宋"/>
        </w:rPr>
        <w:t>。其中：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310.81</w:t>
      </w:r>
      <w:r>
        <w:rPr>
          <w:rFonts w:ascii="仿宋" w:eastAsia="仿宋" w:hAnsi="仿宋" w:cs="仿宋"/>
          <w:b/>
        </w:rPr>
        <w:t>万元。包括：</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310.81</w:t>
      </w:r>
      <w:r>
        <w:rPr>
          <w:rFonts w:ascii="仿宋" w:eastAsia="仿宋" w:hAnsi="仿宋" w:cs="仿宋"/>
        </w:rPr>
        <w:t>万元。</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310.81</w:t>
      </w:r>
      <w:r>
        <w:rPr>
          <w:rFonts w:ascii="仿宋" w:eastAsia="仿宋" w:hAnsi="仿宋" w:cs="仿宋"/>
        </w:rPr>
        <w:t>万元，与上年相比增加</w:t>
      </w:r>
      <w:r>
        <w:rPr>
          <w:rFonts w:ascii="仿宋" w:eastAsia="仿宋" w:hAnsi="仿宋" w:cs="仿宋"/>
        </w:rPr>
        <w:t>94.48</w:t>
      </w:r>
      <w:r>
        <w:rPr>
          <w:rFonts w:ascii="仿宋" w:eastAsia="仿宋" w:hAnsi="仿宋" w:cs="仿宋"/>
        </w:rPr>
        <w:t>万元，增长</w:t>
      </w:r>
      <w:r>
        <w:rPr>
          <w:rFonts w:ascii="仿宋" w:eastAsia="仿宋" w:hAnsi="仿宋" w:cs="仿宋"/>
        </w:rPr>
        <w:t>43.67%</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w:t>
      </w:r>
      <w:r>
        <w:rPr>
          <w:rFonts w:ascii="仿宋" w:eastAsia="仿宋" w:hAnsi="仿宋" w:cs="仿宋"/>
          <w:b/>
        </w:rPr>
        <w:t>310.81</w:t>
      </w:r>
      <w:r>
        <w:rPr>
          <w:rFonts w:ascii="仿宋" w:eastAsia="仿宋" w:hAnsi="仿宋" w:cs="仿宋"/>
          <w:b/>
        </w:rPr>
        <w:t>万元。包括：</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310.</w:t>
      </w:r>
      <w:r>
        <w:rPr>
          <w:rFonts w:ascii="仿宋" w:eastAsia="仿宋" w:hAnsi="仿宋" w:cs="仿宋"/>
        </w:rPr>
        <w:t>81</w:t>
      </w:r>
      <w:r>
        <w:rPr>
          <w:rFonts w:ascii="仿宋" w:eastAsia="仿宋" w:hAnsi="仿宋" w:cs="仿宋"/>
        </w:rPr>
        <w:t>万元。</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）文化旅游体育与传媒支出（类）支出</w:t>
      </w:r>
      <w:r>
        <w:rPr>
          <w:rFonts w:ascii="仿宋" w:eastAsia="仿宋" w:hAnsi="仿宋" w:cs="仿宋"/>
        </w:rPr>
        <w:t>205.52</w:t>
      </w:r>
      <w:r>
        <w:rPr>
          <w:rFonts w:ascii="仿宋" w:eastAsia="仿宋" w:hAnsi="仿宋" w:cs="仿宋"/>
        </w:rPr>
        <w:t>万元，主要</w:t>
      </w:r>
      <w:r>
        <w:rPr>
          <w:rFonts w:ascii="仿宋" w:eastAsia="仿宋" w:hAnsi="仿宋" w:cs="仿宋"/>
        </w:rPr>
        <w:lastRenderedPageBreak/>
        <w:t>用于文化和旅游管理事务支出。与上年相比增加</w:t>
      </w:r>
      <w:r>
        <w:rPr>
          <w:rFonts w:ascii="仿宋" w:eastAsia="仿宋" w:hAnsi="仿宋" w:cs="仿宋"/>
        </w:rPr>
        <w:t>56.16</w:t>
      </w:r>
      <w:r>
        <w:rPr>
          <w:rFonts w:ascii="仿宋" w:eastAsia="仿宋" w:hAnsi="仿宋" w:cs="仿宋"/>
        </w:rPr>
        <w:t>万元，增长</w:t>
      </w:r>
      <w:r>
        <w:rPr>
          <w:rFonts w:ascii="仿宋" w:eastAsia="仿宋" w:hAnsi="仿宋" w:cs="仿宋"/>
        </w:rPr>
        <w:t>37.6%</w:t>
      </w:r>
      <w:r>
        <w:rPr>
          <w:rFonts w:ascii="仿宋" w:eastAsia="仿宋" w:hAnsi="仿宋" w:cs="仿宋"/>
        </w:rPr>
        <w:t>。主要原因是人员经费支出预算增加。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）社会保障和就业支出（类）支出</w:t>
      </w:r>
      <w:r>
        <w:rPr>
          <w:rFonts w:ascii="仿宋" w:eastAsia="仿宋" w:hAnsi="仿宋" w:cs="仿宋"/>
        </w:rPr>
        <w:t>35.93</w:t>
      </w:r>
      <w:r>
        <w:rPr>
          <w:rFonts w:ascii="仿宋" w:eastAsia="仿宋" w:hAnsi="仿宋" w:cs="仿宋"/>
        </w:rPr>
        <w:t>万元，主要用于机关事业单位基本养老保险缴费支出、职业年金缴费支出、其他社会保障和就业支出。与上年相比增加</w:t>
      </w:r>
      <w:r>
        <w:rPr>
          <w:rFonts w:ascii="仿宋" w:eastAsia="仿宋" w:hAnsi="仿宋" w:cs="仿宋"/>
        </w:rPr>
        <w:t>12.43</w:t>
      </w:r>
      <w:r>
        <w:rPr>
          <w:rFonts w:ascii="仿宋" w:eastAsia="仿宋" w:hAnsi="仿宋" w:cs="仿宋"/>
        </w:rPr>
        <w:t>万元，增长</w:t>
      </w:r>
      <w:r>
        <w:rPr>
          <w:rFonts w:ascii="仿宋" w:eastAsia="仿宋" w:hAnsi="仿宋" w:cs="仿宋"/>
        </w:rPr>
        <w:t>52.89%</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）卫生健康支出（类）支出</w:t>
      </w:r>
      <w:r>
        <w:rPr>
          <w:rFonts w:ascii="仿宋" w:eastAsia="仿宋" w:hAnsi="仿宋" w:cs="仿宋"/>
        </w:rPr>
        <w:t>10.32</w:t>
      </w:r>
      <w:r>
        <w:rPr>
          <w:rFonts w:ascii="仿宋" w:eastAsia="仿宋" w:hAnsi="仿宋" w:cs="仿宋"/>
        </w:rPr>
        <w:t>万元，主要用于事业单位医疗支出。与上年相比增加</w:t>
      </w:r>
      <w:r>
        <w:rPr>
          <w:rFonts w:ascii="仿宋" w:eastAsia="仿宋" w:hAnsi="仿宋" w:cs="仿宋"/>
        </w:rPr>
        <w:t>10.32</w:t>
      </w:r>
      <w:r>
        <w:rPr>
          <w:rFonts w:ascii="仿宋" w:eastAsia="仿宋" w:hAnsi="仿宋" w:cs="仿宋"/>
        </w:rPr>
        <w:t>万元（去年预算数为</w:t>
      </w:r>
      <w:r>
        <w:rPr>
          <w:rFonts w:ascii="仿宋" w:eastAsia="仿宋" w:hAnsi="仿宋" w:cs="仿宋"/>
        </w:rPr>
        <w:t>0</w:t>
      </w:r>
      <w:r>
        <w:rPr>
          <w:rFonts w:ascii="仿宋" w:eastAsia="仿宋" w:hAnsi="仿宋" w:cs="仿宋"/>
        </w:rPr>
        <w:t>万元，无法计算</w:t>
      </w:r>
      <w:r>
        <w:rPr>
          <w:rFonts w:ascii="仿宋" w:eastAsia="仿宋" w:hAnsi="仿宋" w:cs="仿宋"/>
        </w:rPr>
        <w:t>增减比率）。主要原因是功能分类调整。</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）住房保障支出（类）支出</w:t>
      </w:r>
      <w:r>
        <w:rPr>
          <w:rFonts w:ascii="仿宋" w:eastAsia="仿宋" w:hAnsi="仿宋" w:cs="仿宋"/>
        </w:rPr>
        <w:t>59.04</w:t>
      </w:r>
      <w:r>
        <w:rPr>
          <w:rFonts w:ascii="仿宋" w:eastAsia="仿宋" w:hAnsi="仿宋" w:cs="仿宋"/>
        </w:rPr>
        <w:t>万元，主要用于住房公积金、提租补贴、购房补贴支出。与上年相比增加</w:t>
      </w:r>
      <w:r>
        <w:rPr>
          <w:rFonts w:ascii="仿宋" w:eastAsia="仿宋" w:hAnsi="仿宋" w:cs="仿宋"/>
        </w:rPr>
        <w:t>15.57</w:t>
      </w:r>
      <w:r>
        <w:rPr>
          <w:rFonts w:ascii="仿宋" w:eastAsia="仿宋" w:hAnsi="仿宋" w:cs="仿宋"/>
        </w:rPr>
        <w:t>万元，增长</w:t>
      </w:r>
      <w:r>
        <w:rPr>
          <w:rFonts w:ascii="仿宋" w:eastAsia="仿宋" w:hAnsi="仿宋" w:cs="仿宋"/>
        </w:rPr>
        <w:t>35.82%</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年收入预算合计</w:t>
      </w:r>
      <w:r>
        <w:rPr>
          <w:rFonts w:ascii="仿宋" w:eastAsia="仿宋" w:hAnsi="仿宋" w:cs="仿宋"/>
        </w:rPr>
        <w:t>310.81</w:t>
      </w:r>
      <w:r>
        <w:rPr>
          <w:rFonts w:ascii="仿宋" w:eastAsia="仿宋" w:hAnsi="仿宋" w:cs="仿宋"/>
        </w:rPr>
        <w:t>万元，包括本年收入</w:t>
      </w:r>
      <w:r>
        <w:rPr>
          <w:rFonts w:ascii="仿宋" w:eastAsia="仿宋" w:hAnsi="仿宋" w:cs="仿宋"/>
        </w:rPr>
        <w:t>310.81</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w:t>
      </w:r>
      <w:r>
        <w:rPr>
          <w:rFonts w:ascii="仿宋" w:eastAsia="仿宋" w:hAnsi="仿宋" w:cs="仿宋"/>
        </w:rPr>
        <w:t>310.81</w:t>
      </w:r>
      <w:r>
        <w:rPr>
          <w:rFonts w:ascii="仿宋" w:eastAsia="仿宋" w:hAnsi="仿宋" w:cs="仿宋"/>
        </w:rPr>
        <w:t>万元，占</w:t>
      </w:r>
      <w:r>
        <w:rPr>
          <w:rFonts w:ascii="仿宋" w:eastAsia="仿宋" w:hAnsi="仿宋" w:cs="仿宋"/>
        </w:rPr>
        <w:t>100%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sidRPr="00140EC1">
        <w:rPr>
          <w:rFonts w:ascii="仿宋" w:eastAsia="仿宋" w:hAnsi="仿宋" w:cs="仿宋"/>
          <w:lang w:val="en-US"/>
        </w:rPr>
        <w:t>0</w:t>
      </w:r>
      <w:r>
        <w:rPr>
          <w:rFonts w:ascii="仿宋" w:eastAsia="仿宋" w:hAnsi="仿宋" w:cs="仿宋"/>
        </w:rPr>
        <w:t>万元</w:t>
      </w:r>
      <w:r w:rsidRPr="00140EC1">
        <w:rPr>
          <w:rFonts w:ascii="仿宋" w:eastAsia="仿宋" w:hAnsi="仿宋" w:cs="仿宋"/>
          <w:lang w:val="en-US"/>
        </w:rPr>
        <w:t>，</w:t>
      </w:r>
      <w:r>
        <w:rPr>
          <w:rFonts w:ascii="仿宋" w:eastAsia="仿宋" w:hAnsi="仿宋" w:cs="仿宋"/>
        </w:rPr>
        <w:t>占</w:t>
      </w:r>
      <w:r w:rsidRPr="00140EC1">
        <w:rPr>
          <w:rFonts w:ascii="仿宋" w:eastAsia="仿宋" w:hAnsi="仿宋" w:cs="仿宋"/>
          <w:lang w:val="en-US"/>
        </w:rPr>
        <w:t>0%</w:t>
      </w:r>
      <w:r w:rsidRPr="00140EC1">
        <w:rPr>
          <w:rFonts w:ascii="仿宋" w:eastAsia="仿宋" w:hAnsi="仿宋" w:cs="仿宋"/>
          <w:lang w:val="en-US"/>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年支出预算合计</w:t>
      </w:r>
      <w:r>
        <w:rPr>
          <w:rFonts w:ascii="仿宋" w:eastAsia="仿宋" w:hAnsi="仿宋" w:cs="仿宋"/>
        </w:rPr>
        <w:t>310.81</w:t>
      </w:r>
      <w:r>
        <w:rPr>
          <w:rFonts w:ascii="仿宋" w:eastAsia="仿宋" w:hAnsi="仿宋" w:cs="仿宋"/>
        </w:rPr>
        <w:t>万元，其中：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310.81</w:t>
      </w:r>
      <w:r>
        <w:rPr>
          <w:rFonts w:ascii="仿宋" w:eastAsia="仿宋" w:hAnsi="仿宋" w:cs="仿宋"/>
        </w:rPr>
        <w:t>万元，占</w:t>
      </w:r>
      <w:r>
        <w:rPr>
          <w:rFonts w:ascii="仿宋" w:eastAsia="仿宋" w:hAnsi="仿宋" w:cs="仿宋"/>
        </w:rPr>
        <w:t>100%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年度财政拨款收、支总预算</w:t>
      </w:r>
      <w:r>
        <w:rPr>
          <w:rFonts w:ascii="仿宋" w:eastAsia="仿宋" w:hAnsi="仿宋" w:cs="仿宋"/>
        </w:rPr>
        <w:t>310.81</w:t>
      </w:r>
      <w:r>
        <w:rPr>
          <w:rFonts w:ascii="仿宋" w:eastAsia="仿宋" w:hAnsi="仿宋" w:cs="仿宋"/>
        </w:rPr>
        <w:t>万元。与上年相比，财政拨款收、支总计各增加</w:t>
      </w:r>
      <w:r>
        <w:rPr>
          <w:rFonts w:ascii="仿宋" w:eastAsia="仿宋" w:hAnsi="仿宋" w:cs="仿宋"/>
        </w:rPr>
        <w:t>94.48</w:t>
      </w:r>
      <w:r>
        <w:rPr>
          <w:rFonts w:ascii="仿宋" w:eastAsia="仿宋" w:hAnsi="仿宋" w:cs="仿宋"/>
        </w:rPr>
        <w:t>万元，增长</w:t>
      </w:r>
      <w:r>
        <w:rPr>
          <w:rFonts w:ascii="仿宋" w:eastAsia="仿宋" w:hAnsi="仿宋" w:cs="仿宋"/>
        </w:rPr>
        <w:t>43.67%</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年财政拨款预算支出</w:t>
      </w:r>
      <w:r>
        <w:rPr>
          <w:rFonts w:ascii="仿宋" w:eastAsia="仿宋" w:hAnsi="仿宋" w:cs="仿宋"/>
        </w:rPr>
        <w:t>310.81</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。与上年相比，财政拨款支出增加</w:t>
      </w:r>
      <w:r>
        <w:rPr>
          <w:rFonts w:ascii="仿宋" w:eastAsia="仿宋" w:hAnsi="仿宋" w:cs="仿宋"/>
        </w:rPr>
        <w:t>94.48</w:t>
      </w:r>
      <w:r>
        <w:rPr>
          <w:rFonts w:ascii="仿宋" w:eastAsia="仿宋" w:hAnsi="仿宋" w:cs="仿宋"/>
        </w:rPr>
        <w:t>万元，增长</w:t>
      </w:r>
      <w:r>
        <w:rPr>
          <w:rFonts w:ascii="仿宋" w:eastAsia="仿宋" w:hAnsi="仿宋" w:cs="仿宋"/>
        </w:rPr>
        <w:t>43.67%</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文化和旅游（款）文化和旅游管理事务（项）支出</w:t>
      </w:r>
      <w:r>
        <w:rPr>
          <w:rFonts w:ascii="仿宋" w:eastAsia="仿宋" w:hAnsi="仿宋" w:cs="仿宋"/>
        </w:rPr>
        <w:t>205.52</w:t>
      </w:r>
      <w:r>
        <w:rPr>
          <w:rFonts w:ascii="仿宋" w:eastAsia="仿宋" w:hAnsi="仿宋" w:cs="仿宋"/>
        </w:rPr>
        <w:t>万元，与上年相比增加</w:t>
      </w:r>
      <w:r>
        <w:rPr>
          <w:rFonts w:ascii="仿宋" w:eastAsia="仿宋" w:hAnsi="仿宋" w:cs="仿宋"/>
        </w:rPr>
        <w:t>56.16</w:t>
      </w:r>
      <w:r>
        <w:rPr>
          <w:rFonts w:ascii="仿宋" w:eastAsia="仿宋" w:hAnsi="仿宋" w:cs="仿宋"/>
        </w:rPr>
        <w:t>万元，增长</w:t>
      </w:r>
      <w:r>
        <w:rPr>
          <w:rFonts w:ascii="仿宋" w:eastAsia="仿宋" w:hAnsi="仿宋" w:cs="仿宋"/>
        </w:rPr>
        <w:t>37.6%</w:t>
      </w:r>
      <w:r>
        <w:rPr>
          <w:rFonts w:ascii="仿宋" w:eastAsia="仿宋" w:hAnsi="仿宋" w:cs="仿宋"/>
        </w:rPr>
        <w:t>。主要原因是人员增</w:t>
      </w:r>
      <w:r>
        <w:rPr>
          <w:rFonts w:ascii="仿宋" w:eastAsia="仿宋" w:hAnsi="仿宋" w:cs="仿宋"/>
        </w:rPr>
        <w:lastRenderedPageBreak/>
        <w:t>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行政事业单位养老支出（款）机关事业单位基本养老保险缴费支出（项）支出</w:t>
      </w:r>
      <w:r>
        <w:rPr>
          <w:rFonts w:ascii="仿宋" w:eastAsia="仿宋" w:hAnsi="仿宋" w:cs="仿宋"/>
        </w:rPr>
        <w:t>22.86</w:t>
      </w:r>
      <w:r>
        <w:rPr>
          <w:rFonts w:ascii="仿宋" w:eastAsia="仿宋" w:hAnsi="仿宋" w:cs="仿宋"/>
        </w:rPr>
        <w:t>万元，与上年相比增加</w:t>
      </w:r>
      <w:r>
        <w:rPr>
          <w:rFonts w:ascii="仿宋" w:eastAsia="仿宋" w:hAnsi="仿宋" w:cs="仿宋"/>
        </w:rPr>
        <w:t>10.85</w:t>
      </w:r>
      <w:r>
        <w:rPr>
          <w:rFonts w:ascii="仿宋" w:eastAsia="仿宋" w:hAnsi="仿宋" w:cs="仿宋"/>
        </w:rPr>
        <w:t>万元，增长</w:t>
      </w:r>
      <w:r>
        <w:rPr>
          <w:rFonts w:ascii="仿宋" w:eastAsia="仿宋" w:hAnsi="仿宋" w:cs="仿宋"/>
        </w:rPr>
        <w:t>90</w:t>
      </w:r>
      <w:r>
        <w:rPr>
          <w:rFonts w:ascii="仿宋" w:eastAsia="仿宋" w:hAnsi="仿宋" w:cs="仿宋"/>
        </w:rPr>
        <w:t>.34%</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行政事业单位养老支出（款）机关事业单位职业年金缴费支出（项）支出</w:t>
      </w:r>
      <w:r>
        <w:rPr>
          <w:rFonts w:ascii="仿宋" w:eastAsia="仿宋" w:hAnsi="仿宋" w:cs="仿宋"/>
        </w:rPr>
        <w:t>11.43</w:t>
      </w:r>
      <w:r>
        <w:rPr>
          <w:rFonts w:ascii="仿宋" w:eastAsia="仿宋" w:hAnsi="仿宋" w:cs="仿宋"/>
        </w:rPr>
        <w:t>万元，与上年相比增加</w:t>
      </w:r>
      <w:r>
        <w:rPr>
          <w:rFonts w:ascii="仿宋" w:eastAsia="仿宋" w:hAnsi="仿宋" w:cs="仿宋"/>
        </w:rPr>
        <w:t>5.42</w:t>
      </w:r>
      <w:r>
        <w:rPr>
          <w:rFonts w:ascii="仿宋" w:eastAsia="仿宋" w:hAnsi="仿宋" w:cs="仿宋"/>
        </w:rPr>
        <w:t>万元，增长</w:t>
      </w:r>
      <w:r>
        <w:rPr>
          <w:rFonts w:ascii="仿宋" w:eastAsia="仿宋" w:hAnsi="仿宋" w:cs="仿宋"/>
        </w:rPr>
        <w:t>90.18%</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其他社会保障和就业支出（款）其他社会保障和就业支出（项）支出</w:t>
      </w:r>
      <w:r>
        <w:rPr>
          <w:rFonts w:ascii="仿宋" w:eastAsia="仿宋" w:hAnsi="仿宋" w:cs="仿宋"/>
        </w:rPr>
        <w:t>1.64</w:t>
      </w:r>
      <w:r>
        <w:rPr>
          <w:rFonts w:ascii="仿宋" w:eastAsia="仿宋" w:hAnsi="仿宋" w:cs="仿宋"/>
        </w:rPr>
        <w:t>万元，与上年相比减少</w:t>
      </w:r>
      <w:r>
        <w:rPr>
          <w:rFonts w:ascii="仿宋" w:eastAsia="仿宋" w:hAnsi="仿宋" w:cs="仿宋"/>
        </w:rPr>
        <w:t>3.84</w:t>
      </w:r>
      <w:r>
        <w:rPr>
          <w:rFonts w:ascii="仿宋" w:eastAsia="仿宋" w:hAnsi="仿宋" w:cs="仿宋"/>
        </w:rPr>
        <w:t>万元，减少</w:t>
      </w:r>
      <w:r>
        <w:rPr>
          <w:rFonts w:ascii="仿宋" w:eastAsia="仿宋" w:hAnsi="仿宋" w:cs="仿宋"/>
        </w:rPr>
        <w:t>70.07%</w:t>
      </w:r>
      <w:r>
        <w:rPr>
          <w:rFonts w:ascii="仿宋" w:eastAsia="仿宋" w:hAnsi="仿宋" w:cs="仿宋"/>
        </w:rPr>
        <w:t>。主要原因是功能分类调整。</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（三）卫生健康支出（类）</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行政事业单位医疗（款）事业单位医疗（项）支出</w:t>
      </w:r>
      <w:r>
        <w:rPr>
          <w:rFonts w:ascii="仿宋" w:eastAsia="仿宋" w:hAnsi="仿宋" w:cs="仿宋"/>
        </w:rPr>
        <w:t>10.32</w:t>
      </w:r>
      <w:r>
        <w:rPr>
          <w:rFonts w:ascii="仿宋" w:eastAsia="仿宋" w:hAnsi="仿宋" w:cs="仿宋"/>
        </w:rPr>
        <w:t>万元，与上年相比增加</w:t>
      </w:r>
      <w:r>
        <w:rPr>
          <w:rFonts w:ascii="仿宋" w:eastAsia="仿宋" w:hAnsi="仿宋" w:cs="仿宋"/>
        </w:rPr>
        <w:t>10.32</w:t>
      </w:r>
      <w:r>
        <w:rPr>
          <w:rFonts w:ascii="仿宋" w:eastAsia="仿宋" w:hAnsi="仿宋" w:cs="仿宋"/>
        </w:rPr>
        <w:t>万元（去年预算数为</w:t>
      </w:r>
      <w:r>
        <w:rPr>
          <w:rFonts w:ascii="仿宋" w:eastAsia="仿宋" w:hAnsi="仿宋" w:cs="仿宋"/>
        </w:rPr>
        <w:t>0</w:t>
      </w:r>
      <w:r>
        <w:rPr>
          <w:rFonts w:ascii="仿宋" w:eastAsia="仿宋" w:hAnsi="仿宋" w:cs="仿宋"/>
        </w:rPr>
        <w:t>万元，无法计算增减比率）。主要原因是功能分类调整</w:t>
      </w:r>
      <w:r>
        <w:rPr>
          <w:rFonts w:ascii="仿宋" w:eastAsia="仿宋" w:hAnsi="仿宋" w:cs="仿宋"/>
        </w:rPr>
        <w:t>。</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（四）住房保障支出（类）</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住房改革支出（款）住房公积金（项）支出</w:t>
      </w:r>
      <w:r>
        <w:rPr>
          <w:rFonts w:ascii="仿宋" w:eastAsia="仿宋" w:hAnsi="仿宋" w:cs="仿宋"/>
        </w:rPr>
        <w:t>18.65</w:t>
      </w:r>
      <w:r>
        <w:rPr>
          <w:rFonts w:ascii="仿宋" w:eastAsia="仿宋" w:hAnsi="仿宋" w:cs="仿宋"/>
        </w:rPr>
        <w:t>万元，与上年相比增加</w:t>
      </w:r>
      <w:r>
        <w:rPr>
          <w:rFonts w:ascii="仿宋" w:eastAsia="仿宋" w:hAnsi="仿宋" w:cs="仿宋"/>
        </w:rPr>
        <w:t>4.92</w:t>
      </w:r>
      <w:r>
        <w:rPr>
          <w:rFonts w:ascii="仿宋" w:eastAsia="仿宋" w:hAnsi="仿宋" w:cs="仿宋"/>
        </w:rPr>
        <w:t>万元，增长</w:t>
      </w:r>
      <w:r>
        <w:rPr>
          <w:rFonts w:ascii="仿宋" w:eastAsia="仿宋" w:hAnsi="仿宋" w:cs="仿宋"/>
        </w:rPr>
        <w:t>35.83%</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住房改革支出（款）提租补贴（项）支出</w:t>
      </w:r>
      <w:r>
        <w:rPr>
          <w:rFonts w:ascii="仿宋" w:eastAsia="仿宋" w:hAnsi="仿宋" w:cs="仿宋"/>
        </w:rPr>
        <w:t>10.78</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29.61</w:t>
      </w:r>
      <w:r>
        <w:rPr>
          <w:rFonts w:ascii="仿宋" w:eastAsia="仿宋" w:hAnsi="仿宋" w:cs="仿宋"/>
        </w:rPr>
        <w:t>万元，与上年相比增加</w:t>
      </w:r>
      <w:r>
        <w:rPr>
          <w:rFonts w:ascii="仿宋" w:eastAsia="仿宋" w:hAnsi="仿宋" w:cs="仿宋"/>
        </w:rPr>
        <w:t>10.65</w:t>
      </w:r>
      <w:r>
        <w:rPr>
          <w:rFonts w:ascii="仿宋" w:eastAsia="仿宋" w:hAnsi="仿宋" w:cs="仿宋"/>
        </w:rPr>
        <w:t>万元，增长</w:t>
      </w:r>
      <w:r>
        <w:rPr>
          <w:rFonts w:ascii="仿宋" w:eastAsia="仿宋" w:hAnsi="仿宋" w:cs="仿宋"/>
        </w:rPr>
        <w:t>56.17%</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江阴市旅游事业发展服务中心</w:t>
      </w:r>
      <w:r>
        <w:rPr>
          <w:rFonts w:ascii="仿宋" w:eastAsia="仿宋" w:hAnsi="仿宋" w:cs="仿宋"/>
        </w:rPr>
        <w:t>2025</w:t>
      </w:r>
      <w:r>
        <w:rPr>
          <w:rFonts w:ascii="仿宋" w:eastAsia="仿宋" w:hAnsi="仿宋" w:cs="仿宋"/>
        </w:rPr>
        <w:t>年度财政拨款基本支出预算</w:t>
      </w:r>
      <w:r>
        <w:rPr>
          <w:rFonts w:ascii="仿宋" w:eastAsia="仿宋" w:hAnsi="仿宋" w:cs="仿宋"/>
        </w:rPr>
        <w:t>310.81</w:t>
      </w:r>
      <w:r>
        <w:rPr>
          <w:rFonts w:ascii="仿宋" w:eastAsia="仿宋" w:hAnsi="仿宋" w:cs="仿宋"/>
        </w:rPr>
        <w:t>万元，其中：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300.67</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对个人和家庭的补助。</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10.14</w:t>
      </w:r>
      <w:r>
        <w:rPr>
          <w:rFonts w:ascii="仿宋" w:eastAsia="仿宋" w:hAnsi="仿宋" w:cs="仿宋"/>
        </w:rPr>
        <w:t>万元。主要包括：办公费、差旅费、培训费、工会经费、其他交通费用。</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年一般公共预算财政拨款支出预算</w:t>
      </w:r>
      <w:r>
        <w:rPr>
          <w:rFonts w:ascii="仿宋" w:eastAsia="仿宋" w:hAnsi="仿宋" w:cs="仿宋"/>
        </w:rPr>
        <w:t>310.81</w:t>
      </w:r>
      <w:r>
        <w:rPr>
          <w:rFonts w:ascii="仿宋" w:eastAsia="仿宋" w:hAnsi="仿宋" w:cs="仿宋"/>
        </w:rPr>
        <w:t>万元，与上年相比增加</w:t>
      </w:r>
      <w:r>
        <w:rPr>
          <w:rFonts w:ascii="仿宋" w:eastAsia="仿宋" w:hAnsi="仿宋" w:cs="仿宋"/>
        </w:rPr>
        <w:t>94.48</w:t>
      </w:r>
      <w:r>
        <w:rPr>
          <w:rFonts w:ascii="仿宋" w:eastAsia="仿宋" w:hAnsi="仿宋" w:cs="仿宋"/>
        </w:rPr>
        <w:t>万元，增长</w:t>
      </w:r>
      <w:r>
        <w:rPr>
          <w:rFonts w:ascii="仿宋" w:eastAsia="仿宋" w:hAnsi="仿宋" w:cs="仿宋"/>
        </w:rPr>
        <w:t>43.67%</w:t>
      </w:r>
      <w:r>
        <w:rPr>
          <w:rFonts w:ascii="仿宋" w:eastAsia="仿宋" w:hAnsi="仿宋" w:cs="仿宋"/>
        </w:rPr>
        <w:t>。主要原因是人员增加。</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w:t>
      </w:r>
      <w:r>
        <w:rPr>
          <w:rFonts w:ascii="仿宋" w:eastAsia="仿宋" w:hAnsi="仿宋" w:cs="仿宋"/>
          <w:b/>
        </w:rPr>
        <w:t>基本支出预算情况说明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年度一般公共预算财政拨款基本支出预算</w:t>
      </w:r>
      <w:r>
        <w:rPr>
          <w:rFonts w:ascii="仿宋" w:eastAsia="仿宋" w:hAnsi="仿宋" w:cs="仿宋"/>
        </w:rPr>
        <w:t>310.81</w:t>
      </w:r>
      <w:r>
        <w:rPr>
          <w:rFonts w:ascii="仿宋" w:eastAsia="仿宋" w:hAnsi="仿宋" w:cs="仿宋"/>
        </w:rPr>
        <w:t>万元，其中：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300.67</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对个人和家庭的补助。</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10.14</w:t>
      </w:r>
      <w:r>
        <w:rPr>
          <w:rFonts w:ascii="仿宋" w:eastAsia="仿宋" w:hAnsi="仿宋" w:cs="仿宋"/>
        </w:rPr>
        <w:t>万元。主要包括：办公费、差旅费、培训费、工会经费、其他交通费用。</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江阴市旅游事业发展服务中心</w:t>
      </w:r>
      <w:r>
        <w:rPr>
          <w:rFonts w:ascii="仿宋" w:eastAsia="仿宋" w:hAnsi="仿宋" w:cs="仿宋"/>
        </w:rPr>
        <w:t>2025</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0</w:t>
      </w:r>
      <w:r>
        <w:rPr>
          <w:rFonts w:ascii="仿宋" w:eastAsia="仿宋" w:hAnsi="仿宋" w:cs="仿宋"/>
        </w:rPr>
        <w:t>万元，与上年预算数相同。其中，因公出国（境）费支出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。具体情况如下：</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w:t>
      </w:r>
      <w:r>
        <w:rPr>
          <w:rFonts w:ascii="仿宋" w:eastAsia="仿宋" w:hAnsi="仿宋" w:cs="仿宋"/>
        </w:rPr>
        <w:t>待费预算支出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年度一般公共预算拨款安排的会议费预算支出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年度一般公共预算拨款安排的培训费预算支出</w:t>
      </w:r>
      <w:r>
        <w:rPr>
          <w:rFonts w:ascii="仿宋" w:eastAsia="仿宋" w:hAnsi="仿宋" w:cs="仿宋"/>
        </w:rPr>
        <w:t>0.9</w:t>
      </w:r>
      <w:r>
        <w:rPr>
          <w:rFonts w:ascii="仿宋" w:eastAsia="仿宋" w:hAnsi="仿宋" w:cs="仿宋"/>
        </w:rPr>
        <w:t>万元，比上年预算减少</w:t>
      </w:r>
      <w:r>
        <w:rPr>
          <w:rFonts w:ascii="仿宋" w:eastAsia="仿宋" w:hAnsi="仿宋" w:cs="仿宋"/>
        </w:rPr>
        <w:t>0.1</w:t>
      </w:r>
      <w:r>
        <w:rPr>
          <w:rFonts w:ascii="仿宋" w:eastAsia="仿宋" w:hAnsi="仿宋" w:cs="仿宋"/>
        </w:rPr>
        <w:t>万元，主要原因是厉行节约。</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年政府性基金支出预算支出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w:t>
      </w:r>
      <w:r>
        <w:rPr>
          <w:rFonts w:ascii="仿宋" w:eastAsia="仿宋" w:hAnsi="仿宋" w:cs="仿宋"/>
        </w:rPr>
        <w:t>2025</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w:t>
      </w:r>
      <w:r>
        <w:rPr>
          <w:rFonts w:ascii="仿宋" w:eastAsia="仿宋" w:hAnsi="仿宋" w:cs="仿宋"/>
        </w:rPr>
        <w:t>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2025</w:t>
      </w:r>
      <w:r>
        <w:rPr>
          <w:rFonts w:ascii="仿宋" w:eastAsia="仿宋" w:hAnsi="仿宋" w:cs="仿宋"/>
        </w:rPr>
        <w:t>年本单位一般公共预算机关运行经费预算支出</w:t>
      </w:r>
      <w:r>
        <w:rPr>
          <w:rFonts w:ascii="仿宋" w:eastAsia="仿宋" w:hAnsi="仿宋" w:cs="仿宋"/>
        </w:rPr>
        <w:t>0</w:t>
      </w:r>
      <w:r>
        <w:rPr>
          <w:rFonts w:ascii="仿宋" w:eastAsia="仿宋" w:hAnsi="仿宋" w:cs="仿宋"/>
        </w:rPr>
        <w:t>万元，与上年预算数相同。</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2025</w:t>
      </w:r>
      <w:r>
        <w:rPr>
          <w:rFonts w:ascii="仿宋" w:eastAsia="仿宋" w:hAnsi="仿宋" w:cs="仿宋"/>
        </w:rPr>
        <w:t>年度政府采购支出预算总额</w:t>
      </w:r>
      <w:r>
        <w:rPr>
          <w:rFonts w:ascii="仿宋" w:eastAsia="仿宋" w:hAnsi="仿宋" w:cs="仿宋"/>
        </w:rPr>
        <w:t>0.1</w:t>
      </w:r>
      <w:r>
        <w:rPr>
          <w:rFonts w:ascii="仿宋" w:eastAsia="仿宋" w:hAnsi="仿宋" w:cs="仿宋"/>
        </w:rPr>
        <w:t>万元，其中：拟采购货物支出</w:t>
      </w:r>
      <w:r>
        <w:rPr>
          <w:rFonts w:ascii="仿宋" w:eastAsia="仿宋" w:hAnsi="仿宋" w:cs="仿宋"/>
        </w:rPr>
        <w:t>0.1</w:t>
      </w:r>
      <w:r>
        <w:rPr>
          <w:rFonts w:ascii="仿宋" w:eastAsia="仿宋" w:hAnsi="仿宋" w:cs="仿宋"/>
        </w:rPr>
        <w:t>万元、拟采购工程支出</w:t>
      </w:r>
      <w:r>
        <w:rPr>
          <w:rFonts w:ascii="仿宋" w:eastAsia="仿宋" w:hAnsi="仿宋" w:cs="仿宋"/>
        </w:rPr>
        <w:t>0</w:t>
      </w:r>
      <w:r>
        <w:rPr>
          <w:rFonts w:ascii="仿宋" w:eastAsia="仿宋" w:hAnsi="仿宋" w:cs="仿宋"/>
        </w:rPr>
        <w:t>万元、拟采购服务支出</w:t>
      </w:r>
      <w:r>
        <w:rPr>
          <w:rFonts w:ascii="仿宋" w:eastAsia="仿宋" w:hAnsi="仿宋" w:cs="仿宋"/>
        </w:rPr>
        <w:t>0</w:t>
      </w:r>
      <w:r>
        <w:rPr>
          <w:rFonts w:ascii="仿宋" w:eastAsia="仿宋" w:hAnsi="仿宋" w:cs="仿宋"/>
        </w:rPr>
        <w:t>万元。</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辆，其中，副部（省）级及以上领导用车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8E00C4" w:rsidRDefault="0000011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2025</w:t>
      </w:r>
      <w:r>
        <w:rPr>
          <w:rFonts w:ascii="仿宋" w:eastAsia="仿宋" w:hAnsi="仿宋" w:cs="仿宋"/>
        </w:rPr>
        <w:t>年度，本单位整体支出纳入绩效目标管理，涉及财政性资金</w:t>
      </w:r>
      <w:r>
        <w:rPr>
          <w:rFonts w:ascii="仿宋" w:eastAsia="仿宋" w:hAnsi="仿宋" w:cs="仿宋"/>
        </w:rPr>
        <w:t>310.81</w:t>
      </w:r>
      <w:r>
        <w:rPr>
          <w:rFonts w:ascii="仿宋" w:eastAsia="仿宋" w:hAnsi="仿宋" w:cs="仿宋"/>
        </w:rPr>
        <w:t>万元；本单位共</w:t>
      </w:r>
      <w:r>
        <w:rPr>
          <w:rFonts w:ascii="仿宋" w:eastAsia="仿宋" w:hAnsi="仿宋" w:cs="仿宋"/>
        </w:rPr>
        <w:t>0</w:t>
      </w:r>
      <w:r>
        <w:rPr>
          <w:rFonts w:ascii="仿宋" w:eastAsia="仿宋" w:hAnsi="仿宋" w:cs="仿宋"/>
        </w:rPr>
        <w:t>个项目纳入绩效目标管理，涉及财政性资金合计</w:t>
      </w:r>
      <w:r>
        <w:rPr>
          <w:rFonts w:ascii="仿宋" w:eastAsia="仿宋" w:hAnsi="仿宋" w:cs="仿宋"/>
        </w:rPr>
        <w:t>0</w:t>
      </w:r>
      <w:r>
        <w:rPr>
          <w:rFonts w:ascii="仿宋" w:eastAsia="仿宋" w:hAnsi="仿宋" w:cs="仿宋"/>
        </w:rPr>
        <w:t>万元，占财政性资金</w:t>
      </w:r>
      <w:r>
        <w:rPr>
          <w:rFonts w:ascii="仿宋" w:eastAsia="仿宋" w:hAnsi="仿宋" w:cs="仿宋"/>
        </w:rPr>
        <w:t>(</w:t>
      </w:r>
      <w:r>
        <w:rPr>
          <w:rFonts w:ascii="仿宋" w:eastAsia="仿宋" w:hAnsi="仿宋" w:cs="仿宋"/>
        </w:rPr>
        <w:t>人员类和运转类中的公用经费项目支出除外</w:t>
      </w:r>
      <w:r>
        <w:rPr>
          <w:rFonts w:ascii="仿宋" w:eastAsia="仿宋" w:hAnsi="仿宋" w:cs="仿宋"/>
        </w:rPr>
        <w:t>)</w:t>
      </w:r>
      <w:r>
        <w:rPr>
          <w:rFonts w:ascii="仿宋" w:eastAsia="仿宋" w:hAnsi="仿宋" w:cs="仿宋"/>
        </w:rPr>
        <w:t>总额的比例为</w:t>
      </w:r>
      <w:r>
        <w:rPr>
          <w:rFonts w:ascii="仿宋" w:eastAsia="仿宋" w:hAnsi="仿宋" w:cs="仿宋"/>
        </w:rPr>
        <w:t>0%</w:t>
      </w:r>
      <w:r>
        <w:rPr>
          <w:rFonts w:ascii="仿宋" w:eastAsia="仿宋" w:hAnsi="仿宋" w:cs="仿宋"/>
        </w:rPr>
        <w:t>。</w:t>
      </w:r>
    </w:p>
    <w:p w:rsidR="008E00C4" w:rsidRDefault="00000116">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8E00C4" w:rsidRDefault="008E00C4">
      <w:pPr>
        <w:pStyle w:val="a4"/>
        <w:tabs>
          <w:tab w:val="left" w:pos="3864"/>
          <w:tab w:val="left" w:pos="6248"/>
          <w:tab w:val="left" w:pos="7386"/>
        </w:tabs>
        <w:ind w:leftChars="200" w:left="440" w:firstLineChars="206" w:firstLine="659"/>
        <w:jc w:val="both"/>
        <w:rPr>
          <w:rFonts w:ascii="仿宋" w:eastAsia="仿宋" w:hAnsi="仿宋" w:cs="仿宋"/>
        </w:rPr>
      </w:pP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w:t>
      </w:r>
      <w:r>
        <w:rPr>
          <w:rFonts w:ascii="仿宋" w:eastAsia="仿宋" w:hAnsi="仿宋" w:cs="仿宋" w:hint="eastAsia"/>
        </w:rPr>
        <w:t>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文化和旅游管理事务</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反映文化和旅游管理事务支出。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w:t>
      </w:r>
      <w:r>
        <w:rPr>
          <w:rFonts w:ascii="仿宋" w:eastAsia="仿宋" w:hAnsi="仿宋" w:cs="仿宋" w:hint="eastAsia"/>
          <w:b/>
          <w:bCs/>
        </w:rPr>
        <w:lastRenderedPageBreak/>
        <w:t>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w:t>
      </w:r>
      <w:r>
        <w:rPr>
          <w:rFonts w:ascii="仿宋" w:eastAsia="仿宋" w:hAnsi="仿宋" w:cs="仿宋" w:hint="eastAsia"/>
          <w:b/>
          <w:bCs/>
        </w:rPr>
        <w:t>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十二、卫生健康支出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行政事业单位医疗</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事业单位医疗</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反映财政部门安排的事业单位基本医疗保险缴费经费，未参加医疗保险的事业单位的公费医疗经费，按国家规定享受离休人员待遇的医疗经费。</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8E00C4" w:rsidRDefault="0000011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反映按房改政策规定，行政事业单位向符合条件职工（含离退休人员）、军队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sectPr w:rsidR="008E00C4">
      <w:pgSz w:w="11906" w:h="16838"/>
      <w:pgMar w:top="1580" w:right="820" w:bottom="770" w:left="822" w:header="170" w:footer="280" w:gutter="0"/>
      <w:pgNumType w:fmt="numberInDash"/>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116" w:rsidRDefault="00000116">
      <w:r>
        <w:separator/>
      </w:r>
    </w:p>
  </w:endnote>
  <w:endnote w:type="continuationSeparator" w:id="0">
    <w:p w:rsidR="00000116" w:rsidRDefault="0000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Unicode MS"/>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rPr>
        <w:rFonts w:ascii="黑体" w:eastAsia="黑体" w:hAnsi="黑体" w:cs="黑体"/>
      </w:rPr>
    </w:pPr>
    <w:r>
      <w:rPr>
        <w:rFonts w:ascii="黑体" w:eastAsia="黑体" w:hAnsi="黑体" w:cs="黑体"/>
      </w:rP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rsidR="008E00C4" w:rsidRDefault="0000011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0EC1">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- 14 -</w:t>
                </w:r>
                <w:r>
                  <w:rPr>
                    <w:rFonts w:hint="eastAsia"/>
                  </w:rPr>
                  <w:fldChar w:fldCharType="end"/>
                </w:r>
              </w:p>
            </w:txbxContent>
          </v:textbox>
          <w10:wrap anchorx="margin"/>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- 15 -</w:t>
                </w:r>
                <w:r>
                  <w:rPr>
                    <w:rFonts w:hint="eastAsia"/>
                  </w:rPr>
                  <w:fldChar w:fldCharType="end"/>
                </w:r>
              </w:p>
            </w:txbxContent>
          </v:textbox>
          <w10:wrap anchorx="margin"/>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- 17 -</w:t>
                </w:r>
                <w:r>
                  <w:rPr>
                    <w:rFonts w:hint="eastAsia"/>
                  </w:rPr>
                  <w:fldChar w:fldCharType="end"/>
                </w:r>
              </w:p>
            </w:txbxContent>
          </v:textbox>
          <w10:wrap anchorx="margin"/>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- 18 -</w:t>
                </w:r>
                <w:r>
                  <w:rPr>
                    <w:rFonts w:hint="eastAsia"/>
                  </w:rPr>
                  <w:fldChar w:fldCharType="end"/>
                </w:r>
              </w:p>
            </w:txbxContent>
          </v:textbox>
          <w10:wrap anchorx="margin"/>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- 19 -</w:t>
                </w:r>
                <w:r>
                  <w:rPr>
                    <w:rFonts w:hint="eastAsia"/>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rPr>
        <w:rFonts w:ascii="黑体" w:eastAsia="黑体" w:hAnsi="黑体" w:cs="黑体"/>
      </w:rPr>
    </w:pPr>
    <w:r>
      <w:rPr>
        <w:rFonts w:ascii="黑体" w:eastAsia="黑体" w:hAnsi="黑体" w:cs="黑体"/>
      </w:rPr>
      <w:pict>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rsidR="008E00C4" w:rsidRDefault="0000011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140EC1">
                  <w:rPr>
                    <w:rFonts w:ascii="黑体" w:eastAsia="黑体" w:hAnsi="黑体" w:cs="黑体"/>
                    <w:noProof/>
                  </w:rPr>
                  <w:t>- 4 -</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- 6 -</w:t>
                </w:r>
                <w:r>
                  <w:rPr>
                    <w:rFonts w:hint="eastAsia"/>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- 7 -</w:t>
                </w:r>
                <w:r>
                  <w:rPr>
                    <w:rFonts w:hint="eastAsia"/>
                  </w:rPr>
                  <w:fldChar w:fldCharType="end"/>
                </w:r>
              </w:p>
            </w:txbxContent>
          </v:textbox>
          <w10:wrap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- 8 -</w:t>
                </w:r>
                <w:r>
                  <w:rPr>
                    <w:rFonts w:hint="eastAsia"/>
                  </w:rPr>
                  <w:fldChar w:fldCharType="end"/>
                </w: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- 10 -</w:t>
                </w:r>
                <w:r>
                  <w:rPr>
                    <w:rFonts w:hint="eastAsia"/>
                  </w:rPr>
                  <w:fldChar w:fldCharType="end"/>
                </w: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- 11 -</w:t>
                </w:r>
                <w:r>
                  <w:rPr>
                    <w:rFonts w:hint="eastAsia"/>
                  </w:rPr>
                  <w:fldChar w:fldCharType="end"/>
                </w:r>
              </w:p>
            </w:txbxContent>
          </v:textbox>
          <w10:wrap anchorx="margin"/>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- 12 -</w:t>
                </w:r>
                <w:r>
                  <w:rPr>
                    <w:rFonts w:hint="eastAsia"/>
                  </w:rPr>
                  <w:fldChar w:fldCharType="end"/>
                </w:r>
              </w:p>
            </w:txbxContent>
          </v:textbox>
          <w10:wrap anchorx="margin"/>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5"/>
      <w:jc w:val="center"/>
    </w:pPr>
    <w:r>
      <w:pict>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8E00C4" w:rsidRDefault="00000116">
                <w:pPr>
                  <w:pStyle w:val="a5"/>
                </w:pPr>
                <w:r>
                  <w:rPr>
                    <w:rFonts w:hint="eastAsia"/>
                  </w:rPr>
                  <w:fldChar w:fldCharType="begin"/>
                </w:r>
                <w:r>
                  <w:rPr>
                    <w:rFonts w:hint="eastAsia"/>
                  </w:rPr>
                  <w:instrText xml:space="preserve"> PAGE  \* MERGEFORMAT </w:instrText>
                </w:r>
                <w:r>
                  <w:rPr>
                    <w:rFonts w:hint="eastAsia"/>
                  </w:rPr>
                  <w:fldChar w:fldCharType="separate"/>
                </w:r>
                <w:r w:rsidR="00140EC1">
                  <w:rPr>
                    <w:noProof/>
                  </w:rPr>
                  <w:t>- 13 -</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116" w:rsidRDefault="00000116">
      <w:r>
        <w:separator/>
      </w:r>
    </w:p>
  </w:footnote>
  <w:footnote w:type="continuationSeparator" w:id="0">
    <w:p w:rsidR="00000116" w:rsidRDefault="00000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000116">
    <w:pPr>
      <w:pStyle w:val="a6"/>
      <w:pBdr>
        <w:bottom w:val="single" w:sz="4" w:space="1" w:color="000000"/>
      </w:pBdr>
      <w:jc w:val="both"/>
      <w:rPr>
        <w:lang w:val="en-US"/>
      </w:rPr>
    </w:pPr>
    <w:r>
      <w:rPr>
        <w:rFonts w:hint="eastAsia"/>
        <w:lang w:val="en-US"/>
      </w:rPr>
      <w:t>江阴市旅游事业发展服务中心</w:t>
    </w:r>
    <w:r>
      <w:t>2025</w:t>
    </w:r>
    <w:r>
      <w:t>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0C4" w:rsidRDefault="008E00C4">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0"/>
  <w:autoHyphenation/>
  <w:noPunctuationKerning/>
  <w:characterSpacingControl w:val="doNotCompress"/>
  <w:hdrShapeDefaults>
    <o:shapedefaults v:ext="edit" spidmax="3090"/>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8E00C4"/>
    <w:rsid w:val="DBEED555"/>
    <w:rsid w:val="00000116"/>
    <w:rsid w:val="00064984"/>
    <w:rsid w:val="00071288"/>
    <w:rsid w:val="00071789"/>
    <w:rsid w:val="000F12AB"/>
    <w:rsid w:val="00140EC1"/>
    <w:rsid w:val="001C31F9"/>
    <w:rsid w:val="00407CA7"/>
    <w:rsid w:val="00413AD8"/>
    <w:rsid w:val="00671ED7"/>
    <w:rsid w:val="00672164"/>
    <w:rsid w:val="00867423"/>
    <w:rsid w:val="008B5B05"/>
    <w:rsid w:val="008E00C4"/>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1"/>
    </o:shapelayout>
  </w:shapeDefaults>
  <w:decimalSymbol w:val="."/>
  <w:listSeparator w:val=","/>
  <w15:docId w15:val="{E13A2FAC-E8E4-4CF0-B8A0-D295BEF3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出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1946</Words>
  <Characters>11095</Characters>
  <Application>Microsoft Office Word</Application>
  <DocSecurity>0</DocSecurity>
  <Lines>92</Lines>
  <Paragraphs>26</Paragraphs>
  <ScaleCrop>false</ScaleCrop>
  <Company>000</Company>
  <LinksUpToDate>false</LinksUpToDate>
  <CharactersWithSpaces>13015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Windows 用户</cp:lastModifiedBy>
  <cp:revision>176</cp:revision>
  <dcterms:created xsi:type="dcterms:W3CDTF">2021-04-16T03:22:00Z</dcterms:created>
  <dcterms:modified xsi:type="dcterms:W3CDTF">2025-02-12T02:36:00Z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