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r>
              <w:rPr>
                <w:rFonts w:hint="eastAsia" w:ascii="仿宋" w:hAnsi="仿宋" w:eastAsia="仿宋" w:cs="仿宋"/>
                <w:b/>
                <w:bCs/>
                <w:color w:val="FF0000"/>
                <w:sz w:val="22"/>
                <w:szCs w:val="22"/>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hint="eastAsia" w:ascii="宋体" w:hAnsi="宋体" w:eastAsia="宋体" w:cs="宋体"/>
                <w:b/>
                <w:bCs/>
                <w:sz w:val="52"/>
                <w:szCs w:val="52"/>
                <w:lang w:val="en-US" w:eastAsia="zh-CN"/>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xml:space="preserve">2025年度</w:t>
              <w:br w:type="textWrapping"/>
              <w:t/>
            </w:r>
            <w:r>
              <w:rPr>
                <w:rFonts w:ascii="宋体" w:hAnsi="宋体" w:cs="宋体" w:eastAsia="宋体"/>
                <w:b w:val="true"/>
                <w:sz w:val="52"/>
              </w:rPr>
              <w:t>江阴市文物保护和考古研究中心</w:t>
            </w:r>
            <w:r>
              <w:rPr>
                <w:rFonts w:ascii="宋体" w:hAnsi="宋体" w:cs="宋体" w:eastAsia="宋体"/>
                <w:b w:val="true"/>
                <w:sz w:val="52"/>
              </w:rPr>
              <w:t xml:space="preserve"></w:t>
              <w:br w:type="textWrapping"/>
              <w:t>单位预算公开</w:t>
            </w:r>
            <w:r>
              <w:rPr>
                <w:rFonts w:ascii="宋体" w:hAnsi="宋体" w:cs="宋体" w:eastAsia="宋体"/>
                <w:b w:val="true"/>
                <w:sz w:val="52"/>
              </w:rPr>
              <w:t/>
            </w:r>
            <w:r>
              <w:rPr>
                <w:rFonts w:ascii="宋体" w:hAnsi="宋体" w:cs="宋体" w:eastAsia="宋体"/>
                <w:b w:val="true"/>
                <w:sz w:val="52"/>
              </w:rPr>
              <w:t/>
            </w:r>
          </w:p>
        </w:tc>
      </w:tr>
    </w:tbl>
    <w:p>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2025</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2025</w:t>
      </w:r>
      <w:r>
        <w:rPr>
          <w:rFonts w:hint="eastAsia" w:ascii="仿宋" w:hAnsi="仿宋" w:eastAsia="仿宋" w:cs="仿宋"/>
          <w:b/>
          <w:bCs/>
          <w:lang w:val="en-US" w:eastAsia="zh-CN"/>
        </w:rPr>
        <w:t>年度</w:t>
      </w:r>
      <w:r>
        <w:rPr>
          <w:rFonts w:ascii="仿宋" w:hAnsi="仿宋" w:cs="仿宋" w:eastAsia="仿宋"/>
          <w:b w:val="true"/>
        </w:rPr>
        <w:t>单位</w:t>
      </w:r>
      <w:r>
        <w:rPr>
          <w:rFonts w:ascii="仿宋" w:hAnsi="仿宋" w:cs="仿宋" w:eastAsia="仿宋"/>
          <w:b w:val="true"/>
        </w:rPr>
        <w:t>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2025</w:t>
      </w:r>
      <w:r>
        <w:rPr>
          <w:rFonts w:hint="eastAsia" w:ascii="仿宋" w:hAnsi="仿宋" w:eastAsia="仿宋" w:cs="仿宋"/>
          <w:b/>
          <w:bCs/>
          <w:color w:val="000000"/>
          <w:sz w:val="30"/>
          <w:szCs w:val="30"/>
          <w:lang w:val="en-US" w:bidi="ar"/>
        </w:rPr>
        <w:t>年度</w:t>
      </w:r>
      <w:r>
        <w:rPr>
          <w:rFonts w:ascii="仿宋" w:hAnsi="仿宋" w:cs="仿宋" w:eastAsia="仿宋"/>
          <w:b w:val="true"/>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w:t>
      </w:r>
      <w:r>
        <w:rPr>
          <w:rFonts w:hint="eastAsia" w:ascii="仿宋" w:hAnsi="仿宋" w:eastAsia="仿宋" w:cs="仿宋"/>
          <w:b/>
          <w:bCs/>
        </w:rPr>
        <w:t>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(一)根据《中华人民共和国文物保护法》等法律、法规及有关政策，开展文物保护和考古研究中心各项管理工作。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二)负责要塞司令部、徐霞客故居、刘氏故居、江阴文庙、高城墩遗址、曹颖甫故居、唐公祠等文物保护单位的管理、开放、活化、维护、保养、监测、修缮、安全以及宣传、展示等工作，充分发挥场馆的社教功能。</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(三)协助做好全市不可移动文物资源调查和建档、文物保护规划编制、文物修缮保护及活化利用工程、文物价值评估和文保单位申报等工作。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(四)开展文物保护、考古等方面的业务研究、培训和交流活动，做好全市文保志愿者队伍管理工作。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(五)加强对全市地下文物的保护和管理，协助开展我市国有建设用地考古调查勘探发掘前置工作，开展文物考古工作，协助相关部门打击文物犯罪活动。</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(六)整理汇集考古、地方文献、地方名人等资料并进行相关文史研究。</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(七)落实本单位安全生产主体责任。</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(八)完成市文体广电和旅游局交办的其他任务。</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cs="仿宋" w:eastAsia="仿宋"/>
          <w:b w:val="true"/>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
      </w:r>
      <w:r>
        <w:rPr>
          <w:rFonts w:ascii="仿宋" w:hAnsi="仿宋" w:cs="仿宋" w:eastAsia="仿宋"/>
        </w:rPr>
        <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hint="eastAsia" w:ascii="仿宋" w:hAnsi="仿宋" w:eastAsia="仿宋" w:cs="仿宋"/>
          <w:lang w:val="en-US"/>
        </w:rPr>
        <w:t/>
      </w:r>
      <w:r>
        <w:rPr>
          <w:rFonts w:ascii="仿宋" w:hAnsi="仿宋" w:cs="仿宋" w:eastAsia="仿宋"/>
        </w:rPr>
        <w:t/>
      </w:r>
      <w:r>
        <w:rPr>
          <w:rFonts w:ascii="仿宋" w:hAnsi="仿宋" w:cs="仿宋" w:eastAsia="仿宋"/>
        </w:rPr>
        <w:t>本单位无内设机构。</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本单位无下属单位。</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2025</w:t>
      </w:r>
      <w:r>
        <w:rPr>
          <w:rFonts w:hint="eastAsia" w:ascii="仿宋" w:hAnsi="仿宋" w:eastAsia="仿宋" w:cs="仿宋"/>
          <w:b/>
          <w:bCs/>
        </w:rPr>
        <w:t>年度</w:t>
      </w:r>
      <w:r>
        <w:rPr>
          <w:rFonts w:ascii="仿宋" w:hAnsi="仿宋" w:cs="仿宋" w:eastAsia="仿宋"/>
          <w:b w:val="true"/>
        </w:rPr>
        <w:t>单位</w:t>
      </w:r>
      <w:r>
        <w:rPr>
          <w:rFonts w:ascii="仿宋" w:hAnsi="仿宋" w:cs="仿宋" w:eastAsia="仿宋"/>
          <w:b w:val="true"/>
        </w:rPr>
        <w:t>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1、擦亮“文保新活力”党建品牌，充分发挥党建引领作用，进一步扩大党建工作的影响力和覆盖面。</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2、按照时间节点保质保量完成第四次全国文物普查工作。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3、继续配合省文物考古研究院、无锡考古所做好我市田野发掘、考古前置工作。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4、挖掘中心下属场馆价值，创新形式，深入推动各文保场馆活化，全年举办大型活动不少于6场，举办公益活动不少于60场，推进“百宅百院”活化利用工程。</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5、徐霞客故居依托马镇城镇更新项目，开展故居和仰圣园改造工程，新增游客中心及旅游厕所，入口处进行环境整治，故居整体展陈进行数字化提升，增设《徐霞客游记》展厅，完成仰圣园文创区打造，沉浸式环湖游园微景观改造，增加灯光音乐设施，达到夜晚开放及实境演出条件，增设数字化展示碑刻互动设施，景区园林、地面美观处理，与江南大学共建实践教育基地。另外，除徐霞客故居外，完成至少1处场馆的展陈提升。</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6、要塞司令部积极对上争取展陈提升工程经费，谋划建设江阴要塞起义纪念馆，推动优秀传统军事文化创造性转化、创新性发展，力争打造我市红色文化会客厅。</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7、加强讲解员的培训和选拔工作，提高讲解员的专业素养和服务水平，为市民提供更优质的讲解，打造专业团队。</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8、深化中心文创产品开发利用，完善文庙、徐霞客故居文创展示功能，丰富明德学堂传统国学课程，优化高城墩考古研学阵地内容。</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9、征集考古研究文献，补充中心资料室；完善中心研究人才数据库，建设中心库房。</w:t>
      </w:r>
      <w:r>
        <w:rPr>
          <w:rFonts w:ascii="仿宋" w:hAnsi="仿宋" w:cs="仿宋" w:eastAsia="仿宋"/>
        </w:rPr>
        <w:t/>
      </w:r>
    </w:p>
    <w:p>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2025</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江阴市文物保护和考古研究中心</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cs="仿宋" w:eastAsia="仿宋"/>
          <w:b w:val="true"/>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tblPrEx>
          <w:tblCellMar>
            <w:top w:w="0" w:type="dxa"/>
            <w:left w:w="108" w:type="dxa"/>
            <w:bottom w:w="0" w:type="dxa"/>
            <w:right w:w="108" w:type="dxa"/>
          </w:tblCellMar>
        </w:tblPrEx>
        <w:trPr>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tblPrEx>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color w:val="000000"/>
                <w:sz w:val="22"/>
                <w:szCs w:val="22"/>
                <w:lang w:eastAsia="ar-SA"/>
              </w:rPr>
              <w:t>江阴市文物保护和考古研究中心</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tblPrEx>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tblPrEx>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745.06</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592.85</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49.15</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14.10</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88.96</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745.06</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745.06</w:t>
            </w:r>
          </w:p>
        </w:tc>
      </w:tr>
      <w:tr>
        <w:tblPrEx>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zh-CN" w:eastAsia="ar-SA"/>
              </w:rPr>
            </w:pPr>
            <w:r>
              <w:rPr>
                <w:rFonts w:hint="eastAsia" w:ascii="仿宋" w:hAnsi="仿宋" w:eastAsia="仿宋" w:cs="仿宋"/>
                <w:b/>
                <w:bCs/>
                <w:color w:val="000000"/>
                <w:sz w:val="22"/>
                <w:szCs w:val="22"/>
                <w:lang w:val="zh-CN" w:eastAsia="ar-SA"/>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
            </w: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745.06</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745.06</w:t>
            </w: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8"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江阴市文物保护和考古研究中心</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4"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04"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745.06</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745.06</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745.06</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358036</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江阴市文物保护和考古研究中心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745.06</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745.06</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745.06</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9"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江阴市文物保护和考古研究中心</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745.06</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505.58</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239.48</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592.85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353.37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239.48</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文物</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592.85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353.37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239.48</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2070204</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文物保护</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592.85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353.37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239.48</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49.15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49.15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46.91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46.91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31.27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31.27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15.64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15.64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210</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卫生健康支出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14.10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14.10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14.10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14.10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2101102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事业单位医疗</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14.10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14.10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88.96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88.96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88.96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88.96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25.54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25.54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44.58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44.58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18.84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18.84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江阴市文物保护和考古研究中心</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
            </w:r>
            <w:r>
              <w:rPr>
                <w:rFonts w:ascii="仿宋" w:hAnsi="仿宋" w:cs="仿宋" w:eastAsia="仿宋"/>
                <w:b w:val="true"/>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745.06</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745.06</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745.06</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592.85</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49.15</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14.10</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88.96</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745.06</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745.06</w:t>
            </w:r>
          </w:p>
        </w:tc>
      </w:tr>
    </w:tbl>
    <w:p>
      <w:pPr>
        <w:ind w:left="-220" w:leftChars="-100" w:firstLine="0" w:firstLineChars="0"/>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江阴市文物保护和考古研究中心</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745.06</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505.58</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478.32</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27.26</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239.48</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592.85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353.37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326.11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27.26</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239.48</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文物</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592.85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353.37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326.11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27.26</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239.48</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2070204</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文物保护</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592.85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353.37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326.11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27.26</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239.48</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49.15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49.15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49.15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46.91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46.91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46.91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31.27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31.27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31.27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15.64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15.64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15.64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2.24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2.24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2.24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2.24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2.24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2.24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210</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卫生健康支出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14.10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14.10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14.10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14.10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14.10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14.10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2101102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事业单位医疗</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14.10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14.10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14.10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88.96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88.96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88.96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88.96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88.96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88.96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25.54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25.54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25.54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44.58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44.58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44.58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18.84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18.84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18.84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江阴市文物保护和考古研究中心</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505.58</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478.32</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27.26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469.43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469.43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57.06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57.06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63.12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63.12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100.34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100.34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91.34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91.34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31.27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31.27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15.64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15.64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14.10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14.10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25.54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25.54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58.50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58.50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27.26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27.26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4.91</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11.75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11.75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1.17</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0.09</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0.12</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0.96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0.96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8.89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8.89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8.64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8.64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江阴市文物保护和考古研究中心</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745.06</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505.58</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478.32</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27.26</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239.48</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592.85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353.37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326.11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27.26</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239.48</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文物</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592.85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353.37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326.11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27.26</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239.48</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2070204</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文物保护</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592.85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353.37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326.11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27.26</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239.48</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49.15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49.15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49.15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46.91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46.91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46.91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31.27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31.27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31.27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15.64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15.64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15.64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210</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卫生健康支出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14.10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14.10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14.10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14.10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14.10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14.10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2101102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事业单位医疗</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14.10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14.10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14.10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88.96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88.96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88.96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88.96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88.96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88.96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25.54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25.54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25.54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44.58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44.58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44.58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18.84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18.84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18.84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江阴市文物保护和考古研究中心</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505.58</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478.32</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27.26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469.43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469.43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57.06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57.06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63.12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63.12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100.34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100.34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91.34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91.34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31.27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31.27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15.64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15.64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14.10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14.10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25.54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25.54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58.50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58.50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27.26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27.26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4.91</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11.75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11.75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1.17</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0.09</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0.12</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0.96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0.96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8.89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8.89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8.64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8.64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江阴市文物保护和考古研究中心</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0.12</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0.12</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0.09</w:t>
            </w:r>
          </w:p>
        </w:tc>
      </w:tr>
    </w:tbl>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6"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江阴市文物保护和考古研究中心</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cs="仿宋" w:eastAsia="仿宋"/>
          <w:b w:val="true"/>
          <w:sz w:val="22"/>
        </w:rPr>
        <w:t>单位</w:t>
      </w:r>
      <w:r>
        <w:rPr>
          <w:rFonts w:ascii="仿宋" w:hAnsi="仿宋" w:cs="仿宋" w:eastAsia="仿宋"/>
          <w:b w:val="true"/>
          <w:sz w:val="22"/>
        </w:rPr>
        <w:t>无政府性基金预算，也没有使用政府性基金安排的支出，故本表无数据。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7"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江阴市文物保护和考古研究中心</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ascii="仿宋" w:hAnsi="仿宋" w:cs="仿宋" w:eastAsia="仿宋"/>
          <w:b w:val="true"/>
          <w:sz w:val="22"/>
        </w:rPr>
        <w:t>注：本</w:t>
      </w:r>
      <w:r>
        <w:rPr>
          <w:rFonts w:ascii="仿宋" w:hAnsi="仿宋" w:cs="仿宋" w:eastAsia="仿宋"/>
          <w:b w:val="true"/>
          <w:sz w:val="22"/>
        </w:rPr>
        <w:t>单位</w:t>
      </w:r>
      <w:r>
        <w:rPr>
          <w:rFonts w:ascii="仿宋" w:hAnsi="仿宋" w:cs="仿宋" w:eastAsia="仿宋"/>
          <w:b w:val="true"/>
          <w:sz w:val="22"/>
        </w:rPr>
        <w:t>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江阴市文物保护和考古研究中心</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rPr>
              <w:t/>
            </w: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440"/>
        </w:tabs>
        <w:spacing w:before="25" w:after="0"/>
        <w:ind w:left="-440" w:leftChars="0" w:firstLine="0" w:firstLineChars="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无一般公共预算机关运行经费支出，故本表无数据。</w:t>
      </w:r>
      <w:r>
        <w:rPr>
          <w:rFonts w:ascii="仿宋" w:hAnsi="仿宋" w:cs="仿宋" w:eastAsia="仿宋"/>
          <w:b w:val="true"/>
          <w:sz w:val="22"/>
        </w:rPr>
        <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8"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bookmarkStart w:id="0" w:name="_GoBack"/>
      <w:bookmarkEnd w:id="0"/>
    </w:p>
    <w:tbl>
      <w:tblPr>
        <w:tblStyle w:val="12"/>
        <w:tblW w:w="152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947"/>
        <w:gridCol w:w="1169"/>
        <w:gridCol w:w="14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江阴市文物保护和考古研究中心</w:t>
            </w:r>
          </w:p>
        </w:tc>
        <w:tc>
          <w:tcPr>
            <w:tcW w:w="4342"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p>
        </w:tc>
        <w:tc>
          <w:tcPr>
            <w:tcW w:w="1421"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342"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42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42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sz w:val="22"/>
                <w:szCs w:val="22"/>
              </w:rPr>
              <w:t/>
            </w: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184.88</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184.88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货物</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0.10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江阴市文物保护和考古研究中心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0.10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非义务教育商品服务支出定额（含定额补助）</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复印纸</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0.10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服务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184.78</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184.78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江阴市文物保护和考古研究中心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184.78</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184.78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非义务教育商品服务支出定额（含定额补助）</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印刷费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其他印刷服务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0.30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物业管理费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物业管理费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物业管理服务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184.48</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184.48</w:t>
            </w:r>
          </w:p>
        </w:tc>
      </w:tr>
    </w:tbl>
    <w:p>
      <w:pPr>
        <w:bidi w:val="0"/>
        <w:rPr>
          <w:rFonts w:hint="eastAsia" w:ascii="仿宋" w:hAnsi="仿宋" w:eastAsia="仿宋" w:cs="仿宋"/>
          <w:b/>
          <w:bCs/>
          <w:sz w:val="22"/>
          <w:szCs w:val="22"/>
        </w:rPr>
        <w:sectPr>
          <w:footerReference r:id="rId19" w:type="default"/>
          <w:pgSz w:w="16838" w:h="11906" w:orient="landscape"/>
          <w:pgMar w:top="1320" w:right="771"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2025</w:t>
      </w:r>
      <w:r>
        <w:rPr>
          <w:rFonts w:hint="eastAsia" w:ascii="仿宋" w:hAnsi="仿宋" w:eastAsia="仿宋" w:cs="仿宋"/>
          <w:b/>
          <w:bCs/>
          <w:sz w:val="44"/>
          <w:szCs w:val="44"/>
        </w:rPr>
        <w:t>年度</w:t>
      </w:r>
      <w:r>
        <w:rPr>
          <w:rFonts w:ascii="仿宋" w:hAnsi="仿宋" w:cs="仿宋" w:eastAsia="仿宋"/>
          <w:b w:val="true"/>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江阴市文物保护和考古研究中心2025年度收入、支出预算总计745.06万元，与上年相比收、支预算总计各增加40.38万元，增长5.73%。其中：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（一）收入预算总计745.06万元。包括：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1．本年收入合计745.06万元。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（1）一般公共预算拨款收入745.06万元，与上年相比增加40.38万元，增长5.73%。主要原因是新增两名事业单位人员。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（2）政府性基金预算拨款收入0万元，与上年预算数相同。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（3）国有资本经营预算拨款收入0万元，与上年预算数相同。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（4）财政专户管理资金收入0万元，与上年预算数相同。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（5）事业收入0万元，与上年预算数相同。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（6）事业单位经营收入0万元，与上年预算数相同。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（7）上级补助收入0万元，与上年预算数相同。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（8）附属单位上缴收入0万元，与上年预算数相同。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（9）其他收入0万元，与上年预算数相同。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2．上年结转结余为0万元。与上年预算数相同。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（二）支出预算总计745.06万元。包括：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1．本年支出合计745.06万元。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（1）文化旅游体育与传媒支出（类）支出592.85万元，主要用于下属场馆日常运转、活动支出及考古研究。与上年相比增加12.76万元，增长2.2%。主要原因是新增两名事业单位人员。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（2）社会保障和就业支出（类）支出49.15万元，主要用于在职人员社会保障支出。与上年相比增加8.6万元，增长21.21%。主要原因是新增两名事业单位人员。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（3）卫生健康支出（类）支出14.1万元，主要用于在职人员医保等社会保障支出。与上年相比增加14.1万元（去年预算数为0万元，无法计算增减比率）。主要原因是新增两名事业单位人员。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（4）住房保障支出（类）支出88.96万元，主要用于在职和退休人员社会保障支出。与上年相比增加4.92万元，增长5.85%。主要原因是新增两名事业单位人员。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2．年终结转结余为0万元。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二、收入预算情况说明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江阴市文物保护和考古研究中心2025年收入预算合计745.06万元，包括本年收入745.06万元，上年结转结余0万元。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本年一般公共预算收入745.06万元，占100%；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本年事业单位经营收入0万元，占0%；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本年上级补助收入0万元，占0%；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本年附属单位上缴收入0万元，占0%；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本年其他收入0万元，占0%；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上年结转结余的一般公共预算收入0万元，占0%；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上年结转结余的单位资金0万元，占0%。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1" name="Drawing 1" descr="Generated"/>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true"/>
                    </pic:cNvPicPr>
                  </pic:nvPicPr>
                  <pic:blipFill>
                    <a:blip r:embed="rId24"/>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江阴市文物保护和考古研究中心2025年支出预算合计745.06万元，其中：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基本支出505.58万元，占67.86%；</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项目支出239.48万元，占32.14%；</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事业单位经营支出0万元，占0%；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上缴上级支出0万元，占0%；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对附属单位补助支出0万元，占0%。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2" name="Drawing 2" descr="Generated"/>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true"/>
                    </pic:cNvPicPr>
                  </pic:nvPicPr>
                  <pic:blipFill>
                    <a:blip r:embed="rId25"/>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江阴市文物保护和考古研究中心2025年度财政拨款收、支总预算745.06万元。与上年相比，财政拨款收、支总计各增加40.38万元，增长5.73%。主要原因是新增两名事业单位人员。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五、财政拨款支出预算情况说明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江阴市文物保护和考古研究中心2025年财政拨款预算支出745.06万元，占本年支出合计的100%。与上年相比，财政拨款支出增加40.38万元，增长5.73%。主要原因是新增两名事业单位人员。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（一）文化旅游体育与传媒支出（类）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文物（款）文物保护（项）支出592.85万元，与上年相比增加12.76万元，增长2.2%。主要原因是新增两名事业单位人员,新增人员经费。</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（二）社会保障和就业支出（类）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1.行政事业单位养老支出（款）机关事业单位基本养老保险缴费支出（项）支出31.27万元，与上年相比增加10.78万元，增长52.61%。主要原因是新增两名事业单位人员。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2.行政事业单位养老支出（款）机关事业单位职业年金缴费支出（项）支出15.64万元，与上年相比增加5.39万元，增长52.59%。主要原因是新增两名事业单位人员。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3.其他社会保障和就业支出（款）其他社会保障和就业支出（项）支出2.24万元，与上年相比减少7.57万元，减少77.17%。主要原因是功能分类调整。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（三）卫生健康支出（类）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行政事业单位医疗（款）事业单位医疗（项）支出14.1万元，与上年相比增加14.1万元（去年预算数为0万元，无法计算增减比率）。主要原因是功能分类调整，且新增两名事业单位人员。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（四）住房保障支出（类）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1.住房改革支出（款）住房公积金（项）支出25.54万元，与上年相比增加1.56万元，增长6.51%。主要原因是新增两名事业单位人员。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2.住房改革支出（款）提租补贴（项）支出44.58万元，与上年预算数相同。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3.住房改革支出（款）购房补贴（项）支出18.84万元，与上年相比增加3.36万元，增长21.71%。主要原因是新增两名事业单位人员。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六、财政拨款基本支出预算情况说明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江阴市文物保护和考古研究中心2025年度财政拨款基本支出预算505.58万元，其中：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478.32万元。主要包括：基本工资、津贴补贴、奖金、伙食补助费、绩效工资、机关事业单位基本养老保险缴费、职业年金缴费、职工基本医疗保险缴费、其他社会保障缴费、住房公积金、医疗费、其他工资福利支出、退休费、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（二）公用经费27.26万元。主要包括：办公费、印刷费、水费、电费、差旅费、培训费、公务接待费、工会经费、其他交通费用、其他商品和服务支出。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七、一般公共预算支出预算情况说明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江阴市文物保护和考古研究中心2025年一般公共预算财政拨款支出预算745.06万元，与上年相比增加40.38万元，增长5.73%。主要原因是新增两名事业单位人员。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八、一般公共预算基本支出预算情况说明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江阴市文物保护和考古研究中心2025年度一般公共预算财政拨款基本支出预算505.58万元，其中：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478.32万元。主要包括：基本工资、津贴补贴、奖金、伙食补助费、绩效工资、机关事业单位基本养老保险缴费、职业年金缴费、职工基本医疗保险缴费、其他社会保障缴费、住房公积金、医疗费、其他工资福利支出、退休费、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（二）公用经费27.26万元。主要包括：办公费、印刷费、水费、电费、差旅费、培训费、公务接待费、工会经费、其他交通费用、其他商品和服务支出。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九、一般公共预算“三公”经费、会议费、培训费支出预算情况说明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物保护和考古研究中心2025年度一般公共预算拨款安排的“三公”经费支出预算0.12万元，比上年预算减少0.01万元，变动原因接待费用减少。其中，因公出国（境）费支出0万元，占“三公”经费的0%；公务用车购置及运行维护费支出0万元，占“三公”经费的0%；公务接待费支出0.12万元，占“三公”经费的100%。具体情况如下：</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1．因公出国（境）费预算支出0万元，与上年预算数相同。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2．公务用车购置及运行维护费预算支出0万元。其中：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（1）公务用车购置预算支出0万元，与上年预算数相同。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（2）公务用车运行维护费预算支出0万元，与上年预算数相同。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3．公务接待费预算支出0.12万元，比上年预算减少0.01万元，主要原因是接待费用减少。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江阴市文物保护和考古研究中心2025年度一般公共预算拨款安排的会议费预算支出0万元，与上年预算数相同。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江阴市文物保护和考古研究中心2025年度一般公共预算拨款安排的培训费预算支出0.09万元，比上年预算减少0.01万元，主要原因是培训费用减少。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十、政府性基金预算支出预算情况说明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江阴市文物保护和考古研究中心2025年政府性基金支出预算支出0万元。与上年预算数相同。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十一、国有资本经营预算支出预算情况说明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江阴市文物保护和考古研究中心2025年国有资本经营预算支出0万元。与上年预算数相同。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十二、一般公共预算机关运行经费支出预算情况说明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2025年本单位一般公共预算机关运行经费预算支出0万元，与上年预算数相同。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十三、政府采购支出预算情况说明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2025年度政府采购支出预算总额184.88万元，其中：拟采购货物支出0.1万元、拟采购工程支出0万元、拟采购服务支出184.78万元。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十四、国有资产占用情况说明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单位共有车辆0辆，其中，副部（省）级及以上领导用车0辆、主要领导干部用车0辆、机要通信用车0辆、应急保障用车0辆、执法执勤用车0辆、特种专业技术用车0辆、离退休干部用车0辆，其他用车0辆；单价100万元（含）以上的设备0台（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十五、预算绩效目标设置情况说明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2025年度，本单位整体支出纳入绩效目标管理，涉及财政性资金745.06万元；本单位共3个项目纳入绩效目标管理，涉及财政性资金合计239.48万元，占财政性资金(人员类和运转类中的公用经费项目支出除外)总额的比例为100%。</w:t>
      </w:r>
      <w:r>
        <w:rPr>
          <w:rFonts w:ascii="仿宋" w:hAnsi="仿宋" w:cs="仿宋" w:eastAsia="仿宋"/>
        </w:rPr>
        <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cs="仿宋" w:eastAsia="仿宋"/>
          <w:b w:val="true"/>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cs="仿宋" w:eastAsia="仿宋"/>
          <w:b w:val="true"/>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cs="仿宋" w:eastAsia="仿宋"/>
          <w:b w:val="true"/>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cs="仿宋" w:eastAsia="仿宋"/>
          <w:b w:val="true"/>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cs="仿宋" w:eastAsia="仿宋"/>
          <w:b w:val="true"/>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cs="仿宋" w:eastAsia="仿宋"/>
          <w:b w:val="true"/>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cs="仿宋" w:eastAsia="仿宋"/>
          <w:b w:val="true"/>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八、文化旅游体育与传媒支出(类)文物(款)文物保护(项)</w:t>
      </w:r>
      <w:r>
        <w:rPr>
          <w:rFonts w:ascii="仿宋" w:hAnsi="仿宋" w:cs="仿宋" w:eastAsia="仿宋"/>
          <w:b w:val="true"/>
        </w:rPr>
        <w:t>：</w:t>
      </w:r>
      <w:r>
        <w:rPr>
          <w:rFonts w:hint="eastAsia" w:ascii="仿宋" w:hAnsi="仿宋" w:eastAsia="仿宋" w:cs="仿宋"/>
        </w:rPr>
        <w:t>反映考古发掘及文物保护方面的支出。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九、社会保障和就业支出(类)行政事业单位养老支出(款)机关事业单位基本养老保险缴费支出(项)</w:t>
      </w:r>
      <w:r>
        <w:rPr>
          <w:rFonts w:ascii="仿宋" w:hAnsi="仿宋" w:cs="仿宋" w:eastAsia="仿宋"/>
          <w:b w:val="true"/>
        </w:rPr>
        <w:t>：</w:t>
      </w:r>
      <w:r>
        <w:rPr>
          <w:rFonts w:hint="eastAsia" w:ascii="仿宋" w:hAnsi="仿宋" w:eastAsia="仿宋" w:cs="仿宋"/>
        </w:rPr>
        <w:t>反映机关事业单位实施养老保险制度由单位缴纳的基本养老保险费支出。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十、社会保障和就业支出(类)行政事业单位养老支出(款)机关事业单位职业年金缴费支出(项)</w:t>
      </w:r>
      <w:r>
        <w:rPr>
          <w:rFonts w:ascii="仿宋" w:hAnsi="仿宋" w:cs="仿宋" w:eastAsia="仿宋"/>
          <w:b w:val="true"/>
        </w:rPr>
        <w:t>：</w:t>
      </w:r>
      <w:r>
        <w:rPr>
          <w:rFonts w:hint="eastAsia" w:ascii="仿宋" w:hAnsi="仿宋" w:eastAsia="仿宋" w:cs="仿宋"/>
        </w:rPr>
        <w:t>反映机关事业单位实施养老保险制度由单位实际缴纳的职业年金支出。(含职业年金补记支出。）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十一、社会保障和就业支出(类)其他社会保障和就业支出(款)其他社会保障和就业支出(项)</w:t>
      </w:r>
      <w:r>
        <w:rPr>
          <w:rFonts w:ascii="仿宋" w:hAnsi="仿宋" w:cs="仿宋" w:eastAsia="仿宋"/>
          <w:b w:val="true"/>
        </w:rPr>
        <w:t>：</w:t>
      </w:r>
      <w:r>
        <w:rPr>
          <w:rFonts w:hint="eastAsia" w:ascii="仿宋" w:hAnsi="仿宋" w:eastAsia="仿宋" w:cs="仿宋"/>
        </w:rPr>
        <w:t>反映除上述项目以外其他用于社会保障和就业方面的支出。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十二、卫生健康支出(类)行政事业单位医疗(款)事业单位医疗(项)</w:t>
      </w:r>
      <w:r>
        <w:rPr>
          <w:rFonts w:ascii="仿宋" w:hAnsi="仿宋" w:cs="仿宋" w:eastAsia="仿宋"/>
          <w:b w:val="true"/>
        </w:rPr>
        <w:t>：</w:t>
      </w:r>
      <w:r>
        <w:rPr>
          <w:rFonts w:hint="eastAsia" w:ascii="仿宋" w:hAnsi="仿宋" w:eastAsia="仿宋" w:cs="仿宋"/>
        </w:rPr>
        <w:t>反映财政部门安排的事业单位基本医疗保险缴费经费，未参加医疗保险的事业单位的公费医疗经费，按国家规定享受离休人员待遇的医疗经费。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十三、住房保障支出(类)住房改革支出(款)住房公积金(项)</w:t>
      </w:r>
      <w:r>
        <w:rPr>
          <w:rFonts w:ascii="仿宋" w:hAnsi="仿宋" w:cs="仿宋" w:eastAsia="仿宋"/>
          <w:b w:val="true"/>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十四、住房保障支出(类)住房改革支出(款)提租补贴(项)</w:t>
      </w:r>
      <w:r>
        <w:rPr>
          <w:rFonts w:ascii="仿宋" w:hAnsi="仿宋" w:cs="仿宋" w:eastAsia="仿宋"/>
          <w:b w:val="true"/>
        </w:rPr>
        <w:t>：</w:t>
      </w:r>
      <w:r>
        <w:rPr>
          <w:rFonts w:hint="eastAsia" w:ascii="仿宋" w:hAnsi="仿宋" w:eastAsia="仿宋" w:cs="仿宋"/>
        </w:rPr>
        <w:t>反映按房改政策规定的标准，行政事业单位向职工（含离退休人员）发放的租金补贴。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十五、住房保障支出(类)住房改革支出(款)购房补贴(项)</w:t>
      </w:r>
      <w:r>
        <w:rPr>
          <w:rFonts w:ascii="仿宋" w:hAnsi="仿宋" w:cs="仿宋" w:eastAsia="仿宋"/>
          <w:b w:val="true"/>
        </w:rPr>
        <w:t>：</w:t>
      </w:r>
      <w:r>
        <w:rPr>
          <w:rFonts w:hint="eastAsia" w:ascii="仿宋" w:hAnsi="仿宋" w:eastAsia="仿宋" w:cs="仿宋"/>
        </w:rPr>
        <w:t>反映按房改政策规定，行政事业单位向符合条件职工（含离退休人员）、军队(含武警)向转役复员离退休人员发放的用于购买住房的补贴。</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panose1 w:val="020B0604020202020204"/>
    <w:charset w:val="86"/>
    <w:family w:val="roman"/>
    <w:pitch w:val="default"/>
    <w:sig w:usb0="E0000AFF" w:usb1="500078FF" w:usb2="00000021" w:usb3="00000000" w:csb0="600001BF" w:csb1="DFF70000"/>
  </w:font>
  <w:font w:name="Liberation Mono">
    <w:panose1 w:val="02070409020205020404"/>
    <w:charset w:val="86"/>
    <w:family w:val="roman"/>
    <w:pitch w:val="default"/>
    <w:sig w:usb0="E0000AFF" w:usb1="400078FF" w:usb2="00000001" w:usb3="00000000" w:csb0="600001BF" w:csb1="DFF7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0" o:spid="_x0000_s4110"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江阴市文物保护和考古研究中心</w:t>
    </w:r>
    <w:r>
      <w:t>2025</w:t>
    </w:r>
    <w:r>
      <w:t>年度</w:t>
    </w:r>
    <w:r>
      <w:t>单位</w:t>
    </w:r>
    <w:r>
      <w:t>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22688"/>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BC505E"/>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0F845FF"/>
    <w:rsid w:val="11037A82"/>
    <w:rsid w:val="1106739D"/>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9E971DB"/>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01F90"/>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AC083E"/>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2F185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DF5027"/>
    <w:rsid w:val="43F047E0"/>
    <w:rsid w:val="43FD6F00"/>
    <w:rsid w:val="440B02B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911A0"/>
    <w:rsid w:val="4E0D72D8"/>
    <w:rsid w:val="4E1F24C4"/>
    <w:rsid w:val="4E2F0959"/>
    <w:rsid w:val="4E383ED6"/>
    <w:rsid w:val="4E5172B9"/>
    <w:rsid w:val="4E560D60"/>
    <w:rsid w:val="4E564593"/>
    <w:rsid w:val="4E5A2684"/>
    <w:rsid w:val="4E703F51"/>
    <w:rsid w:val="4E905710"/>
    <w:rsid w:val="4E942C0A"/>
    <w:rsid w:val="4E98220D"/>
    <w:rsid w:val="4EA02FF7"/>
    <w:rsid w:val="4EB7399D"/>
    <w:rsid w:val="4ECD2716"/>
    <w:rsid w:val="4ED96B17"/>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CF7B42"/>
    <w:rsid w:val="51DC0DF8"/>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60DD8"/>
    <w:rsid w:val="537700D3"/>
    <w:rsid w:val="53811681"/>
    <w:rsid w:val="538A520F"/>
    <w:rsid w:val="538C6CFB"/>
    <w:rsid w:val="53933E3F"/>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026EE"/>
    <w:rsid w:val="56745BC9"/>
    <w:rsid w:val="56CF2CD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2A1A23"/>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915BCA"/>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4548A"/>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15CB9"/>
    <w:rsid w:val="70173431"/>
    <w:rsid w:val="703C1CAA"/>
    <w:rsid w:val="703E1108"/>
    <w:rsid w:val="70460ECD"/>
    <w:rsid w:val="704B7EBD"/>
    <w:rsid w:val="7051053C"/>
    <w:rsid w:val="707F7FC1"/>
    <w:rsid w:val="70830694"/>
    <w:rsid w:val="7092075C"/>
    <w:rsid w:val="70A16710"/>
    <w:rsid w:val="70AF49AD"/>
    <w:rsid w:val="70B14136"/>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100E1C"/>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B6746"/>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5.xml" Type="http://schemas.openxmlformats.org/officeDocument/2006/relationships/footer"/><Relationship Id="rId11" Target="footer6.xml" Type="http://schemas.openxmlformats.org/officeDocument/2006/relationships/footer"/><Relationship Id="rId12" Target="footer7.xml" Type="http://schemas.openxmlformats.org/officeDocument/2006/relationships/footer"/><Relationship Id="rId13" Target="footer8.xml" Type="http://schemas.openxmlformats.org/officeDocument/2006/relationships/footer"/><Relationship Id="rId14" Target="footer9.xml" Type="http://schemas.openxmlformats.org/officeDocument/2006/relationships/footer"/><Relationship Id="rId15" Target="footer10.xml" Type="http://schemas.openxmlformats.org/officeDocument/2006/relationships/footer"/><Relationship Id="rId16" Target="footer11.xml" Type="http://schemas.openxmlformats.org/officeDocument/2006/relationships/footer"/><Relationship Id="rId17" Target="footer12.xml" Type="http://schemas.openxmlformats.org/officeDocument/2006/relationships/footer"/><Relationship Id="rId18" Target="footer13.xml" Type="http://schemas.openxmlformats.org/officeDocument/2006/relationships/footer"/><Relationship Id="rId19" Target="footer14.xml" Type="http://schemas.openxmlformats.org/officeDocument/2006/relationships/footer"/><Relationship Id="rId2" Target="settings.xml" Type="http://schemas.openxmlformats.org/officeDocument/2006/relationships/settings"/><Relationship Id="rId20" Target="footer15.xml" Type="http://schemas.openxmlformats.org/officeDocument/2006/relationships/footer"/><Relationship Id="rId21" Target="theme/theme1.xml" Type="http://schemas.openxmlformats.org/officeDocument/2006/relationships/theme"/><Relationship Id="rId22" Target="../customXml/item1.xml" Type="http://schemas.openxmlformats.org/officeDocument/2006/relationships/customXml"/><Relationship Id="rId23" Target="fontTable.xml" Type="http://schemas.openxmlformats.org/officeDocument/2006/relationships/fontTable"/><Relationship Id="rId24" Target="media/image1.jpeg" Type="http://schemas.openxmlformats.org/officeDocument/2006/relationships/image"/><Relationship Id="rId25" Target="media/image2.jpeg" Type="http://schemas.openxmlformats.org/officeDocument/2006/relationships/image"/><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footer4.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1913</Words>
  <Characters>6439</Characters>
  <Paragraphs>501</Paragraphs>
  <TotalTime>2</TotalTime>
  <ScaleCrop>false</ScaleCrop>
  <LinksUpToDate>false</LinksUpToDate>
  <CharactersWithSpaces>6456</CharactersWithSpaces>
  <Application>WPS Office_12.1.0.15066_F1E327BC-269C-435d-A152-05C5408002CA</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Tree Know</cp:lastModifiedBy>
  <dcterms:modified xsi:type="dcterms:W3CDTF">2024-01-15T14:22:54Z</dcterms:modified>
  <cp:revision>175</cp:revision>
  <dc:title>部门预算公开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2052-12.1.0.15066</vt:lpwstr>
  </property>
  <property fmtid="{D5CDD505-2E9C-101B-9397-08002B2CF9AE}" pid="6" name="LastSaved">
    <vt:filetime>2021-04-15T00:00:00Z</vt:filetime>
  </property>
</Properties>
</file>