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overflowPunct w:val="0"/>
        <w:spacing w:line="0" w:lineRule="atLeast"/>
        <w:outlineLvl w:val="0"/>
        <w:rPr>
          <w:rFonts w:hint="default" w:ascii="方正黑体_GBK" w:hAnsi="Times New Roman" w:eastAsia="方正黑体_GBK" w:cs="宋体"/>
          <w:bCs/>
          <w:spacing w:val="-4"/>
          <w:sz w:val="24"/>
          <w:szCs w:val="24"/>
          <w:lang w:val="en-US" w:eastAsia="zh-CN"/>
        </w:rPr>
      </w:pPr>
      <w:r>
        <w:rPr>
          <w:rFonts w:hint="eastAsia" w:ascii="方正黑体_GBK" w:hAnsi="Times New Roman" w:eastAsia="方正黑体_GBK" w:cs="宋体"/>
          <w:bCs/>
          <w:spacing w:val="-4"/>
          <w:sz w:val="24"/>
          <w:szCs w:val="24"/>
        </w:rPr>
        <w:t>办事指南</w:t>
      </w:r>
      <w:r>
        <w:rPr>
          <w:rFonts w:hint="eastAsia" w:ascii="方正黑体_GBK" w:hAnsi="Times New Roman" w:eastAsia="方正黑体_GBK" w:cs="宋体"/>
          <w:bCs/>
          <w:spacing w:val="-4"/>
          <w:sz w:val="24"/>
          <w:szCs w:val="24"/>
          <w:lang w:val="en-US" w:eastAsia="zh-CN"/>
        </w:rPr>
        <w:t>31</w:t>
      </w:r>
    </w:p>
    <w:p>
      <w:pPr>
        <w:pStyle w:val="9"/>
        <w:widowControl w:val="0"/>
        <w:overflowPunct w:val="0"/>
        <w:spacing w:line="0" w:lineRule="atLeast"/>
        <w:jc w:val="center"/>
        <w:outlineLvl w:val="0"/>
        <w:rPr>
          <w:rFonts w:ascii="Times New Roman" w:hAnsi="Times New Roman" w:eastAsia="方正小标宋_GBK" w:cs="宋体"/>
          <w:bCs/>
          <w:spacing w:val="-4"/>
          <w:sz w:val="36"/>
          <w:szCs w:val="36"/>
        </w:rPr>
      </w:pPr>
      <w:r>
        <w:rPr>
          <w:rFonts w:hint="eastAsia" w:ascii="Times New Roman" w:hAnsi="Times New Roman" w:eastAsia="方正小标宋_GBK" w:cs="宋体"/>
          <w:bCs/>
          <w:spacing w:val="-4"/>
          <w:sz w:val="36"/>
          <w:szCs w:val="36"/>
        </w:rPr>
        <w:t>江阴市医疗保险基金管理中心</w:t>
      </w:r>
    </w:p>
    <w:p>
      <w:pPr>
        <w:spacing w:line="0" w:lineRule="atLeast"/>
        <w:jc w:val="center"/>
        <w:rPr>
          <w:rFonts w:ascii="Times New Roman" w:hAnsi="Times New Roman" w:eastAsia="方正黑体_GBK" w:cs="宋体"/>
          <w:bCs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bCs/>
          <w:spacing w:val="-4"/>
          <w:kern w:val="0"/>
          <w:sz w:val="32"/>
          <w:szCs w:val="32"/>
        </w:rPr>
        <w:t>定点医药机构基础信息变更</w:t>
      </w:r>
    </w:p>
    <w:p>
      <w:pPr>
        <w:spacing w:line="350" w:lineRule="exact"/>
        <w:ind w:firstLine="420" w:firstLineChars="200"/>
        <w:rPr>
          <w:rFonts w:ascii="Times New Roman" w:hAnsi="Times New Roman" w:cs="黑体"/>
          <w:color w:val="000000"/>
          <w:kern w:val="0"/>
          <w:szCs w:val="21"/>
        </w:rPr>
      </w:pP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一、办理对象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需要办理基础信息变更的江阴市定点医药机构。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二、办理流程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（一）窗口办理：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携带申报资料到医保经办窗口办理。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（二）网上办理：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江苏政务服务→江阴市政务服务网（http://wxjy.jszwfw.gov.cn/）</w:t>
      </w:r>
      <w:r>
        <w:rPr>
          <w:rFonts w:hint="eastAsia" w:ascii="Times New Roman" w:hAnsi="Times New Roman" w:cs="仿宋_GB2312"/>
          <w:szCs w:val="21"/>
        </w:rPr>
        <w:t>→“热门服务”→“网上申报”→“市医保局”→</w:t>
      </w:r>
      <w:r>
        <w:rPr>
          <w:rFonts w:hint="eastAsia" w:ascii="Times New Roman" w:hAnsi="Times New Roman" w:cs="仿宋_GB2312"/>
          <w:color w:val="000000"/>
          <w:szCs w:val="21"/>
        </w:rPr>
        <w:t>“</w:t>
      </w:r>
      <w:r>
        <w:rPr>
          <w:rFonts w:ascii="Helvetica" w:hAnsi="Helvetica" w:cs="Helvetica"/>
          <w:color w:val="181818"/>
        </w:rPr>
        <w:t>定点医药机构基础信息变更</w:t>
      </w:r>
      <w:r>
        <w:rPr>
          <w:rFonts w:hint="eastAsia" w:ascii="Times New Roman" w:hAnsi="Times New Roman" w:cs="仿宋_GB2312"/>
          <w:color w:val="000000"/>
          <w:szCs w:val="21"/>
        </w:rPr>
        <w:t>”</w:t>
      </w:r>
      <w:r>
        <w:rPr>
          <w:rFonts w:hint="eastAsia" w:ascii="Times New Roman" w:hAnsi="Times New Roman" w:cs="仿宋_GB2312"/>
          <w:szCs w:val="21"/>
        </w:rPr>
        <w:t>→</w:t>
      </w:r>
      <w:r>
        <w:rPr>
          <w:rFonts w:hint="eastAsia" w:ascii="Times New Roman" w:hAnsi="Times New Roman" w:cs="仿宋_GB2312"/>
          <w:szCs w:val="21"/>
          <w:lang w:val="en-US" w:eastAsia="zh-CN"/>
        </w:rPr>
        <w:t>在线办理</w:t>
      </w:r>
      <w:r>
        <w:rPr>
          <w:rFonts w:hint="eastAsia" w:ascii="Times New Roman" w:hAnsi="Times New Roman" w:cs="仿宋_GB2312"/>
          <w:szCs w:val="21"/>
        </w:rPr>
        <w:t>→按提示填</w:t>
      </w:r>
      <w:r>
        <w:rPr>
          <w:rFonts w:hint="eastAsia" w:ascii="Times New Roman" w:hAnsi="Times New Roman" w:cs="仿宋_GB2312"/>
          <w:color w:val="000000"/>
          <w:szCs w:val="21"/>
        </w:rPr>
        <w:t>写申报信息。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（三）掌上办理：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“最江阴”APP→“政务”→部门分类“医保局”→找到“定点医药机构基础信息变更”→按提示填写申报信息。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 xml:space="preserve">三、申报材料 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1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.</w:t>
      </w:r>
      <w:r>
        <w:rPr>
          <w:rFonts w:hint="eastAsia" w:ascii="Times New Roman" w:hAnsi="Times New Roman" w:cs="仿宋_GB2312"/>
          <w:color w:val="000000"/>
          <w:szCs w:val="21"/>
        </w:rPr>
        <w:t>变更后的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医药机构</w:t>
      </w:r>
      <w:r>
        <w:rPr>
          <w:rFonts w:hint="eastAsia" w:ascii="Times New Roman" w:hAnsi="Times New Roman" w:cs="仿宋_GB2312"/>
          <w:color w:val="000000"/>
          <w:szCs w:val="21"/>
        </w:rPr>
        <w:t>营业执照或事业单位法人证或民办非企业单位登记证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、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执业许可证、由相关行政主管部门提供的《准予变更登记通知书》等</w:t>
      </w:r>
      <w:r>
        <w:rPr>
          <w:rFonts w:hint="eastAsia" w:ascii="Times New Roman" w:hAnsi="Times New Roman" w:cs="仿宋_GB2312"/>
          <w:color w:val="000000"/>
          <w:szCs w:val="21"/>
        </w:rPr>
        <w:t>；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2.</w:t>
      </w:r>
      <w:r>
        <w:rPr>
          <w:rFonts w:hint="eastAsia" w:ascii="Times New Roman" w:hAnsi="Times New Roman" w:cs="仿宋_GB2312"/>
          <w:color w:val="000000"/>
          <w:szCs w:val="21"/>
        </w:rPr>
        <w:t>江阴市医疗保障定点医药机构基础信息变更备案登记表。</w:t>
      </w:r>
      <w:bookmarkStart w:id="0" w:name="_GoBack"/>
      <w:bookmarkEnd w:id="0"/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四、办理时间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窗口办理：周一至周五工作日（8 : 30-11 : 30，13 : 00-16 : 30）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五、办理时效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限时办结（一般变更即时办结，需要考察确认的不超过5个工作日）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六、办理地址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江阴市长江路188号政务服务中心五楼552室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spacing w:line="340" w:lineRule="exact"/>
        <w:ind w:left="1020" w:leftChars="200" w:hanging="600" w:hangingChars="286"/>
        <w:rPr>
          <w:rFonts w:ascii="Times New Roman" w:hAnsi="Times New Roman" w:cs="仿宋_GB2312"/>
          <w:color w:val="000000"/>
          <w:szCs w:val="21"/>
        </w:rPr>
      </w:pPr>
      <w:r>
        <w:rPr>
          <w:rFonts w:ascii="Times New Roman" w:hAnsi="Times New Roman" w:cs="仿宋_GB2312"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252730</wp:posOffset>
            </wp:positionV>
            <wp:extent cx="1231900" cy="1326515"/>
            <wp:effectExtent l="0" t="0" r="6350" b="6985"/>
            <wp:wrapNone/>
            <wp:docPr id="7" name="图片 5" descr="C:\Users\ADMINI~1.USE\AppData\Local\Temp\WeChat Files\8bb8a5ddd1e854bce5f7372ae1008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~1.USE\AppData\Local\Temp\WeChat Files\8bb8a5ddd1e854bce5f7372ae1008f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仿宋_GB2312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257175</wp:posOffset>
            </wp:positionV>
            <wp:extent cx="1153795" cy="1300480"/>
            <wp:effectExtent l="0" t="0" r="4445" b="10160"/>
            <wp:wrapNone/>
            <wp:docPr id="8" name="图片 7" descr="D:\用户目录\我的文档\WeChat Files\wxid_sfhhqdcz6iok21\FileStorage\Temp\1663222672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D:\用户目录\我的文档\WeChat Files\wxid_sfhhqdcz6iok21\FileStorage\Temp\16632226721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5954" w:h="11907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hMzRiOGEwMzZhOGMxOGRjN2Q5ODkyMTFhNTQ4M2QifQ=="/>
  </w:docVars>
  <w:rsids>
    <w:rsidRoot w:val="00D745DD"/>
    <w:rsid w:val="00022DAA"/>
    <w:rsid w:val="000419AE"/>
    <w:rsid w:val="00041DDF"/>
    <w:rsid w:val="00050B54"/>
    <w:rsid w:val="000522CC"/>
    <w:rsid w:val="00067E39"/>
    <w:rsid w:val="00071C3E"/>
    <w:rsid w:val="000741D7"/>
    <w:rsid w:val="00075361"/>
    <w:rsid w:val="0007713B"/>
    <w:rsid w:val="0008462A"/>
    <w:rsid w:val="00093ED6"/>
    <w:rsid w:val="000B16EA"/>
    <w:rsid w:val="000F5D98"/>
    <w:rsid w:val="001229D2"/>
    <w:rsid w:val="00142A40"/>
    <w:rsid w:val="00156D2D"/>
    <w:rsid w:val="00181CB8"/>
    <w:rsid w:val="0018396C"/>
    <w:rsid w:val="001A5933"/>
    <w:rsid w:val="001C5D6D"/>
    <w:rsid w:val="001D4FCE"/>
    <w:rsid w:val="001F16E9"/>
    <w:rsid w:val="001F2C38"/>
    <w:rsid w:val="00203B7D"/>
    <w:rsid w:val="00263EE1"/>
    <w:rsid w:val="00294BE7"/>
    <w:rsid w:val="00296BFD"/>
    <w:rsid w:val="00297608"/>
    <w:rsid w:val="002B7F1C"/>
    <w:rsid w:val="002E1FC5"/>
    <w:rsid w:val="002E746C"/>
    <w:rsid w:val="0030440B"/>
    <w:rsid w:val="00306894"/>
    <w:rsid w:val="00314059"/>
    <w:rsid w:val="003458B3"/>
    <w:rsid w:val="00354356"/>
    <w:rsid w:val="003614BA"/>
    <w:rsid w:val="00372436"/>
    <w:rsid w:val="00377C18"/>
    <w:rsid w:val="0039725E"/>
    <w:rsid w:val="003A35B2"/>
    <w:rsid w:val="003A492C"/>
    <w:rsid w:val="003B7926"/>
    <w:rsid w:val="003F05ED"/>
    <w:rsid w:val="003F7E11"/>
    <w:rsid w:val="00425D01"/>
    <w:rsid w:val="00427D67"/>
    <w:rsid w:val="00487E4D"/>
    <w:rsid w:val="00495F5C"/>
    <w:rsid w:val="004E013F"/>
    <w:rsid w:val="005171DE"/>
    <w:rsid w:val="005174B4"/>
    <w:rsid w:val="00521CA7"/>
    <w:rsid w:val="00577DE1"/>
    <w:rsid w:val="005A0466"/>
    <w:rsid w:val="005A36B0"/>
    <w:rsid w:val="005A55BC"/>
    <w:rsid w:val="005D0C59"/>
    <w:rsid w:val="005D6D8E"/>
    <w:rsid w:val="005E02E6"/>
    <w:rsid w:val="006527A1"/>
    <w:rsid w:val="00652A4C"/>
    <w:rsid w:val="006568C5"/>
    <w:rsid w:val="006616F5"/>
    <w:rsid w:val="0067214B"/>
    <w:rsid w:val="006820D9"/>
    <w:rsid w:val="00697234"/>
    <w:rsid w:val="006A258F"/>
    <w:rsid w:val="006B5776"/>
    <w:rsid w:val="00702E70"/>
    <w:rsid w:val="007315EF"/>
    <w:rsid w:val="00735E1A"/>
    <w:rsid w:val="00746844"/>
    <w:rsid w:val="00761805"/>
    <w:rsid w:val="00786CDF"/>
    <w:rsid w:val="0079428F"/>
    <w:rsid w:val="007B0C16"/>
    <w:rsid w:val="007B575B"/>
    <w:rsid w:val="007C499C"/>
    <w:rsid w:val="007C704B"/>
    <w:rsid w:val="007D04FA"/>
    <w:rsid w:val="007F5279"/>
    <w:rsid w:val="00822278"/>
    <w:rsid w:val="008835DB"/>
    <w:rsid w:val="008B526D"/>
    <w:rsid w:val="009225A1"/>
    <w:rsid w:val="00995199"/>
    <w:rsid w:val="009C7153"/>
    <w:rsid w:val="009F3A08"/>
    <w:rsid w:val="00A12691"/>
    <w:rsid w:val="00A86DFF"/>
    <w:rsid w:val="00AA2E20"/>
    <w:rsid w:val="00AA4DB8"/>
    <w:rsid w:val="00AB3EA2"/>
    <w:rsid w:val="00AC5085"/>
    <w:rsid w:val="00AE368F"/>
    <w:rsid w:val="00AF1C7E"/>
    <w:rsid w:val="00AF264A"/>
    <w:rsid w:val="00AF5FFA"/>
    <w:rsid w:val="00B13911"/>
    <w:rsid w:val="00B84FA6"/>
    <w:rsid w:val="00BB19C9"/>
    <w:rsid w:val="00BD7CB1"/>
    <w:rsid w:val="00BE66A3"/>
    <w:rsid w:val="00BF01BB"/>
    <w:rsid w:val="00C17A4C"/>
    <w:rsid w:val="00C508D3"/>
    <w:rsid w:val="00C555DF"/>
    <w:rsid w:val="00CB5F09"/>
    <w:rsid w:val="00CD2CC1"/>
    <w:rsid w:val="00CD33CE"/>
    <w:rsid w:val="00CE1C8F"/>
    <w:rsid w:val="00CE4AE9"/>
    <w:rsid w:val="00CF1F83"/>
    <w:rsid w:val="00CF764D"/>
    <w:rsid w:val="00D04457"/>
    <w:rsid w:val="00D46DEB"/>
    <w:rsid w:val="00D50FB5"/>
    <w:rsid w:val="00D52481"/>
    <w:rsid w:val="00D6072B"/>
    <w:rsid w:val="00D745DD"/>
    <w:rsid w:val="00D80C85"/>
    <w:rsid w:val="00D96835"/>
    <w:rsid w:val="00DE234A"/>
    <w:rsid w:val="00E41370"/>
    <w:rsid w:val="00E81AAD"/>
    <w:rsid w:val="00EB09EC"/>
    <w:rsid w:val="00EE3FFA"/>
    <w:rsid w:val="00EE42C9"/>
    <w:rsid w:val="00F60576"/>
    <w:rsid w:val="00F60786"/>
    <w:rsid w:val="06C04280"/>
    <w:rsid w:val="08A90D2D"/>
    <w:rsid w:val="12F40DF6"/>
    <w:rsid w:val="1BC306A2"/>
    <w:rsid w:val="1F747C4F"/>
    <w:rsid w:val="291B448A"/>
    <w:rsid w:val="2B491083"/>
    <w:rsid w:val="453F1E02"/>
    <w:rsid w:val="51DD17BA"/>
    <w:rsid w:val="52833A1E"/>
    <w:rsid w:val="53D957A4"/>
    <w:rsid w:val="5A583B6C"/>
    <w:rsid w:val="5D25740E"/>
    <w:rsid w:val="69594245"/>
    <w:rsid w:val="69907F73"/>
    <w:rsid w:val="6ED220D3"/>
    <w:rsid w:val="71E71D69"/>
    <w:rsid w:val="76876CD5"/>
    <w:rsid w:val="7C617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1"/>
    <w:pPr>
      <w:autoSpaceDE w:val="0"/>
      <w:autoSpaceDN w:val="0"/>
      <w:ind w:left="804" w:hanging="265"/>
      <w:jc w:val="left"/>
    </w:pPr>
    <w:rPr>
      <w:rFonts w:ascii="仿宋" w:hAnsi="仿宋" w:eastAsia="仿宋" w:cs="仿宋"/>
      <w:kern w:val="0"/>
      <w:sz w:val="22"/>
    </w:rPr>
  </w:style>
  <w:style w:type="paragraph" w:customStyle="1" w:styleId="9">
    <w:name w:val="标题21"/>
    <w:unhideWhenUsed/>
    <w:qFormat/>
    <w:uiPriority w:val="1"/>
    <w:pPr>
      <w:outlineLvl w:val="1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409</Words>
  <Characters>454</Characters>
  <Lines>4</Lines>
  <Paragraphs>1</Paragraphs>
  <TotalTime>13</TotalTime>
  <ScaleCrop>false</ScaleCrop>
  <LinksUpToDate>false</LinksUpToDate>
  <CharactersWithSpaces>463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2021-10-23T11:21:00Z</dcterms:created>
  <dc:creator>USER-</dc:creator>
  <cp:lastModifiedBy>HUAWEI</cp:lastModifiedBy>
  <cp:lastPrinted>2019-07-08T14:44:00Z</cp:lastPrinted>
  <dcterms:modified xsi:type="dcterms:W3CDTF">2025-01-13T13:36:27Z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A231A48E1A8B47FD9CEA388126509C60</vt:lpwstr>
  </property>
</Properties>
</file>