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119C77">
      <w:pPr>
        <w:spacing w:before="166" w:line="245" w:lineRule="auto"/>
        <w:ind w:right="509"/>
        <w:rPr>
          <w:rFonts w:hint="default" w:ascii="方正小标宋_GBK" w:hAnsi="方正小标宋_GBK" w:eastAsia="方正小标宋_GBK" w:cs="方正小标宋_GBK"/>
          <w:sz w:val="43"/>
          <w:szCs w:val="43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pacing w:val="4"/>
          <w:sz w:val="43"/>
          <w:szCs w:val="43"/>
          <w:lang w:eastAsia="zh-CN"/>
        </w:rPr>
        <w:t>《</w:t>
      </w:r>
      <w:r>
        <w:rPr>
          <w:rFonts w:ascii="方正小标宋_GBK" w:hAnsi="方正小标宋_GBK" w:eastAsia="方正小标宋_GBK" w:cs="方正小标宋_GBK"/>
          <w:spacing w:val="4"/>
          <w:sz w:val="43"/>
          <w:szCs w:val="43"/>
        </w:rPr>
        <w:t>市政府办公室</w:t>
      </w:r>
      <w:r>
        <w:rPr>
          <w:rFonts w:hint="eastAsia" w:ascii="方正小标宋_GBK" w:hAnsi="方正小标宋_GBK" w:eastAsia="方正小标宋_GBK" w:cs="方正小标宋_GBK"/>
          <w:spacing w:val="4"/>
          <w:sz w:val="43"/>
          <w:szCs w:val="43"/>
          <w:lang w:val="en-US" w:eastAsia="zh-CN"/>
        </w:rPr>
        <w:t>印发</w:t>
      </w:r>
      <w:r>
        <w:rPr>
          <w:rFonts w:ascii="Times New Roman" w:hAnsi="Times New Roman" w:eastAsia="Times New Roman" w:cs="Times New Roman"/>
          <w:spacing w:val="4"/>
          <w:sz w:val="43"/>
          <w:szCs w:val="43"/>
        </w:rPr>
        <w:t>2024</w:t>
      </w:r>
      <w:r>
        <w:rPr>
          <w:rFonts w:ascii="方正小标宋_GBK" w:hAnsi="方正小标宋_GBK" w:eastAsia="方正小标宋_GBK" w:cs="方正小标宋_GBK"/>
          <w:spacing w:val="4"/>
          <w:sz w:val="43"/>
          <w:szCs w:val="43"/>
        </w:rPr>
        <w:t>—</w:t>
      </w:r>
      <w:r>
        <w:rPr>
          <w:rFonts w:ascii="Times New Roman" w:hAnsi="Times New Roman" w:eastAsia="Times New Roman" w:cs="Times New Roman"/>
          <w:spacing w:val="4"/>
          <w:sz w:val="43"/>
          <w:szCs w:val="43"/>
        </w:rPr>
        <w:t>2026</w:t>
      </w:r>
      <w:r>
        <w:rPr>
          <w:rFonts w:ascii="方正小标宋_GBK" w:hAnsi="方正小标宋_GBK" w:eastAsia="方正小标宋_GBK" w:cs="方正小标宋_GBK"/>
          <w:spacing w:val="4"/>
          <w:sz w:val="43"/>
          <w:szCs w:val="43"/>
        </w:rPr>
        <w:t>年</w:t>
      </w:r>
      <w:r>
        <w:rPr>
          <w:rFonts w:ascii="方正小标宋_GBK" w:hAnsi="方正小标宋_GBK" w:eastAsia="方正小标宋_GBK" w:cs="方正小标宋_GBK"/>
          <w:spacing w:val="5"/>
          <w:sz w:val="43"/>
          <w:szCs w:val="43"/>
        </w:rPr>
        <w:t>江阴市农文旅融合发展实施意见</w:t>
      </w:r>
      <w:r>
        <w:rPr>
          <w:rFonts w:hint="eastAsia" w:ascii="方正小标宋_GBK" w:hAnsi="方正小标宋_GBK" w:eastAsia="方正小标宋_GBK" w:cs="方正小标宋_GBK"/>
          <w:spacing w:val="4"/>
          <w:sz w:val="43"/>
          <w:szCs w:val="43"/>
          <w:lang w:eastAsia="zh-CN"/>
        </w:rPr>
        <w:t>》</w:t>
      </w:r>
      <w:r>
        <w:rPr>
          <w:rFonts w:ascii="方正小标宋_GBK" w:hAnsi="方正小标宋_GBK" w:eastAsia="方正小标宋_GBK" w:cs="方正小标宋_GBK"/>
          <w:spacing w:val="5"/>
          <w:sz w:val="43"/>
          <w:szCs w:val="43"/>
        </w:rPr>
        <w:t>的</w:t>
      </w:r>
      <w:r>
        <w:rPr>
          <w:rFonts w:hint="eastAsia" w:ascii="方正小标宋_GBK" w:hAnsi="方正小标宋_GBK" w:eastAsia="方正小标宋_GBK" w:cs="方正小标宋_GBK"/>
          <w:spacing w:val="5"/>
          <w:sz w:val="43"/>
          <w:szCs w:val="43"/>
          <w:lang w:val="en-US" w:eastAsia="zh-CN"/>
        </w:rPr>
        <w:t>政策解读</w:t>
      </w:r>
    </w:p>
    <w:p w14:paraId="40CFE1A1"/>
    <w:p w14:paraId="274033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</w:pPr>
    </w:p>
    <w:p w14:paraId="7547BD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方正小标宋简体" w:hAnsi="方正小标宋简体" w:eastAsia="方正小标宋简体" w:cs="方正小标宋简体"/>
          <w:snapToGrid w:val="0"/>
          <w:color w:val="000000"/>
          <w:kern w:val="0"/>
          <w:sz w:val="32"/>
          <w:szCs w:val="32"/>
          <w:lang w:val="en-US" w:eastAsia="en-US" w:bidi="ar-SA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kern w:val="0"/>
          <w:sz w:val="32"/>
          <w:szCs w:val="32"/>
          <w:lang w:val="en-US" w:eastAsia="zh-CN" w:bidi="ar-SA"/>
        </w:rPr>
        <w:t>一、</w:t>
      </w: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kern w:val="0"/>
          <w:sz w:val="32"/>
          <w:szCs w:val="32"/>
          <w:lang w:val="en-US" w:eastAsia="en-US" w:bidi="ar-SA"/>
        </w:rPr>
        <w:t>制定背景</w:t>
      </w:r>
    </w:p>
    <w:p w14:paraId="232804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</w:pP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为贯彻落实习近平总书记关于乡村振兴、农文旅发展的重要论述精神，加快推动我市文化、旅游与农业农村深度融合，根据《关于推进乡村旅游高质量发展的指导意见》（苏文旅发〔2021〕73号）、《中共江阴市委 江阴市人民政府关于印发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&lt;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关于学习运用“千万工程”经验落实农业现代化走在前重大要求 有力有效推进乡村全面振兴的实施意见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&gt;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的通知》（澄委发〔2024〕1 号）等文件精神，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制定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了《2024—2026年江阴市农文旅融合发展实施意见》。</w:t>
      </w:r>
    </w:p>
    <w:p w14:paraId="76CE6D38"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420" w:leftChars="0" w:right="0" w:rightChars="0"/>
        <w:jc w:val="left"/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</w:pPr>
    </w:p>
    <w:p w14:paraId="65A4E0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方正小标宋简体" w:hAnsi="方正小标宋简体" w:eastAsia="方正小标宋简体" w:cs="方正小标宋简体"/>
          <w:snapToGrid w:val="0"/>
          <w:color w:val="000000"/>
          <w:kern w:val="0"/>
          <w:sz w:val="32"/>
          <w:szCs w:val="32"/>
          <w:lang w:val="en-US" w:eastAsia="en-US" w:bidi="ar-SA"/>
        </w:rPr>
      </w:pP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kern w:val="0"/>
          <w:sz w:val="32"/>
          <w:szCs w:val="32"/>
          <w:lang w:val="en-US" w:eastAsia="zh-CN" w:bidi="ar-SA"/>
        </w:rPr>
        <w:t>二、</w:t>
      </w: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kern w:val="0"/>
          <w:sz w:val="32"/>
          <w:szCs w:val="32"/>
          <w:lang w:val="en-US" w:eastAsia="en-US" w:bidi="ar-SA"/>
        </w:rPr>
        <w:t>制定依据</w:t>
      </w:r>
    </w:p>
    <w:p w14:paraId="346ED2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1.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《</w:t>
      </w:r>
      <w:r>
        <w:rPr>
          <w:rFonts w:hint="default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中共中央 国务院关于学习运用“千村示范、万村整治”工程经验有力有效推进乡村全面振兴的意见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》（2024年1月1日）</w:t>
      </w:r>
    </w:p>
    <w:p w14:paraId="0CCD8C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2.《农业农村部关于落实中共中央国务院关于学习运用“千村示范、万村整治”工程经验有力有效推进乡村全面振兴工作部署的实施意见》（2024年1月10日）</w:t>
      </w:r>
    </w:p>
    <w:p w14:paraId="37A69C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</w:pP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3.</w:t>
      </w:r>
      <w:r>
        <w:rPr>
          <w:rFonts w:hint="default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《关于推进乡村旅游高质量发展的指导意见》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（苏文旅发〔2021〕73号）</w:t>
      </w:r>
    </w:p>
    <w:p w14:paraId="6BC3FE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</w:pP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4.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《中共江阴市委 江阴市人民政府关于印发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&lt;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关于学习运用“千万工程”经验落实农业现代化走在前重大要求 有力有效推进乡村全面振兴的实施意见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&gt;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的通知》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（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澄委发〔2024〕1 号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）</w:t>
      </w:r>
    </w:p>
    <w:p w14:paraId="2B021A5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right="0"/>
        <w:jc w:val="left"/>
        <w:rPr>
          <w:rFonts w:hint="eastAsia" w:ascii="方正小标宋简体" w:hAnsi="方正小标宋简体" w:eastAsia="方正小标宋简体" w:cs="方正小标宋简体"/>
          <w:snapToGrid w:val="0"/>
          <w:color w:val="000000"/>
          <w:kern w:val="0"/>
          <w:sz w:val="32"/>
          <w:szCs w:val="32"/>
          <w:lang w:val="en-US" w:eastAsia="en-US" w:bidi="ar-SA"/>
        </w:rPr>
      </w:pPr>
    </w:p>
    <w:p w14:paraId="7073026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right="0" w:firstLine="640" w:firstLineChars="200"/>
        <w:jc w:val="left"/>
        <w:rPr>
          <w:rFonts w:hint="eastAsia" w:ascii="方正小标宋简体" w:hAnsi="方正小标宋简体" w:eastAsia="方正小标宋简体" w:cs="方正小标宋简体"/>
          <w:snapToGrid w:val="0"/>
          <w:color w:val="000000"/>
          <w:kern w:val="0"/>
          <w:sz w:val="32"/>
          <w:szCs w:val="32"/>
          <w:lang w:val="en-US" w:eastAsia="en-US" w:bidi="ar-SA"/>
        </w:rPr>
      </w:pP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kern w:val="0"/>
          <w:sz w:val="32"/>
          <w:szCs w:val="32"/>
          <w:lang w:val="en-US" w:eastAsia="en-US" w:bidi="ar-SA"/>
        </w:rPr>
        <w:t>三、主要内容</w:t>
      </w:r>
    </w:p>
    <w:p w14:paraId="1B35D3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</w:pP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《2024—2026年江阴市农文旅融合发展实施意见》主要分为发展要求、主要举措、保障措施三个部分。</w:t>
      </w:r>
    </w:p>
    <w:p w14:paraId="44CE68A4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3" w:firstLineChars="200"/>
        <w:textAlignment w:val="auto"/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32"/>
          <w:szCs w:val="32"/>
          <w:lang w:val="en-US" w:eastAsia="en-US" w:bidi="ar-SA"/>
        </w:rPr>
      </w:pP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32"/>
          <w:szCs w:val="32"/>
          <w:lang w:val="en-US" w:eastAsia="en-US" w:bidi="ar-SA"/>
        </w:rPr>
        <w:t>发展要求</w:t>
      </w:r>
    </w:p>
    <w:p w14:paraId="38BEC25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</w:pP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明确了2024-2026年农文旅融合发展的重要方向、主要目标及指标任务。力争到2026年底，我市农文旅融合发展有较大突破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，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以乡村旅游重点村、旅游民宿、传统村落、美丽休闲乡村、一二三产业融合发展示范园、主题创意农园、共享农庄等为主体的农文旅产品体系更加健全，吸引更多 游客感受江阴乡村美的风光、美的味道、美的人文、美的生活。“ 一镇一品”“一镇多品”的发展风貌基本形成，全市休闲农业园区（基地）达50家，国家、省乡村旅游重点村达3家，全年乡村旅游接待游客300万人次以上，纳入监测的乡村旅游总收入超1500万元。</w:t>
      </w:r>
    </w:p>
    <w:p w14:paraId="533996A7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3" w:firstLineChars="200"/>
        <w:textAlignment w:val="auto"/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32"/>
          <w:szCs w:val="32"/>
          <w:lang w:val="en-US" w:eastAsia="en-US" w:bidi="ar-SA"/>
        </w:rPr>
      </w:pP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32"/>
          <w:szCs w:val="32"/>
          <w:lang w:val="en-US" w:eastAsia="en-US" w:bidi="ar-SA"/>
        </w:rPr>
        <w:t>主要举措</w:t>
      </w:r>
    </w:p>
    <w:p w14:paraId="4737E73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1.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聚焦乡村产业发展，激活农文旅新动能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。包括完善空间布局规划、大力发展休闲农业、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优化人才保障体系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等方面内容。</w:t>
      </w:r>
    </w:p>
    <w:p w14:paraId="476C3E5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2.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聚焦和美乡村建设，绘就农文旅新画卷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。包括持续改善农村人居环境、提升乡村旅游基础设施、强化乡村旅游服务标准等方面内容。</w:t>
      </w:r>
    </w:p>
    <w:p w14:paraId="44E01F9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3.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聚焦文化赋能乡村，增添农文旅新活力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。包括推动传承利用，延续“乡愁”；举办活动赛事，提炼“乡味”；促进文化进乡村，造浓“乡情”等方面内容。</w:t>
      </w:r>
    </w:p>
    <w:p w14:paraId="40A70B0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</w:pP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4.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聚焦宣传推广体系，打造农文旅新形象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。包括坚持品牌引领、强化资源整合、拓展营销渠道、完善宣传体系等方面内容。</w:t>
      </w:r>
    </w:p>
    <w:p w14:paraId="4E42EA3E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3" w:firstLineChars="200"/>
        <w:textAlignment w:val="auto"/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32"/>
          <w:szCs w:val="32"/>
          <w:lang w:val="en-US" w:eastAsia="en-US" w:bidi="ar-SA"/>
        </w:rPr>
      </w:pP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32"/>
          <w:szCs w:val="32"/>
          <w:lang w:val="en-US" w:eastAsia="en-US" w:bidi="ar-SA"/>
        </w:rPr>
        <w:t>保障措施</w:t>
      </w:r>
    </w:p>
    <w:p w14:paraId="126F6CE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</w:pP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按照“市级抓总、行业牵头、板块落实”的原则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zh-CN" w:bidi="ar-SA"/>
        </w:rPr>
        <w:t>，</w:t>
      </w:r>
      <w:r>
        <w:rPr>
          <w:rFonts w:hint="eastAsia" w:ascii="Times New Roman" w:hAnsi="Times New Roman" w:eastAsia="方正仿宋_GBK" w:cs="Times New Roman"/>
          <w:snapToGrid w:val="0"/>
          <w:color w:val="000000"/>
          <w:kern w:val="0"/>
          <w:sz w:val="32"/>
          <w:szCs w:val="32"/>
          <w:lang w:val="en-US" w:eastAsia="en-US" w:bidi="ar-SA"/>
        </w:rPr>
        <w:t>相关部门要加强协同配合，实行定期会商制度。强化财政投入保障，完善乡村金融服务体系，加强乡村农文旅人才的培养，做好产业储备项目的动态调整和完善。充分利用传统媒体 和新媒体等宣传载体，宣传好我市农文旅融合的经验和做法，努力营造全社会关心、支持农文旅深度融合的良好氛围。</w:t>
      </w:r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6F1599E6-3076-4AC0-AF4B-BFC3B7F769D9}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4C54577E-909A-45EB-888F-A7C0ED7D729A}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8FB6985C-37A3-407C-BDC0-B275E0C41A0F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0EAFF327-AEF0-43CA-823B-E77472266987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EC28B29"/>
    <w:multiLevelType w:val="singleLevel"/>
    <w:tmpl w:val="BEC28B2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1E73D7"/>
    <w:rsid w:val="030E4812"/>
    <w:rsid w:val="128E26C9"/>
    <w:rsid w:val="153951E6"/>
    <w:rsid w:val="1987174D"/>
    <w:rsid w:val="321E73D7"/>
    <w:rsid w:val="347E3F31"/>
    <w:rsid w:val="393E3825"/>
    <w:rsid w:val="3F220916"/>
    <w:rsid w:val="3F48228F"/>
    <w:rsid w:val="43F81D9E"/>
    <w:rsid w:val="46977508"/>
    <w:rsid w:val="4B6928EF"/>
    <w:rsid w:val="55033331"/>
    <w:rsid w:val="5E214A20"/>
    <w:rsid w:val="75046A64"/>
    <w:rsid w:val="7EC23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方正仿宋_GBK" w:hAnsi="方正仿宋_GBK" w:eastAsia="方正仿宋_GBK" w:cs="方正仿宋_GBK"/>
      <w:sz w:val="31"/>
      <w:szCs w:val="31"/>
      <w:lang w:val="en-US" w:eastAsia="en-US" w:bidi="ar-SA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1160</Words>
  <Characters>1224</Characters>
  <Lines>0</Lines>
  <Paragraphs>0</Paragraphs>
  <TotalTime>22</TotalTime>
  <ScaleCrop>false</ScaleCrop>
  <LinksUpToDate>false</LinksUpToDate>
  <CharactersWithSpaces>1234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2024-12-16T02:24:00Z</dcterms:created>
  <dc:creator> 一只耳的小兔</dc:creator>
  <cp:lastModifiedBy>无忧</cp:lastModifiedBy>
  <dcterms:modified xsi:type="dcterms:W3CDTF">2024-12-18T06:51:45Z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268B4865BD4340E7824E3D0A2C1955BD_13</vt:lpwstr>
  </property>
</Properties>
</file>