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72"/>
        <w:pBdr/>
        <w:tabs>
          <w:tab w:val="right" w:leader="none" w:pos="8533"/>
        </w:tabs>
        <w:spacing/>
        <w:ind w:right="316" w:left="316"/>
        <w:rPr>
          <w:rFonts w:hint="eastAsia"/>
          <w:sz w:val="21"/>
          <w:szCs w:val="21"/>
        </w:rPr>
      </w:pPr>
      <w:r/>
      <w:bookmarkStart w:id="0" w:name="编号"/>
      <w:r/>
      <w:bookmarkEnd w:id="0"/>
      <w:r>
        <w:rPr>
          <w:rFonts w:hint="eastAsia"/>
          <w:sz w:val="21"/>
          <w:szCs w:val="21"/>
        </w:rPr>
      </w:r>
      <w:r>
        <w:rPr>
          <w:rFonts w:hint="eastAsia"/>
          <w:sz w:val="21"/>
          <w:szCs w:val="21"/>
        </w:rPr>
      </w:r>
    </w:p>
    <w:p>
      <w:pPr>
        <w:pStyle w:val="672"/>
        <w:pBdr/>
        <w:tabs>
          <w:tab w:val="right" w:leader="none" w:pos="8533"/>
        </w:tabs>
        <w:spacing/>
        <w:ind w:right="316" w:left="316"/>
        <w:rPr>
          <w:sz w:val="21"/>
          <w:szCs w:val="21"/>
        </w:rPr>
      </w:pPr>
      <w:r>
        <w:rPr>
          <w:sz w:val="21"/>
          <w:szCs w:val="21"/>
        </w:rPr>
      </w:r>
      <w:r>
        <w:rPr>
          <w:sz w:val="21"/>
          <w:szCs w:val="21"/>
        </w:rPr>
      </w:r>
    </w:p>
    <w:p>
      <w:pPr>
        <w:pStyle w:val="672"/>
        <w:pBdr/>
        <w:spacing/>
        <w:ind w:right="157" w:hanging="1021" w:left="1336"/>
        <w:rPr>
          <w:rFonts w:hint="eastAsia" w:eastAsia="方正黑体_GBK"/>
          <w:color w:val="000000"/>
          <w:sz w:val="44"/>
          <w:szCs w:val="44"/>
        </w:rPr>
      </w:pPr>
      <w:r>
        <w:rPr>
          <w:rFonts w:hint="eastAsia" w:eastAsia="方正黑体_GBK"/>
          <w:color w:val="000000"/>
          <w:sz w:val="44"/>
          <w:szCs w:val="44"/>
        </w:rPr>
      </w:r>
      <w:r>
        <w:rPr>
          <w:rFonts w:hint="eastAsia" w:eastAsia="方正黑体_GBK"/>
          <w:color w:val="000000"/>
          <w:sz w:val="44"/>
          <w:szCs w:val="44"/>
        </w:rPr>
      </w:r>
    </w:p>
    <w:p>
      <w:pPr>
        <w:pStyle w:val="672"/>
        <w:pBdr/>
        <w:spacing w:line="520" w:lineRule="exact"/>
        <w:ind w:firstLine="624"/>
        <w:jc w:val="center"/>
        <w:rPr>
          <w:rFonts w:hint="eastAsia"/>
          <w:b/>
          <w:bCs/>
          <w:color w:val="000000"/>
          <w:sz w:val="44"/>
          <w:szCs w:val="44"/>
        </w:rPr>
      </w:pPr>
      <w:r>
        <w:rPr>
          <w:rFonts w:hint="eastAsia"/>
          <w:color w:val="000000"/>
          <w:szCs w:val="20"/>
        </w:rPr>
        <mc:AlternateContent>
          <mc:Choice Requires="wpg">
            <w:drawing>
              <wp:anchor xmlns:wp="http://schemas.openxmlformats.org/drawingml/2006/wordprocessingDrawing" xmlns:wp14="http://schemas.microsoft.com/office/word/2010/wordprocessingDrawing" distT="0" distB="0" distL="114300" distR="114300" simplePos="0" relativeHeight="251658244" behindDoc="0" locked="0" layoutInCell="1" allowOverlap="1">
                <wp:simplePos x="0" y="0"/>
                <wp:positionH relativeFrom="column">
                  <wp:posOffset>-634</wp:posOffset>
                </wp:positionH>
                <wp:positionV relativeFrom="paragraph">
                  <wp:posOffset>21590</wp:posOffset>
                </wp:positionV>
                <wp:extent cx="5615940" cy="2139950"/>
                <wp:effectExtent l="0" t="0" r="0" b="0"/>
                <wp:wrapNone/>
                <wp:docPr id="1" name="_x0000_s1051"/>
                <wp:cNvGraphicFramePr/>
                <a:graphic xmlns:a="http://schemas.openxmlformats.org/drawingml/2006/main">
                  <a:graphicData uri="http://schemas.microsoft.com/office/word/2010/wordprocessingGroup">
                    <wpg:wgp>
                      <wpg:cNvGrpSpPr/>
                      <wpg:grpSpPr bwMode="auto">
                        <a:xfrm>
                          <a:off x="0" y="0"/>
                          <a:ext cx="5615940" cy="2139950"/>
                          <a:chOff x="1587" y="3795"/>
                          <a:chExt cx="8844" cy="3370"/>
                        </a:xfrm>
                      </wpg:grpSpPr>
                      <wps:wsp>
                        <wps:cNvPr id="0" name=""/>
                        <wps:cNvSpPr/>
                        <wps:spPr bwMode="auto">
                          <a:xfrm>
                            <a:off x="1587" y="7166"/>
                            <a:ext cx="8844" cy="0"/>
                          </a:xfrm>
                          <a:custGeom>
                            <a:avLst/>
                            <a:gdLst>
                              <a:gd name="gd0" fmla="val 65536"/>
                              <a:gd name="gd1" fmla="val 0"/>
                              <a:gd name="gd2" fmla="val 0"/>
                              <a:gd name="gd3" fmla="val 21600"/>
                              <a:gd name="gd4" fmla="val 21600"/>
                            </a:gdLst>
                            <a:ahLst/>
                            <a:cxnLst/>
                            <a:rect l="0" t="0" r="r" b="b"/>
                            <a:pathLst>
                              <a:path w="21600" h="21600" fill="norm" stroke="1" extrusionOk="0">
                                <a:moveTo>
                                  <a:pt x="gd1" y="gd2"/>
                                </a:moveTo>
                                <a:lnTo>
                                  <a:pt x="gd3" y="gd4"/>
                                </a:lnTo>
                              </a:path>
                            </a:pathLst>
                          </a:custGeom>
                          <a:noFill/>
                          <a:ln w="25400">
                            <a:solidFill>
                              <a:srgbClr val="FF0000"/>
                            </a:solidFill>
                          </a:ln>
                        </wps:spPr>
                        <wps:bodyPr rot="0">
                          <a:prstTxWarp prst="textNoShape">
                            <a:avLst/>
                          </a:prstTxWarp>
                          <a:noAutofit/>
                        </wps:bodyPr>
                      </wps:wsp>
                      <wps:wsp>
                        <wps:cNvPr id="1" name=""/>
                        <wps:cNvSpPr txBox="1"/>
                        <wps:spPr bwMode="auto">
                          <a:xfrm>
                            <a:off x="1786" y="3795"/>
                            <a:ext cx="8447" cy="1701"/>
                          </a:xfrm>
                          <a:prstGeom prst="rect">
                            <a:avLst/>
                          </a:prstGeom>
                          <a:noFill/>
                          <a:ln>
                            <a:noFill/>
                          </a:ln>
                        </wps:spPr>
                        <wps:txbx>
                          <w:txbxContent>
                            <w:p>
                              <w:pPr>
                                <w:pStyle w:val="672"/>
                                <w:pBdr/>
                                <w:spacing w:line="0" w:lineRule="atLeast"/>
                                <w:ind w:right="158" w:left="158"/>
                                <w:jc w:val="both"/>
                                <w:rPr>
                                  <w:rFonts w:hint="eastAsia" w:ascii="方正小标宋_GBK" w:eastAsia="方正小标宋_GBK"/>
                                  <w:b/>
                                  <w:color w:val="ff0000"/>
                                  <w:sz w:val="124"/>
                                  <w:szCs w:val="124"/>
                                </w:rPr>
                              </w:pPr>
                              <w:r>
                                <w:rPr>
                                  <w:rFonts w:hint="eastAsia" w:ascii="方正小标宋_GBK" w:eastAsia="方正小标宋_GBK"/>
                                  <w:b/>
                                  <w:color w:val="ff0000"/>
                                  <w:sz w:val="124"/>
                                  <w:szCs w:val="124"/>
                                </w:rPr>
                                <w:t xml:space="preserve">江阴市人民政府文件</w:t>
                              </w:r>
                              <w:r>
                                <w:rPr>
                                  <w:rFonts w:hint="eastAsia" w:ascii="方正小标宋_GBK" w:eastAsia="方正小标宋_GBK"/>
                                  <w:b/>
                                  <w:color w:val="ff0000"/>
                                  <w:sz w:val="124"/>
                                  <w:szCs w:val="124"/>
                                </w:rPr>
                              </w:r>
                            </w:p>
                            <w:p>
                              <w:pPr>
                                <w:pStyle w:val="672"/>
                                <w:pBdr/>
                                <w:spacing/>
                                <w:ind/>
                                <w:rPr/>
                              </w:pPr>
                              <w:r/>
                              <w:r/>
                            </w:p>
                          </w:txbxContent>
                        </wps:txbx>
                        <wps:bodyPr wrap="square" lIns="0" tIns="0" rIns="0" bIns="0" upright="1"/>
                      </wps:wsp>
                    </wpg:wgp>
                  </a:graphicData>
                </a:graphic>
              </wp:anchor>
            </w:drawing>
          </mc:Choice>
          <mc:Fallback>
            <w:pict>
              <v:group id="group 0" o:spid="_x0000_s0000" style="position:absolute;z-index:251658244;o:allowoverlap:true;o:allowincell:true;mso-position-horizontal-relative:text;margin-left:-0.05pt;mso-position-horizontal:absolute;mso-position-vertical-relative:text;margin-top:1.70pt;mso-position-vertical:absolute;width:442.20pt;height:168.50pt;mso-wrap-distance-left:9.00pt;mso-wrap-distance-top:0.00pt;mso-wrap-distance-right:9.00pt;mso-wrap-distance-bottom:0.00pt;" coordorigin="15,37" coordsize="88,33">
                <v:shape id="shape 1" o:spid="_x0000_s1" style="position:absolute;left:15;top:71;width:88;height:0;visibility:visible;" path="m0,0l100000,100000e" coordsize="100000,100000" filled="f" strokecolor="#FF0000" strokeweight="2.00pt">
                  <v:path textboxrect="0,0,0,0"/>
                </v:shape>
                <v:shape id="shape 2" o:spid="_x0000_s2" o:spt="202" type="#_x0000_t202" style="position:absolute;left:17;top:37;width:84;height:17;visibility:visible;" filled="f" stroked="f">
                  <v:textbox inset="0,0,0,0">
                    <w:txbxContent>
                      <w:p>
                        <w:pPr>
                          <w:pStyle w:val="672"/>
                          <w:pBdr/>
                          <w:spacing w:line="0" w:lineRule="atLeast"/>
                          <w:ind w:right="158" w:left="158"/>
                          <w:jc w:val="both"/>
                          <w:rPr>
                            <w:rFonts w:hint="eastAsia" w:ascii="方正小标宋_GBK" w:eastAsia="方正小标宋_GBK"/>
                            <w:b/>
                            <w:color w:val="ff0000"/>
                            <w:sz w:val="124"/>
                            <w:szCs w:val="124"/>
                          </w:rPr>
                        </w:pPr>
                        <w:r>
                          <w:rPr>
                            <w:rFonts w:hint="eastAsia" w:ascii="方正小标宋_GBK" w:eastAsia="方正小标宋_GBK"/>
                            <w:b/>
                            <w:color w:val="ff0000"/>
                            <w:sz w:val="124"/>
                            <w:szCs w:val="124"/>
                          </w:rPr>
                          <w:t xml:space="preserve">江阴市人民政府文件</w:t>
                        </w:r>
                        <w:r>
                          <w:rPr>
                            <w:rFonts w:hint="eastAsia" w:ascii="方正小标宋_GBK" w:eastAsia="方正小标宋_GBK"/>
                            <w:b/>
                            <w:color w:val="ff0000"/>
                            <w:sz w:val="124"/>
                            <w:szCs w:val="124"/>
                          </w:rPr>
                        </w:r>
                      </w:p>
                      <w:p>
                        <w:pPr>
                          <w:pStyle w:val="672"/>
                          <w:pBdr/>
                          <w:spacing/>
                          <w:ind/>
                          <w:rPr/>
                        </w:pPr>
                        <w:r/>
                        <w:r/>
                      </w:p>
                    </w:txbxContent>
                  </v:textbox>
                </v:shape>
              </v:group>
            </w:pict>
          </mc:Fallback>
        </mc:AlternateContent>
      </w:r>
      <w:r>
        <w:rPr>
          <w:rFonts w:hint="eastAsia"/>
          <w:b/>
          <w:bCs/>
          <w:color w:val="000000"/>
          <w:sz w:val="44"/>
          <w:szCs w:val="44"/>
        </w:rPr>
      </w:r>
      <w:r>
        <w:rPr>
          <w:rFonts w:hint="eastAsia"/>
          <w:b/>
          <w:bCs/>
          <w:color w:val="000000"/>
          <w:sz w:val="44"/>
          <w:szCs w:val="44"/>
        </w:rPr>
      </w:r>
    </w:p>
    <w:p>
      <w:pPr>
        <w:pStyle w:val="672"/>
        <w:pBdr/>
        <w:spacing w:line="460" w:lineRule="exact"/>
        <w:ind w:firstLine="624"/>
        <w:jc w:val="center"/>
        <w:rPr>
          <w:rFonts w:hint="eastAsia"/>
          <w:b/>
          <w:bCs/>
          <w:color w:val="000000"/>
          <w:sz w:val="44"/>
          <w:szCs w:val="44"/>
        </w:rPr>
      </w:pPr>
      <w:r>
        <w:rPr>
          <w:rFonts w:hint="eastAsia"/>
          <w:b/>
          <w:bCs/>
          <w:color w:val="000000"/>
          <w:sz w:val="44"/>
          <w:szCs w:val="44"/>
        </w:rPr>
      </w:r>
      <w:r>
        <w:rPr>
          <w:rFonts w:hint="eastAsia"/>
          <w:b/>
          <w:bCs/>
          <w:color w:val="000000"/>
          <w:sz w:val="44"/>
          <w:szCs w:val="44"/>
        </w:rPr>
      </w:r>
    </w:p>
    <w:p>
      <w:pPr>
        <w:pStyle w:val="672"/>
        <w:pBdr/>
        <w:spacing w:line="590" w:lineRule="atLeast"/>
        <w:ind w:firstLine="624"/>
        <w:jc w:val="center"/>
        <w:rPr>
          <w:rFonts w:hint="eastAsia"/>
          <w:b/>
          <w:bCs/>
          <w:color w:val="000000"/>
          <w:szCs w:val="20"/>
        </w:rPr>
      </w:pPr>
      <w:r>
        <w:rPr>
          <w:rFonts w:hint="eastAsia"/>
          <w:b/>
          <w:bCs/>
          <w:color w:val="000000"/>
          <w:szCs w:val="20"/>
        </w:rPr>
      </w:r>
      <w:r>
        <w:rPr>
          <w:rFonts w:hint="eastAsia"/>
          <w:b/>
          <w:bCs/>
          <w:color w:val="000000"/>
          <w:szCs w:val="20"/>
        </w:rPr>
      </w:r>
    </w:p>
    <w:p>
      <w:pPr>
        <w:pStyle w:val="672"/>
        <w:pBdr/>
        <w:spacing w:line="590" w:lineRule="atLeast"/>
        <w:ind w:firstLine="624"/>
        <w:jc w:val="center"/>
        <w:rPr>
          <w:rFonts w:hint="eastAsia"/>
          <w:b/>
          <w:bCs/>
          <w:color w:val="000000"/>
          <w:szCs w:val="20"/>
        </w:rPr>
      </w:pPr>
      <w:r>
        <w:rPr>
          <w:rFonts w:hint="eastAsia"/>
          <w:b/>
          <w:bCs/>
          <w:color w:val="000000"/>
          <w:szCs w:val="20"/>
        </w:rPr>
      </w:r>
      <w:r>
        <w:rPr>
          <w:rFonts w:hint="eastAsia"/>
          <w:b/>
          <w:bCs/>
          <w:color w:val="000000"/>
          <w:szCs w:val="20"/>
        </w:rPr>
      </w:r>
    </w:p>
    <w:p>
      <w:pPr>
        <w:pStyle w:val="672"/>
        <w:pBdr/>
        <w:spacing w:line="590" w:lineRule="atLeast"/>
        <w:ind w:firstLine="624"/>
        <w:jc w:val="center"/>
        <w:rPr>
          <w:rFonts w:hint="eastAsia"/>
          <w:b/>
          <w:bCs/>
          <w:color w:val="000000"/>
          <w:szCs w:val="20"/>
        </w:rPr>
      </w:pPr>
      <w:r>
        <w:rPr>
          <w:rFonts w:hint="eastAsia"/>
          <w:b/>
          <w:bCs/>
          <w:color w:val="000000"/>
          <w:szCs w:val="20"/>
        </w:rPr>
      </w:r>
      <w:r>
        <w:rPr>
          <w:rFonts w:hint="eastAsia"/>
          <w:b/>
          <w:bCs/>
          <w:color w:val="000000"/>
          <w:szCs w:val="20"/>
        </w:rPr>
      </w:r>
    </w:p>
    <w:p>
      <w:pPr>
        <w:pStyle w:val="672"/>
        <w:pBdr/>
        <w:spacing w:line="0" w:lineRule="atLeast"/>
        <w:ind/>
        <w:jc w:val="center"/>
        <w:rPr>
          <w:rFonts w:hint="eastAsia"/>
          <w:szCs w:val="32"/>
        </w:rPr>
      </w:pPr>
      <w:r>
        <w:rPr>
          <w:szCs w:val="32"/>
        </w:rPr>
        <w:t xml:space="preserve">澄政发〔20</w:t>
      </w:r>
      <w:r>
        <w:rPr>
          <w:rFonts w:hint="eastAsia"/>
          <w:szCs w:val="32"/>
        </w:rPr>
        <w:t xml:space="preserve">17</w:t>
      </w:r>
      <w:r>
        <w:rPr>
          <w:szCs w:val="32"/>
        </w:rPr>
        <w:t xml:space="preserve">〕</w:t>
      </w:r>
      <w:r>
        <w:rPr>
          <w:rFonts w:hint="eastAsia"/>
          <w:szCs w:val="32"/>
        </w:rPr>
        <w:t xml:space="preserve">104</w:t>
      </w:r>
      <w:r>
        <w:rPr>
          <w:szCs w:val="32"/>
        </w:rPr>
        <w:t xml:space="preserve">号</w:t>
      </w:r>
      <w:r>
        <w:rPr>
          <w:rFonts w:hint="eastAsia"/>
          <w:szCs w:val="32"/>
        </w:rPr>
      </w:r>
      <w:r>
        <w:rPr>
          <w:rFonts w:hint="eastAsia"/>
          <w:szCs w:val="32"/>
        </w:rPr>
      </w:r>
    </w:p>
    <w:p>
      <w:pPr>
        <w:pStyle w:val="672"/>
        <w:pBdr/>
        <w:spacing w:before="289" w:line="590" w:lineRule="atLeast"/>
        <w:ind w:right="-3" w:firstLine="624"/>
        <w:jc w:val="center"/>
        <w:rPr>
          <w:rFonts w:eastAsia="方正小标宋_GBK"/>
          <w:color w:val="000000"/>
          <w:sz w:val="44"/>
          <w:szCs w:val="20"/>
        </w:rPr>
      </w:pPr>
      <w:r>
        <w:rPr>
          <w:rFonts w:eastAsia="方正小标宋_GBK"/>
          <w:color w:val="000000"/>
          <w:sz w:val="44"/>
          <w:szCs w:val="20"/>
        </w:rPr>
      </w:r>
      <w:r>
        <w:rPr>
          <w:rFonts w:eastAsia="方正小标宋_GBK"/>
          <w:color w:val="000000"/>
          <w:sz w:val="44"/>
          <w:szCs w:val="20"/>
        </w:rPr>
      </w:r>
    </w:p>
    <w:p>
      <w:pPr>
        <w:pStyle w:val="672"/>
        <w:pBdr/>
        <w:spacing w:line="240" w:lineRule="exact"/>
        <w:ind w:left="7876"/>
        <w:rPr>
          <w:rFonts w:hint="eastAsia"/>
          <w:szCs w:val="32"/>
        </w:rPr>
      </w:pPr>
      <w:r>
        <w:rPr>
          <w:rFonts w:hint="eastAsia"/>
          <w:szCs w:val="32"/>
        </w:rPr>
      </w:r>
      <w:r>
        <w:rPr>
          <w:rFonts w:hint="eastAsia"/>
          <w:szCs w:val="32"/>
        </w:rPr>
      </w:r>
    </w:p>
    <w:p>
      <w:pPr>
        <w:pStyle w:val="685"/>
        <w:pBdr/>
        <w:spacing w:line="0" w:lineRule="atLeast"/>
        <w:ind/>
        <w:rPr>
          <w:rFonts w:hint="eastAsia" w:ascii="Times New Roman" w:eastAsia="方正小标宋_GBK"/>
          <w:sz w:val="44"/>
          <w:szCs w:val="44"/>
        </w:rPr>
      </w:pPr>
      <w:r>
        <w:rPr>
          <w:rFonts w:hint="eastAsia" w:ascii="Times New Roman" w:eastAsia="方正小标宋_GBK"/>
          <w:sz w:val="44"/>
          <w:szCs w:val="44"/>
        </w:rPr>
        <w:t xml:space="preserve">市政府印发《关于知识产权</w:t>
      </w:r>
      <w:r>
        <w:rPr>
          <w:rFonts w:hint="eastAsia" w:ascii="Times New Roman" w:eastAsia="方正小标宋_GBK"/>
          <w:sz w:val="44"/>
          <w:szCs w:val="44"/>
        </w:rPr>
      </w:r>
    </w:p>
    <w:p>
      <w:pPr>
        <w:pStyle w:val="685"/>
        <w:pBdr/>
        <w:spacing w:line="0" w:lineRule="atLeast"/>
        <w:ind/>
        <w:rPr>
          <w:rFonts w:ascii="Times New Roman" w:eastAsia="方正小标宋_GBK"/>
          <w:sz w:val="44"/>
          <w:szCs w:val="44"/>
        </w:rPr>
      </w:pPr>
      <w:r>
        <w:rPr>
          <w:rFonts w:hint="eastAsia" w:ascii="Times New Roman" w:eastAsia="方正小标宋_GBK"/>
          <w:sz w:val="44"/>
          <w:szCs w:val="44"/>
        </w:rPr>
        <w:t xml:space="preserve">强市建设的若干政策措施》的通知</w:t>
      </w:r>
      <w:r>
        <w:rPr>
          <w:rFonts w:ascii="Times New Roman" w:eastAsia="方正小标宋_GBK"/>
          <w:sz w:val="44"/>
          <w:szCs w:val="44"/>
        </w:rPr>
      </w:r>
      <w:r>
        <w:rPr>
          <w:rFonts w:ascii="Times New Roman" w:eastAsia="方正小标宋_GBK"/>
          <w:sz w:val="44"/>
          <w:szCs w:val="44"/>
        </w:rPr>
      </w:r>
    </w:p>
    <w:p>
      <w:pPr>
        <w:pStyle w:val="672"/>
        <w:pBdr/>
        <w:spacing w:line="500" w:lineRule="exact"/>
        <w:ind w:firstLine="632"/>
        <w:rPr>
          <w:rFonts w:hint="eastAsia"/>
          <w:szCs w:val="32"/>
        </w:rPr>
      </w:pPr>
      <w:r>
        <w:rPr>
          <w:rFonts w:hint="eastAsia"/>
          <w:szCs w:val="32"/>
        </w:rPr>
      </w:r>
      <w:r>
        <w:rPr>
          <w:rFonts w:hint="eastAsia"/>
          <w:szCs w:val="32"/>
        </w:rPr>
      </w:r>
    </w:p>
    <w:p>
      <w:pPr>
        <w:pStyle w:val="672"/>
        <w:pBdr/>
        <w:spacing/>
        <w:ind/>
        <w:rPr>
          <w:rFonts w:hint="eastAsia"/>
          <w:szCs w:val="32"/>
        </w:rPr>
      </w:pPr>
      <w:r>
        <w:rPr>
          <w:rFonts w:hint="eastAsia"/>
          <w:szCs w:val="32"/>
        </w:rPr>
        <w:t xml:space="preserve">各镇人民政府，各街道办事处，高新区管委会，临港经济开发区管委会，靖江园区管委会，市各委办局，市各直属单位：</w:t>
      </w:r>
      <w:r>
        <w:rPr>
          <w:rFonts w:hint="eastAsia"/>
          <w:szCs w:val="32"/>
        </w:rPr>
      </w:r>
    </w:p>
    <w:p>
      <w:pPr>
        <w:pStyle w:val="672"/>
        <w:pBdr/>
        <w:spacing/>
        <w:ind w:firstLine="615"/>
        <w:rPr>
          <w:rFonts w:hint="eastAsia"/>
          <w:szCs w:val="32"/>
        </w:rPr>
      </w:pPr>
      <w:r>
        <w:rPr>
          <w:rFonts w:hint="eastAsia"/>
          <w:szCs w:val="32"/>
        </w:rPr>
        <w:t xml:space="preserve">现将《关于知识产权强市建设的若干政策措施》印发给你们，请认真贯彻执行。</w:t>
      </w:r>
      <w:r>
        <w:rPr>
          <w:rFonts w:hint="eastAsia"/>
          <w:szCs w:val="32"/>
        </w:rPr>
      </w:r>
    </w:p>
    <w:p>
      <w:pPr>
        <w:pStyle w:val="672"/>
        <w:pBdr/>
        <w:spacing w:line="400" w:lineRule="exact"/>
        <w:ind w:firstLine="612"/>
        <w:rPr>
          <w:rFonts w:hint="eastAsia"/>
          <w:szCs w:val="32"/>
        </w:rPr>
      </w:pPr>
      <w:r>
        <w:rPr>
          <w:rFonts w:hint="eastAsia"/>
          <w:szCs w:val="32"/>
        </w:rPr>
      </w:r>
      <w:r>
        <w:rPr>
          <w:rFonts w:hint="eastAsia"/>
          <w:szCs w:val="32"/>
        </w:rPr>
      </w:r>
    </w:p>
    <w:p>
      <w:pPr>
        <w:pStyle w:val="672"/>
        <w:pBdr/>
        <w:spacing w:line="400" w:lineRule="exact"/>
        <w:ind w:firstLine="612"/>
        <w:rPr>
          <w:rFonts w:hint="eastAsia"/>
          <w:szCs w:val="32"/>
        </w:rPr>
      </w:pPr>
      <w:r>
        <w:rPr>
          <w:rFonts w:hint="eastAsia"/>
          <w:szCs w:val="32"/>
        </w:rPr>
      </w:r>
      <w:r>
        <w:rPr>
          <w:rFonts w:hint="eastAsia"/>
          <w:szCs w:val="32"/>
        </w:rPr>
      </w:r>
    </w:p>
    <w:p>
      <w:pPr>
        <w:pStyle w:val="672"/>
        <w:pBdr/>
        <w:spacing w:line="400" w:lineRule="exact"/>
        <w:ind w:firstLine="612"/>
        <w:rPr>
          <w:rFonts w:hint="eastAsia"/>
          <w:szCs w:val="32"/>
        </w:rPr>
      </w:pPr>
      <w:r>
        <w:rPr>
          <w:rFonts w:hint="eastAsia"/>
          <w:szCs w:val="32"/>
        </w:rPr>
      </w:r>
      <w:r>
        <w:rPr>
          <w:rFonts w:hint="eastAsia"/>
          <w:szCs w:val="32"/>
        </w:rPr>
      </w:r>
    </w:p>
    <w:p>
      <w:pPr>
        <w:pStyle w:val="672"/>
        <w:pBdr/>
        <w:spacing/>
        <w:ind w:right="989" w:firstLine="615"/>
        <w:jc w:val="right"/>
        <w:rPr>
          <w:rFonts w:hint="eastAsia"/>
          <w:szCs w:val="32"/>
        </w:rPr>
      </w:pPr>
      <w:r>
        <w:rPr>
          <w:rFonts w:hint="eastAsia"/>
          <w:szCs w:val="32"/>
        </w:rPr>
        <w:t xml:space="preserve">江</w:t>
      </w:r>
      <w:r>
        <w:rPr>
          <w:szCs w:val="32"/>
        </w:rPr>
        <mc:AlternateContent>
          <mc:Choice Requires="wpg">
            <w:drawing>
              <wp:anchor xmlns:wp="http://schemas.openxmlformats.org/drawingml/2006/wordprocessingDrawing" xmlns:wp14="http://schemas.microsoft.com/office/word/2010/wordprocessingDrawing" distT="0" distB="0" distL="114300" distR="114300" simplePos="0" relativeHeight="251658245" behindDoc="0" locked="0" layoutInCell="1" allowOverlap="1">
                <wp:simplePos x="0" y="0"/>
                <wp:positionH relativeFrom="page">
                  <wp:posOffset>4124325</wp:posOffset>
                </wp:positionH>
                <wp:positionV relativeFrom="page">
                  <wp:posOffset>7524750</wp:posOffset>
                </wp:positionV>
                <wp:extent cx="1666875" cy="1657350"/>
                <wp:effectExtent l="0" t="0" r="0" b="0"/>
                <wp:wrapNone/>
                <wp:docPr id="2" name="_x0000_s105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a:off x="0" y="0"/>
                          <a:ext cx="1666875" cy="1657350"/>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251658245;o:allowoverlap:true;o:allowincell:true;mso-position-horizontal-relative:page;margin-left:324.75pt;mso-position-horizontal:absolute;mso-position-vertical-relative:page;margin-top:592.50pt;mso-position-vertical:absolute;width:131.25pt;height:130.50pt;mso-wrap-distance-left:9.00pt;mso-wrap-distance-top:0.00pt;mso-wrap-distance-right:9.00pt;mso-wrap-distance-bottom:0.00pt;z-index:1;" stroked="f">
                <v:imagedata r:id="rId12" o:title=""/>
                <o:lock v:ext="edit" rotation="t"/>
              </v:shape>
            </w:pict>
          </mc:Fallback>
        </mc:AlternateContent>
      </w:r>
      <w:r>
        <w:rPr>
          <w:rFonts w:hint="eastAsia"/>
          <w:szCs w:val="32"/>
        </w:rPr>
        <w:t xml:space="preserve"> 阴 市 人 民 政 府</w:t>
      </w:r>
      <w:r>
        <w:rPr>
          <w:rFonts w:hint="eastAsia"/>
          <w:szCs w:val="32"/>
        </w:rPr>
      </w:r>
    </w:p>
    <w:p>
      <w:pPr>
        <w:pStyle w:val="672"/>
        <w:pBdr/>
        <w:spacing/>
        <w:ind w:right="1263" w:firstLine="612"/>
        <w:jc w:val="right"/>
        <w:rPr>
          <w:rFonts w:hint="eastAsia"/>
          <w:szCs w:val="32"/>
        </w:rPr>
      </w:pPr>
      <w:r>
        <w:rPr>
          <w:rFonts w:hint="eastAsia"/>
          <w:szCs w:val="32"/>
        </w:rPr>
        <w:t xml:space="preserve">2017年11月18日</w:t>
      </w:r>
      <w:r>
        <w:rPr>
          <w:rFonts w:hint="eastAsia"/>
          <w:szCs w:val="32"/>
        </w:rPr>
      </w:r>
    </w:p>
    <w:p>
      <w:pPr>
        <w:pStyle w:val="672"/>
        <w:pBdr/>
        <w:spacing/>
        <w:ind/>
        <w:jc w:val="center"/>
        <w:rPr>
          <w:rFonts w:hint="eastAsia"/>
          <w:szCs w:val="32"/>
        </w:rPr>
      </w:pPr>
      <w:r>
        <w:rPr>
          <w:rFonts w:eastAsia="方正小标宋_GBK"/>
          <w:sz w:val="44"/>
          <w:szCs w:val="44"/>
        </w:rPr>
        <w:br w:type="page" w:clear="all"/>
      </w:r>
      <w:r>
        <w:rPr>
          <w:rFonts w:hint="eastAsia" w:eastAsia="方正小标宋_GBK"/>
          <w:sz w:val="44"/>
          <w:szCs w:val="44"/>
        </w:rPr>
        <w:t xml:space="preserve">关于知识产权强市建设的若干政策措施</w:t>
      </w:r>
      <w:r>
        <w:rPr>
          <w:rFonts w:hint="eastAsia"/>
          <w:szCs w:val="32"/>
        </w:rPr>
      </w:r>
      <w:r>
        <w:rPr>
          <w:rFonts w:hint="eastAsia"/>
          <w:szCs w:val="32"/>
        </w:rPr>
      </w:r>
    </w:p>
    <w:p>
      <w:pPr>
        <w:pStyle w:val="672"/>
        <w:pBdr/>
        <w:spacing w:line="400" w:lineRule="exact"/>
        <w:ind w:firstLine="632"/>
        <w:rPr>
          <w:rFonts w:hint="eastAsia"/>
          <w:szCs w:val="32"/>
        </w:rPr>
      </w:pPr>
      <w:r>
        <w:rPr>
          <w:rFonts w:hint="eastAsia"/>
          <w:szCs w:val="32"/>
        </w:rPr>
      </w:r>
      <w:r>
        <w:rPr>
          <w:rFonts w:hint="eastAsia"/>
          <w:szCs w:val="32"/>
        </w:rPr>
      </w:r>
    </w:p>
    <w:p>
      <w:pPr>
        <w:pStyle w:val="672"/>
        <w:pBdr/>
        <w:spacing w:line="600" w:lineRule="exact"/>
        <w:ind w:firstLine="632"/>
        <w:rPr>
          <w:rFonts w:hint="eastAsia"/>
          <w:szCs w:val="32"/>
        </w:rPr>
      </w:pPr>
      <w:r>
        <w:rPr>
          <w:rFonts w:hint="eastAsia"/>
          <w:szCs w:val="32"/>
        </w:rPr>
        <w:t xml:space="preserve">根据《中共江苏省委江苏省人民政府关于江苏省贯彻国家创新驱动发展战略纲要实施方案》（苏发〔2016〕36号）、《江苏省人民政府关于加快推进产业科技创新中心和创新型省份建设的若干政策措施》（苏政发〔2016〕107号）、《江苏省人民政府关于知识产权强省建设的若干政策措施》（苏政发〔2017〕32号）等上级文件精神，为扎实推进知识产权强市建设，加快创新型城市和“强富美高”新江阴建设提供知识产权支撑，制定以下政策措施。</w:t>
      </w:r>
      <w:r>
        <w:rPr>
          <w:rFonts w:hint="eastAsia"/>
          <w:szCs w:val="32"/>
        </w:rPr>
      </w:r>
    </w:p>
    <w:p>
      <w:pPr>
        <w:pStyle w:val="672"/>
        <w:pBdr/>
        <w:spacing w:line="600" w:lineRule="exact"/>
        <w:ind w:firstLine="632"/>
        <w:rPr>
          <w:rFonts w:hint="eastAsia" w:ascii="方正黑体_GBK" w:eastAsia="方正黑体_GBK"/>
          <w:szCs w:val="32"/>
        </w:rPr>
      </w:pPr>
      <w:r>
        <w:rPr>
          <w:rFonts w:hint="eastAsia" w:ascii="方正黑体_GBK" w:eastAsia="方正黑体_GBK"/>
          <w:szCs w:val="32"/>
        </w:rPr>
        <w:t xml:space="preserve">一、鼓励高质量的知识产权创造</w:t>
      </w:r>
      <w:r>
        <w:rPr>
          <w:rFonts w:hint="eastAsia" w:ascii="方正黑体_GBK" w:eastAsia="方正黑体_GBK"/>
          <w:szCs w:val="32"/>
        </w:rPr>
      </w:r>
    </w:p>
    <w:p>
      <w:pPr>
        <w:pStyle w:val="672"/>
        <w:pBdr/>
        <w:spacing w:line="600" w:lineRule="exact"/>
        <w:ind w:firstLine="632"/>
        <w:rPr>
          <w:rFonts w:hint="eastAsia"/>
          <w:szCs w:val="32"/>
        </w:rPr>
      </w:pPr>
      <w:r>
        <w:rPr>
          <w:rFonts w:hint="eastAsia" w:eastAsia="方正楷体_GBK"/>
          <w:szCs w:val="32"/>
        </w:rPr>
        <w:t xml:space="preserve">（一）激发知识产权创造活力。</w:t>
      </w:r>
      <w:r>
        <w:rPr>
          <w:rFonts w:hint="eastAsia"/>
          <w:szCs w:val="32"/>
        </w:rPr>
        <w:t xml:space="preserve">鼓励各类创新主体开展知识产权创造活动，鼓励以发明专利为核心的知识产权创造，对发明专利进入实审、授权分阶段予以资助，单件专利资助最高不超过1万元。在规上企业中开展知识产权“清零计划”，对企业首件授权的发明专利的申请费和代理费给予50%的补贴。加大对中小微企业知识产权创造的支持力度，对进入科技企业孵化器、众创空间的中小微企业，在发明专利申请、专利信息服务、代理费等方面给予70%的补贴。</w:t>
      </w:r>
      <w:r>
        <w:rPr>
          <w:rFonts w:hint="eastAsia"/>
          <w:szCs w:val="32"/>
        </w:rPr>
      </w:r>
    </w:p>
    <w:p>
      <w:pPr>
        <w:pStyle w:val="672"/>
        <w:pBdr/>
        <w:spacing w:line="600" w:lineRule="exact"/>
        <w:ind w:firstLine="632"/>
        <w:rPr>
          <w:rFonts w:hint="eastAsia"/>
          <w:szCs w:val="32"/>
        </w:rPr>
      </w:pPr>
      <w:r>
        <w:rPr>
          <w:rFonts w:hint="eastAsia" w:eastAsia="方正楷体_GBK"/>
          <w:szCs w:val="32"/>
        </w:rPr>
        <w:t xml:space="preserve">（二）提高知识产权产出质量。</w:t>
      </w:r>
      <w:r>
        <w:rPr>
          <w:rFonts w:hint="eastAsia"/>
          <w:szCs w:val="32"/>
        </w:rPr>
        <w:t xml:space="preserve">支持企业联合高等院校、科研机构组建高价值专利培育示范中心，符合条件的最高给予100万元支持。开展市专利发明人奖、专利项目奖评选，对优秀发明人的获奖人员给予5万元奖励，对于获得江阴市专利奖金奖和优秀奖的项目分别给予20万元、5万元奖励。</w:t>
      </w:r>
      <w:r>
        <w:rPr>
          <w:rFonts w:hint="eastAsia"/>
          <w:szCs w:val="32"/>
        </w:rPr>
      </w:r>
    </w:p>
    <w:p>
      <w:pPr>
        <w:pStyle w:val="672"/>
        <w:pBdr/>
        <w:spacing w:line="600" w:lineRule="exact"/>
        <w:ind w:firstLine="632"/>
        <w:rPr>
          <w:rFonts w:hint="eastAsia"/>
          <w:szCs w:val="32"/>
        </w:rPr>
      </w:pPr>
      <w:r>
        <w:rPr>
          <w:rFonts w:hint="eastAsia" w:eastAsia="方正楷体_GBK"/>
          <w:szCs w:val="32"/>
        </w:rPr>
        <w:t xml:space="preserve">（三）实施品牌、标准战略。</w:t>
      </w:r>
      <w:r>
        <w:rPr>
          <w:rFonts w:hint="eastAsia"/>
          <w:szCs w:val="32"/>
        </w:rPr>
        <w:t xml:space="preserve">支持企业推进品牌建设，对获得中国驰名商标的企业，给予最高50万元的奖励；对获得省名牌或省著名商标的企业，给予最高10万元的奖励。支持加强标准化建设，鼓励企事业单位和社会组织积极</w:t>
      </w:r>
      <w:r>
        <w:rPr>
          <w:rFonts w:hint="eastAsia"/>
          <w:szCs w:val="32"/>
        </w:rPr>
        <w:t xml:space="preserve">参与国际、国内标准化活动，将具有自主知识产权的创新技术转化为标准。对企事业单位和社会组织参与标准化活动，作为国际、国家、行业（或团体、联盟、地方）标准第一起草单位的，分别给予最高30万元、20万元和10万元的资助；对承担国际专业标准化技术委员会、分委员会和工作组秘书处工作的，分别给予最高50万元、30万元和10万元的资助；对承担全国专业标准化技术委员会、分委员会和工作组秘书处工作的，分别给予最高30万元、20万元、10万元的资助；对承担国家、省级标准化示范项目的，完成后分别给予最高20万元、10万元的资助。</w:t>
      </w:r>
      <w:r>
        <w:rPr>
          <w:rFonts w:hint="eastAsia"/>
          <w:szCs w:val="32"/>
        </w:rPr>
      </w:r>
    </w:p>
    <w:p>
      <w:pPr>
        <w:pStyle w:val="672"/>
        <w:pBdr/>
        <w:spacing w:line="600" w:lineRule="exact"/>
        <w:ind w:firstLine="632"/>
        <w:rPr>
          <w:rFonts w:hint="eastAsia"/>
          <w:szCs w:val="32"/>
        </w:rPr>
      </w:pPr>
      <w:r>
        <w:rPr>
          <w:rFonts w:hint="eastAsia" w:eastAsia="方正楷体_GBK"/>
          <w:szCs w:val="32"/>
        </w:rPr>
        <w:t xml:space="preserve">（四）支持知识产权海外布局。</w:t>
      </w:r>
      <w:r>
        <w:rPr>
          <w:rFonts w:hint="eastAsia"/>
          <w:szCs w:val="32"/>
        </w:rPr>
        <w:t xml:space="preserve">鼓励企业利用知识产权拓展海外市场，对企业申请国（境）外专利、工业品外观设计、PCT专利的申请费、代理费及其他规费给予最高2万元的补贴。支持企业根据自身发展需要收购海外优质专利、知名品牌、精品版权。鼓励文化企业开展对外版权贸易，扩大版权和节目模式输出。</w:t>
      </w:r>
      <w:r>
        <w:rPr>
          <w:rFonts w:hint="eastAsia"/>
          <w:szCs w:val="32"/>
        </w:rPr>
      </w:r>
    </w:p>
    <w:p>
      <w:pPr>
        <w:pStyle w:val="672"/>
        <w:pBdr/>
        <w:spacing w:line="600" w:lineRule="exact"/>
        <w:ind w:firstLine="632"/>
        <w:rPr>
          <w:rFonts w:hint="eastAsia" w:ascii="方正黑体_GBK" w:eastAsia="方正黑体_GBK"/>
          <w:szCs w:val="32"/>
        </w:rPr>
      </w:pPr>
      <w:r>
        <w:rPr>
          <w:rFonts w:hint="eastAsia" w:ascii="方正黑体_GBK" w:eastAsia="方正黑体_GBK"/>
          <w:szCs w:val="32"/>
        </w:rPr>
        <w:t xml:space="preserve">二、促进高效益的知识产权运用</w:t>
      </w:r>
      <w:r>
        <w:rPr>
          <w:rFonts w:hint="eastAsia" w:ascii="方正黑体_GBK" w:eastAsia="方正黑体_GBK"/>
          <w:szCs w:val="32"/>
        </w:rPr>
      </w:r>
    </w:p>
    <w:p>
      <w:pPr>
        <w:pStyle w:val="672"/>
        <w:pBdr/>
        <w:spacing w:line="600" w:lineRule="exact"/>
        <w:ind w:firstLine="632"/>
        <w:rPr>
          <w:rFonts w:hint="eastAsia"/>
          <w:szCs w:val="32"/>
        </w:rPr>
      </w:pPr>
      <w:r>
        <w:rPr>
          <w:rFonts w:hint="eastAsia" w:eastAsia="方正楷体_GBK"/>
          <w:szCs w:val="32"/>
        </w:rPr>
        <w:t xml:space="preserve">（五）培育知识产权优势企业。</w:t>
      </w:r>
      <w:r>
        <w:rPr>
          <w:rFonts w:hint="eastAsia"/>
          <w:szCs w:val="32"/>
        </w:rPr>
        <w:t xml:space="preserve">实施知识产权强企行动计划，推动企业贯彻知识产权管理规范，加快实现高新技</w:t>
      </w:r>
      <w:r>
        <w:rPr>
          <w:rFonts w:hint="eastAsia"/>
          <w:szCs w:val="32"/>
        </w:rPr>
        <w:t xml:space="preserve">术企业、规模以上工业企业、上市企业“贯标”全覆盖，对通过“贯标”绩效评价企业给予5万元奖励，对获得国家贯标认证的企业给予10万元奖励。对获得国家知识产权示范和优势的企业分别给予50万元、30万元的奖励。鼓励企业研究制定知识产权战略规划，将知识产权战略纳入经营发展战略，运用知识产权提升核心竞争力。鼓励企业规范核算和管理知识产权资产，企业发生的知识产权申请费、注册费、代理费、研发成果的检索和评议费用以及专家咨询费等与研发活动直接相关的费用，按规定享受研发费用加计扣除优惠。转让知识产权的，按规定享受相关税收优惠。</w:t>
      </w:r>
      <w:r>
        <w:rPr>
          <w:rFonts w:hint="eastAsia"/>
          <w:szCs w:val="32"/>
        </w:rPr>
      </w:r>
    </w:p>
    <w:p>
      <w:pPr>
        <w:pStyle w:val="672"/>
        <w:pBdr/>
        <w:spacing w:line="600" w:lineRule="exact"/>
        <w:ind w:firstLine="632"/>
        <w:rPr>
          <w:rFonts w:hint="eastAsia"/>
          <w:szCs w:val="32"/>
        </w:rPr>
      </w:pPr>
      <w:r>
        <w:rPr>
          <w:rFonts w:hint="eastAsia" w:eastAsia="方正楷体_GBK"/>
          <w:szCs w:val="32"/>
        </w:rPr>
        <w:t xml:space="preserve">（</w:t>
      </w:r>
      <w:r>
        <w:rPr>
          <w:rFonts w:hint="eastAsia" w:eastAsia="方正楷体_GBK"/>
          <w:spacing w:val="2"/>
          <w:szCs w:val="32"/>
        </w:rPr>
        <w:t xml:space="preserve">六）发展知识产权密集型产业。</w:t>
      </w:r>
      <w:r>
        <w:rPr>
          <w:rFonts w:hint="eastAsia"/>
          <w:spacing w:val="2"/>
          <w:szCs w:val="32"/>
        </w:rPr>
        <w:t xml:space="preserve">实施专利导航工程，鼓励产业技术联盟单位牵头开展知识产权区域布局试点，开展产业专利信息分析与预警研究，实施专利布局和协同运用，对单个项目最高给予30万元的工作补贴。鼓励和支持在重点行业建立知识产权联盟（协会），引导联盟（协会）成员之间构建专利池，形成知识产权共同经营的合作模式，提升防御和应对知识产权风险的能力。</w:t>
      </w:r>
      <w:r>
        <w:rPr>
          <w:rFonts w:hint="eastAsia"/>
          <w:szCs w:val="32"/>
        </w:rPr>
      </w:r>
      <w:r>
        <w:rPr>
          <w:rFonts w:hint="eastAsia"/>
          <w:szCs w:val="32"/>
        </w:rPr>
      </w:r>
    </w:p>
    <w:p>
      <w:pPr>
        <w:pStyle w:val="672"/>
        <w:pBdr/>
        <w:spacing w:line="600" w:lineRule="exact"/>
        <w:ind w:firstLine="632"/>
        <w:rPr>
          <w:rFonts w:hint="eastAsia"/>
          <w:szCs w:val="32"/>
        </w:rPr>
      </w:pPr>
      <w:r>
        <w:rPr>
          <w:rFonts w:hint="eastAsia" w:eastAsia="方正楷体_GBK"/>
          <w:szCs w:val="32"/>
        </w:rPr>
        <w:t xml:space="preserve">（七）鼓励知识产权金融运用。</w:t>
      </w:r>
      <w:r>
        <w:rPr>
          <w:rFonts w:hint="eastAsia"/>
          <w:szCs w:val="32"/>
        </w:rPr>
        <w:t xml:space="preserve">促进专利产业化，鼓励和支持银行积极为拥有核心知识产权的科技型中小企业开展包含专利质押的风险补偿贷款，对当年度企业开展专利权质押融资金额的利息予以最高50%的贴息，单笔最高30万元，同一专利权质押当年度只享受一次贴息；鼓励和支持科技型中小企业对拥有的核心专利开展单个或组合投保专利保险，对其实际支出的保费给予50%的补贴，单笔最高2万元，同一专利权投保当年度只享受一次保费补贴。</w:t>
      </w:r>
      <w:r>
        <w:rPr>
          <w:rFonts w:hint="eastAsia"/>
          <w:szCs w:val="32"/>
        </w:rPr>
      </w:r>
    </w:p>
    <w:p>
      <w:pPr>
        <w:pStyle w:val="672"/>
        <w:pBdr/>
        <w:spacing w:line="600" w:lineRule="exact"/>
        <w:ind w:firstLine="632"/>
        <w:rPr>
          <w:rFonts w:hint="eastAsia" w:ascii="方正黑体_GBK" w:eastAsia="方正黑体_GBK"/>
          <w:szCs w:val="32"/>
        </w:rPr>
      </w:pPr>
      <w:r>
        <w:rPr>
          <w:rFonts w:hint="eastAsia" w:ascii="方正黑体_GBK" w:eastAsia="方正黑体_GBK"/>
          <w:szCs w:val="32"/>
        </w:rPr>
        <w:t xml:space="preserve">三、实施高标准的知识产权保护</w:t>
      </w:r>
      <w:r>
        <w:rPr>
          <w:rFonts w:hint="eastAsia" w:ascii="方正黑体_GBK" w:eastAsia="方正黑体_GBK"/>
          <w:szCs w:val="32"/>
        </w:rPr>
      </w:r>
    </w:p>
    <w:p>
      <w:pPr>
        <w:pStyle w:val="672"/>
        <w:pBdr/>
        <w:spacing w:line="600" w:lineRule="exact"/>
        <w:ind w:firstLine="632"/>
        <w:rPr>
          <w:rFonts w:hint="eastAsia"/>
          <w:szCs w:val="32"/>
        </w:rPr>
      </w:pPr>
      <w:r>
        <w:rPr>
          <w:rFonts w:hint="eastAsia" w:eastAsia="方正楷体_GBK"/>
          <w:szCs w:val="32"/>
        </w:rPr>
        <w:t xml:space="preserve">（八）加强知识产权行政执法与司法保护。</w:t>
      </w:r>
      <w:r>
        <w:rPr>
          <w:rFonts w:hint="eastAsia"/>
          <w:szCs w:val="32"/>
        </w:rPr>
        <w:t xml:space="preserve">完善知识产权综合执法、协作执法机</w:t>
      </w:r>
      <w:r>
        <w:rPr>
          <w:rFonts w:hint="eastAsia"/>
          <w:szCs w:val="32"/>
        </w:rPr>
        <w:t xml:space="preserve">制，加强专利行政执法巡回审理庭建设，大力开展知识产权“闪电”、“护航”行动。进一步健全知识产权行政执法与刑事司法衔接工作机制，强化展会、进出口等关键环节的知识产权保护，支持企业开展涉外知识产权维权行动，主动应对涉外知识产权纠纷，对在涉外知识产权纠纷中获得胜诉或达成具有实质意义和解协议的，给予最高不超过20万元的资助。完善知识产权信用评价制度，将知识产权失信行为纳入公共信用信息系统。鼓励商贸流通单位开展“正版正货”示范活动，对创建成为省、无锡市级“正版正货”示范街区的单位，分别给予最高10万元、5万元的补贴。</w:t>
      </w:r>
      <w:r>
        <w:rPr>
          <w:rFonts w:hint="eastAsia"/>
          <w:szCs w:val="32"/>
        </w:rPr>
      </w:r>
    </w:p>
    <w:p>
      <w:pPr>
        <w:pStyle w:val="672"/>
        <w:pBdr/>
        <w:spacing w:line="600" w:lineRule="exact"/>
        <w:ind w:firstLine="632"/>
        <w:rPr>
          <w:rFonts w:hint="eastAsia"/>
          <w:szCs w:val="32"/>
        </w:rPr>
      </w:pPr>
      <w:r>
        <w:rPr>
          <w:rFonts w:hint="eastAsia" w:eastAsia="方正楷体_GBK"/>
          <w:szCs w:val="32"/>
        </w:rPr>
        <w:t xml:space="preserve">（九）完善知识产权维权援助工作体系。</w:t>
      </w:r>
      <w:r>
        <w:rPr>
          <w:rFonts w:hint="eastAsia"/>
          <w:szCs w:val="32"/>
        </w:rPr>
        <w:t xml:space="preserve">畅通知识产权投诉举报渠道，强化知识产权维权援助中心的公益服务职能，实现全市知识产权维权援助网络全覆盖，开展知识产权快速审查、快速确权、快速维权服务，推进审查确权、行政执法、维权援助、仲裁调解、司法衔接相联动的快速协同保护工作，探索建立海外知识产权风险预警和快速应对机制，支持行业协会、专业机构跟踪发布重点产业知识产权信息和竞争动态。</w:t>
      </w:r>
      <w:r>
        <w:rPr>
          <w:rFonts w:hint="eastAsia"/>
          <w:szCs w:val="32"/>
        </w:rPr>
      </w:r>
    </w:p>
    <w:p>
      <w:pPr>
        <w:pStyle w:val="672"/>
        <w:pBdr/>
        <w:spacing w:line="600" w:lineRule="exact"/>
        <w:ind w:firstLine="632"/>
        <w:rPr>
          <w:rFonts w:hint="eastAsia" w:ascii="方正黑体_GBK" w:eastAsia="方正黑体_GBK"/>
          <w:szCs w:val="32"/>
        </w:rPr>
      </w:pPr>
      <w:r>
        <w:rPr>
          <w:rFonts w:hint="eastAsia" w:ascii="方正黑体_GBK" w:eastAsia="方正黑体_GBK"/>
          <w:szCs w:val="32"/>
        </w:rPr>
        <w:t xml:space="preserve">四、发展高水平的知识产权服务</w:t>
      </w:r>
      <w:r>
        <w:rPr>
          <w:rFonts w:hint="eastAsia" w:ascii="方正黑体_GBK" w:eastAsia="方正黑体_GBK"/>
          <w:szCs w:val="32"/>
        </w:rPr>
      </w:r>
    </w:p>
    <w:p>
      <w:pPr>
        <w:pStyle w:val="672"/>
        <w:pBdr/>
        <w:spacing w:line="600" w:lineRule="exact"/>
        <w:ind w:firstLine="632"/>
        <w:rPr>
          <w:rFonts w:hint="eastAsia"/>
          <w:szCs w:val="32"/>
        </w:rPr>
      </w:pPr>
      <w:r>
        <w:rPr>
          <w:rFonts w:hint="eastAsia" w:eastAsia="方正楷体_GBK"/>
          <w:szCs w:val="32"/>
        </w:rPr>
        <w:t xml:space="preserve">（十）提升知识产权服务整体水平。</w:t>
      </w:r>
      <w:r>
        <w:rPr>
          <w:rFonts w:hint="eastAsia"/>
          <w:szCs w:val="32"/>
        </w:rPr>
        <w:t xml:space="preserve">加强知识产权公共服务供给，支持知识产权服务中心、科技查新咨询中心、区域专利信息服务中心、培训中心等公共服务平台建设，完善区域知识产权公共服务体系，根据平台和中心建设情况和服务绩效给予每个项目最高20万元的补贴。建设知识产权大数据共享平台，免费开放专利、商标、版权、集成电路布图设计、植物新品种、地理标志等基础信息，构建市、镇（街）、企业三级知识产权公共服务网络。开展知识产权服务机构星级评定、优秀发明专利申请文件评选等活动，培育出更多服务能力强、企业认可度高的服务机构。</w:t>
      </w:r>
      <w:r>
        <w:rPr>
          <w:rFonts w:hint="eastAsia"/>
          <w:szCs w:val="32"/>
        </w:rPr>
      </w:r>
    </w:p>
    <w:p>
      <w:pPr>
        <w:pStyle w:val="672"/>
        <w:pBdr/>
        <w:spacing w:line="600" w:lineRule="exact"/>
        <w:ind w:firstLine="632"/>
        <w:rPr>
          <w:rFonts w:hint="eastAsia"/>
          <w:szCs w:val="32"/>
        </w:rPr>
      </w:pPr>
      <w:r>
        <w:rPr>
          <w:rFonts w:hint="eastAsia" w:eastAsia="方正楷体_GBK"/>
          <w:szCs w:val="32"/>
        </w:rPr>
        <w:t xml:space="preserve">（十一）壮大知识产权人才队伍。</w:t>
      </w:r>
      <w:r>
        <w:rPr>
          <w:rFonts w:hint="eastAsia"/>
          <w:szCs w:val="32"/>
        </w:rPr>
        <w:t xml:space="preserve">实施知识产权人才培养工程，依托高校知识产权学院等载体平台，通过举办专题培训等方式，加大知识产权总监、知识产权工程师、知识产权布局人才、知识产权信息运用人才等专业人才培养力度。加大知识产权高端人才、紧缺人才和团队引进力度，对引进的高层次人才纳入“暨阳英才”相关政策管理。加强党政领导干部知识产权培训，将知识产权课程纳入相关培训课程体系。</w:t>
      </w:r>
      <w:r>
        <w:rPr>
          <w:rFonts w:hint="eastAsia"/>
          <w:szCs w:val="32"/>
        </w:rPr>
      </w:r>
    </w:p>
    <w:p>
      <w:pPr>
        <w:pStyle w:val="672"/>
        <w:pBdr/>
        <w:spacing w:line="600" w:lineRule="exact"/>
        <w:ind w:firstLine="632"/>
        <w:rPr>
          <w:rFonts w:hint="eastAsia"/>
          <w:szCs w:val="32"/>
        </w:rPr>
      </w:pPr>
      <w:r>
        <w:rPr>
          <w:rFonts w:hint="eastAsia" w:eastAsia="方正楷体_GBK"/>
          <w:szCs w:val="32"/>
        </w:rPr>
        <w:t xml:space="preserve">（十二）营造尊重知识产权氛围。</w:t>
      </w:r>
      <w:r>
        <w:rPr>
          <w:rFonts w:hint="eastAsia"/>
          <w:szCs w:val="32"/>
        </w:rPr>
        <w:t xml:space="preserve">聚焦知识产权强市建设，利用每年“4.26</w:t>
      </w:r>
      <w:r>
        <w:rPr>
          <w:rFonts w:hint="eastAsia"/>
          <w:szCs w:val="32"/>
        </w:rPr>
        <w:t xml:space="preserve">”世界知识产权日、“3.15”国际消费者权益日、科技节、科技活动周、科普宣传周等加强知识产权日常宣传，形成社会公众了解知识产权、认同知识产权价值和尊重知识产权、诚信守法的社会风尚。开展知识产权进校园等普及教育活动，建设一批知识产权教育示范基地，在进入国家、省级知识产权教育试点示范的学校开展知识产权宣传、培训、实践交流等活动。建立知识产权考核指标体系，重点考核知识产权创造、运用、保护、服务、人才培养等内容，系统评价知识产权发展水平，定期公布评价结果，并纳入创新驱动发展综合评价和党政领导干部工作考核范围。</w:t>
      </w:r>
      <w:r>
        <w:rPr>
          <w:rFonts w:hint="eastAsia"/>
          <w:szCs w:val="32"/>
        </w:rPr>
      </w:r>
    </w:p>
    <w:p>
      <w:pPr>
        <w:pStyle w:val="672"/>
        <w:pBdr/>
        <w:spacing w:line="540" w:lineRule="exact"/>
        <w:ind w:firstLine="632"/>
        <w:rPr>
          <w:rFonts w:hint="eastAsia"/>
        </w:rPr>
      </w:pPr>
      <w:r>
        <w:rPr>
          <w:rFonts w:hint="eastAsia"/>
        </w:rPr>
      </w:r>
      <w:r>
        <w:rPr>
          <w:rFonts w:hint="eastAsia"/>
        </w:rPr>
      </w:r>
    </w:p>
    <w:p>
      <w:pPr>
        <w:pStyle w:val="672"/>
        <w:pBdr/>
        <w:spacing w:line="540" w:lineRule="exact"/>
        <w:ind w:right="1263"/>
        <w:jc w:val="right"/>
        <w:rPr>
          <w:rFonts w:hint="eastAsia" w:cs="宋体"/>
        </w:rPr>
      </w:pPr>
      <w:r>
        <w:rPr>
          <w:rFonts w:hint="eastAsia" w:cs="宋体"/>
        </w:rPr>
      </w:r>
      <w:r>
        <w:rPr>
          <w:rFonts w:hint="eastAsia" w:cs="宋体"/>
        </w:rPr>
      </w:r>
    </w:p>
    <w:p>
      <w:pPr>
        <w:pStyle w:val="672"/>
        <w:pBdr/>
        <w:spacing w:line="540" w:lineRule="exact"/>
        <w:ind w:right="1263"/>
        <w:jc w:val="right"/>
        <w:rPr>
          <w:rFonts w:hint="eastAsia" w:cs="宋体"/>
        </w:rPr>
      </w:pPr>
      <w:r>
        <w:rPr>
          <w:rFonts w:hint="eastAsia" w:cs="宋体"/>
        </w:rPr>
      </w:r>
      <w:r>
        <w:rPr>
          <w:rFonts w:hint="eastAsia" w:cs="宋体"/>
        </w:rPr>
      </w:r>
    </w:p>
    <w:p>
      <w:pPr>
        <w:pStyle w:val="672"/>
        <w:pBdr/>
        <w:spacing w:line="540" w:lineRule="exact"/>
        <w:ind w:right="1263"/>
        <w:jc w:val="right"/>
        <w:rPr>
          <w:rFonts w:hint="eastAsia" w:cs="宋体"/>
        </w:rPr>
      </w:pPr>
      <w:r>
        <w:rPr>
          <w:rFonts w:hint="eastAsia" w:cs="宋体"/>
        </w:rPr>
      </w:r>
      <w:r>
        <w:rPr>
          <w:rFonts w:hint="eastAsia" w:cs="宋体"/>
        </w:rPr>
      </w:r>
    </w:p>
    <w:p>
      <w:pPr>
        <w:pStyle w:val="672"/>
        <w:pBdr/>
        <w:spacing w:line="540" w:lineRule="exact"/>
        <w:ind w:right="1263"/>
        <w:jc w:val="right"/>
        <w:rPr>
          <w:rFonts w:hint="eastAsia" w:cs="宋体"/>
        </w:rPr>
      </w:pPr>
      <w:r>
        <w:rPr>
          <w:rFonts w:hint="eastAsia" w:cs="宋体"/>
        </w:rPr>
      </w:r>
      <w:r>
        <w:rPr>
          <w:rFonts w:hint="eastAsia" w:cs="宋体"/>
        </w:rPr>
      </w:r>
    </w:p>
    <w:p>
      <w:pPr>
        <w:pStyle w:val="672"/>
        <w:pBdr/>
        <w:spacing w:line="540" w:lineRule="exact"/>
        <w:ind w:right="1263"/>
        <w:jc w:val="right"/>
        <w:rPr>
          <w:rFonts w:hint="eastAsia" w:cs="宋体"/>
        </w:rPr>
      </w:pPr>
      <w:r>
        <w:rPr>
          <w:rFonts w:hint="eastAsia" w:cs="宋体"/>
        </w:rPr>
      </w:r>
      <w:r>
        <w:rPr>
          <w:rFonts w:hint="eastAsia" w:cs="宋体"/>
        </w:rPr>
      </w:r>
    </w:p>
    <w:p>
      <w:pPr>
        <w:pStyle w:val="672"/>
        <w:pBdr/>
        <w:spacing w:line="540" w:lineRule="exact"/>
        <w:ind w:right="1263"/>
        <w:jc w:val="right"/>
        <w:rPr>
          <w:rFonts w:hint="eastAsia" w:cs="宋体"/>
        </w:rPr>
      </w:pPr>
      <w:r>
        <w:rPr>
          <w:rFonts w:hint="eastAsia" w:cs="宋体"/>
        </w:rPr>
      </w:r>
      <w:r>
        <w:rPr>
          <w:rFonts w:hint="eastAsia" w:cs="宋体"/>
        </w:rPr>
      </w:r>
    </w:p>
    <w:p>
      <w:pPr>
        <w:pStyle w:val="672"/>
        <w:pBdr/>
        <w:spacing w:line="540" w:lineRule="exact"/>
        <w:ind w:right="1263"/>
        <w:jc w:val="right"/>
        <w:rPr>
          <w:rFonts w:hint="eastAsia" w:cs="宋体"/>
        </w:rPr>
      </w:pPr>
      <w:r>
        <w:rPr>
          <w:rFonts w:hint="eastAsia" w:cs="宋体"/>
        </w:rPr>
      </w:r>
      <w:r>
        <w:rPr>
          <w:rFonts w:hint="eastAsia" w:cs="宋体"/>
        </w:rPr>
      </w:r>
    </w:p>
    <w:p>
      <w:pPr>
        <w:pStyle w:val="672"/>
        <w:pBdr/>
        <w:spacing w:line="540" w:lineRule="exact"/>
        <w:ind w:right="1263"/>
        <w:jc w:val="right"/>
        <w:rPr>
          <w:rFonts w:hint="eastAsia" w:cs="宋体"/>
        </w:rPr>
      </w:pPr>
      <w:r>
        <w:rPr>
          <w:rFonts w:hint="eastAsia" w:cs="宋体"/>
        </w:rPr>
      </w:r>
      <w:r>
        <w:rPr>
          <w:rFonts w:hint="eastAsia" w:cs="宋体"/>
        </w:rPr>
      </w:r>
    </w:p>
    <w:p>
      <w:pPr>
        <w:pStyle w:val="672"/>
        <w:pBdr/>
        <w:spacing w:line="540" w:lineRule="exact"/>
        <w:ind w:right="1263"/>
        <w:jc w:val="right"/>
        <w:rPr>
          <w:rFonts w:hint="eastAsia" w:cs="宋体"/>
        </w:rPr>
      </w:pPr>
      <w:r>
        <w:rPr>
          <w:rFonts w:hint="eastAsia" w:cs="宋体"/>
        </w:rPr>
      </w:r>
      <w:r>
        <w:rPr>
          <w:rFonts w:hint="eastAsia" w:cs="宋体"/>
        </w:rPr>
      </w:r>
    </w:p>
    <w:p>
      <w:pPr>
        <w:pStyle w:val="672"/>
        <w:pBdr/>
        <w:spacing w:line="540" w:lineRule="exact"/>
        <w:ind w:right="1263"/>
        <w:jc w:val="right"/>
        <w:rPr>
          <w:rFonts w:hint="eastAsia" w:cs="宋体"/>
        </w:rPr>
      </w:pPr>
      <w:r>
        <w:rPr>
          <w:rFonts w:hint="eastAsia" w:cs="宋体"/>
        </w:rPr>
      </w:r>
      <w:r>
        <w:rPr>
          <w:rFonts w:hint="eastAsia" w:cs="宋体"/>
        </w:rPr>
      </w:r>
    </w:p>
    <w:p>
      <w:pPr>
        <w:pStyle w:val="672"/>
        <w:pBdr/>
        <w:spacing w:line="540" w:lineRule="exact"/>
        <w:ind w:right="1263"/>
        <w:jc w:val="right"/>
        <w:rPr>
          <w:rFonts w:hint="eastAsia" w:cs="宋体"/>
        </w:rPr>
      </w:pPr>
      <w:r>
        <w:rPr>
          <w:rFonts w:hint="eastAsia" w:cs="宋体"/>
        </w:rPr>
      </w:r>
      <w:r>
        <w:rPr>
          <w:rFonts w:hint="eastAsia" w:cs="宋体"/>
        </w:rPr>
      </w:r>
    </w:p>
    <w:p>
      <w:pPr>
        <w:pStyle w:val="672"/>
        <w:pBdr/>
        <w:spacing w:line="540" w:lineRule="exact"/>
        <w:ind w:right="1263"/>
        <w:jc w:val="right"/>
        <w:rPr>
          <w:rFonts w:hint="eastAsia" w:cs="宋体"/>
        </w:rPr>
      </w:pPr>
      <w:r>
        <w:rPr>
          <w:rFonts w:hint="eastAsia" w:cs="宋体"/>
        </w:rPr>
      </w:r>
      <w:r>
        <w:rPr>
          <w:rFonts w:hint="eastAsia" w:cs="宋体"/>
        </w:rPr>
      </w:r>
    </w:p>
    <w:p>
      <w:pPr>
        <w:pStyle w:val="672"/>
        <w:pBdr/>
        <w:spacing w:line="540" w:lineRule="exact"/>
        <w:ind w:right="1263"/>
        <w:jc w:val="right"/>
        <w:rPr>
          <w:rFonts w:hint="eastAsia" w:cs="宋体"/>
        </w:rPr>
      </w:pPr>
      <w:r>
        <w:rPr>
          <w:rFonts w:hint="eastAsia" w:cs="宋体"/>
        </w:rPr>
      </w:r>
      <w:r>
        <w:rPr>
          <w:rFonts w:hint="eastAsia" w:cs="宋体"/>
        </w:rPr>
      </w:r>
    </w:p>
    <w:p>
      <w:pPr>
        <w:pStyle w:val="672"/>
        <w:pBdr/>
        <w:spacing w:line="540" w:lineRule="exact"/>
        <w:ind w:right="1263"/>
        <w:jc w:val="right"/>
        <w:rPr>
          <w:rFonts w:hint="eastAsia" w:cs="宋体"/>
        </w:rPr>
      </w:pPr>
      <w:r>
        <w:rPr>
          <w:rFonts w:hint="eastAsia" w:cs="宋体"/>
        </w:rPr>
      </w:r>
      <w:r>
        <w:rPr>
          <w:rFonts w:hint="eastAsia" w:cs="宋体"/>
        </w:rPr>
      </w:r>
    </w:p>
    <w:p>
      <w:pPr>
        <w:pStyle w:val="672"/>
        <w:pBdr/>
        <w:spacing w:line="540" w:lineRule="exact"/>
        <w:ind w:right="1263"/>
        <w:jc w:val="right"/>
        <w:rPr>
          <w:rFonts w:hint="eastAsia" w:cs="宋体"/>
        </w:rPr>
      </w:pPr>
      <w:r>
        <w:rPr>
          <w:rFonts w:hint="eastAsia" w:cs="宋体"/>
        </w:rPr>
      </w:r>
      <w:r>
        <w:rPr>
          <w:rFonts w:hint="eastAsia" w:cs="宋体"/>
        </w:rPr>
      </w:r>
    </w:p>
    <w:p>
      <w:pPr>
        <w:pStyle w:val="672"/>
        <w:pBdr/>
        <w:spacing w:line="540" w:lineRule="exact"/>
        <w:ind w:right="1263"/>
        <w:jc w:val="right"/>
        <w:rPr>
          <w:rFonts w:hint="eastAsia" w:cs="宋体"/>
        </w:rPr>
      </w:pPr>
      <w:r>
        <w:rPr>
          <w:rFonts w:hint="eastAsia" w:cs="宋体"/>
        </w:rPr>
      </w:r>
      <w:r>
        <w:rPr>
          <w:rFonts w:hint="eastAsia" w:cs="宋体"/>
        </w:rPr>
      </w:r>
    </w:p>
    <w:p>
      <w:pPr>
        <w:pStyle w:val="672"/>
        <w:pBdr/>
        <w:spacing w:line="540" w:lineRule="exact"/>
        <w:ind w:right="1263"/>
        <w:jc w:val="right"/>
        <w:rPr>
          <w:rFonts w:hint="eastAsia" w:cs="宋体"/>
        </w:rPr>
      </w:pPr>
      <w:r>
        <w:rPr>
          <w:rFonts w:hint="eastAsia" w:cs="宋体"/>
        </w:rPr>
      </w:r>
      <w:r>
        <w:rPr>
          <w:rFonts w:hint="eastAsia" w:cs="宋体"/>
        </w:rPr>
      </w:r>
    </w:p>
    <w:p>
      <w:pPr>
        <w:pStyle w:val="672"/>
        <w:pBdr/>
        <w:spacing w:line="540" w:lineRule="exact"/>
        <w:ind w:right="1263"/>
        <w:jc w:val="right"/>
        <w:rPr>
          <w:rFonts w:hint="eastAsia" w:cs="宋体"/>
        </w:rPr>
      </w:pPr>
      <w:r>
        <w:rPr>
          <w:rFonts w:hint="eastAsia" w:cs="宋体"/>
        </w:rPr>
      </w:r>
      <w:r>
        <w:rPr>
          <w:rFonts w:hint="eastAsia" w:cs="宋体"/>
        </w:rPr>
      </w:r>
    </w:p>
    <w:p>
      <w:pPr>
        <w:pStyle w:val="672"/>
        <w:pBdr/>
        <w:spacing w:line="540" w:lineRule="exact"/>
        <w:ind w:right="1263"/>
        <w:jc w:val="right"/>
        <w:rPr>
          <w:rFonts w:hint="eastAsia" w:cs="宋体"/>
        </w:rPr>
      </w:pPr>
      <w:r>
        <w:rPr>
          <w:rFonts w:hint="eastAsia" w:cs="宋体"/>
        </w:rPr>
      </w:r>
      <w:r>
        <w:rPr>
          <w:rFonts w:hint="eastAsia" w:cs="宋体"/>
        </w:rPr>
      </w:r>
    </w:p>
    <w:p>
      <w:pPr>
        <w:pStyle w:val="672"/>
        <w:pBdr/>
        <w:spacing w:line="540" w:lineRule="exact"/>
        <w:ind w:right="1263"/>
        <w:jc w:val="right"/>
        <w:rPr>
          <w:rFonts w:hint="eastAsia" w:cs="宋体"/>
        </w:rPr>
      </w:pPr>
      <w:r>
        <w:rPr>
          <w:rFonts w:hint="eastAsia" w:cs="宋体"/>
        </w:rPr>
      </w:r>
      <w:r>
        <w:rPr>
          <w:rFonts w:hint="eastAsia" w:cs="宋体"/>
        </w:rPr>
      </w:r>
    </w:p>
    <w:p>
      <w:pPr>
        <w:pStyle w:val="672"/>
        <w:pBdr/>
        <w:spacing w:line="540" w:lineRule="exact"/>
        <w:ind w:right="1263"/>
        <w:jc w:val="right"/>
        <w:rPr>
          <w:rFonts w:hint="eastAsia" w:cs="宋体"/>
        </w:rPr>
      </w:pPr>
      <w:r>
        <w:rPr>
          <w:rFonts w:hint="eastAsia" w:cs="宋体"/>
        </w:rPr>
      </w:r>
      <w:r>
        <w:rPr>
          <w:rFonts w:hint="eastAsia" w:cs="宋体"/>
        </w:rPr>
      </w:r>
    </w:p>
    <w:p>
      <w:pPr>
        <w:pStyle w:val="672"/>
        <w:pBdr/>
        <w:spacing w:line="540" w:lineRule="exact"/>
        <w:ind w:right="1263"/>
        <w:jc w:val="right"/>
        <w:rPr>
          <w:rFonts w:hint="eastAsia" w:cs="宋体"/>
        </w:rPr>
      </w:pPr>
      <w:r>
        <w:rPr>
          <w:rFonts w:hint="eastAsia" w:cs="宋体"/>
        </w:rPr>
      </w:r>
      <w:r>
        <w:rPr>
          <w:rFonts w:hint="eastAsia" w:cs="宋体"/>
        </w:rPr>
      </w:r>
    </w:p>
    <w:p>
      <w:pPr>
        <w:pStyle w:val="672"/>
        <w:pBdr/>
        <w:spacing w:line="540" w:lineRule="exact"/>
        <w:ind w:right="1263"/>
        <w:jc w:val="right"/>
        <w:rPr>
          <w:rFonts w:hint="eastAsia" w:cs="宋体"/>
        </w:rPr>
      </w:pPr>
      <w:r>
        <w:rPr>
          <w:rFonts w:hint="eastAsia" w:cs="宋体"/>
        </w:rPr>
      </w:r>
      <w:r>
        <w:rPr>
          <w:rFonts w:hint="eastAsia" w:cs="宋体"/>
        </w:rPr>
      </w:r>
    </w:p>
    <w:p>
      <w:pPr>
        <w:pStyle w:val="672"/>
        <w:pBdr/>
        <w:spacing w:line="540" w:lineRule="exact"/>
        <w:ind w:right="1263"/>
        <w:jc w:val="right"/>
        <w:rPr>
          <w:rFonts w:hint="eastAsia" w:cs="宋体"/>
        </w:rPr>
      </w:pPr>
      <w:r>
        <w:rPr>
          <w:rFonts w:hint="eastAsia" w:cs="宋体"/>
        </w:rPr>
      </w:r>
      <w:r>
        <w:rPr>
          <w:rFonts w:hint="eastAsia" w:cs="宋体"/>
        </w:rPr>
      </w:r>
    </w:p>
    <w:p>
      <w:pPr>
        <w:pStyle w:val="672"/>
        <w:pBdr/>
        <w:spacing w:line="540" w:lineRule="exact"/>
        <w:ind w:right="1263"/>
        <w:jc w:val="right"/>
        <w:rPr>
          <w:rFonts w:hint="eastAsia" w:cs="宋体"/>
        </w:rPr>
      </w:pPr>
      <w:r>
        <w:rPr>
          <w:rFonts w:hint="eastAsia" w:cs="宋体"/>
        </w:rPr>
      </w:r>
      <w:r>
        <w:rPr>
          <w:rFonts w:hint="eastAsia" w:cs="宋体"/>
        </w:rPr>
      </w:r>
    </w:p>
    <w:p>
      <w:pPr>
        <w:pStyle w:val="672"/>
        <w:pBdr/>
        <w:spacing w:line="540" w:lineRule="exact"/>
        <w:ind w:right="1263"/>
        <w:jc w:val="right"/>
        <w:rPr>
          <w:rFonts w:hint="eastAsia" w:cs="宋体"/>
        </w:rPr>
      </w:pPr>
      <w:r>
        <w:rPr>
          <w:rFonts w:hint="eastAsia" w:cs="宋体"/>
        </w:rPr>
      </w:r>
      <w:r>
        <w:rPr>
          <w:rFonts w:hint="eastAsia" w:cs="宋体"/>
        </w:rPr>
      </w:r>
    </w:p>
    <w:p>
      <w:pPr>
        <w:pStyle w:val="672"/>
        <w:pBdr/>
        <w:spacing w:line="540" w:lineRule="exact"/>
        <w:ind w:right="1263"/>
        <w:jc w:val="right"/>
        <w:rPr>
          <w:rFonts w:hint="eastAsia" w:cs="宋体"/>
        </w:rPr>
      </w:pPr>
      <w:r>
        <w:rPr>
          <w:rFonts w:hint="eastAsia" w:cs="宋体"/>
        </w:rPr>
      </w:r>
      <w:r>
        <w:rPr>
          <w:rFonts w:hint="eastAsia" w:cs="宋体"/>
        </w:rPr>
      </w:r>
    </w:p>
    <w:p>
      <w:pPr>
        <w:pStyle w:val="672"/>
        <w:pBdr/>
        <w:spacing w:line="540" w:lineRule="exact"/>
        <w:ind w:right="1263"/>
        <w:jc w:val="right"/>
        <w:rPr>
          <w:rFonts w:hint="eastAsia" w:cs="宋体"/>
        </w:rPr>
      </w:pPr>
      <w:r>
        <w:rPr>
          <w:rFonts w:hint="eastAsia" w:cs="宋体"/>
        </w:rPr>
      </w:r>
      <w:r>
        <w:rPr>
          <w:rFonts w:hint="eastAsia" w:cs="宋体"/>
        </w:rPr>
      </w:r>
    </w:p>
    <w:p>
      <w:pPr>
        <w:pStyle w:val="672"/>
        <w:pBdr/>
        <w:spacing w:line="540" w:lineRule="exact"/>
        <w:ind w:right="1263"/>
        <w:jc w:val="right"/>
        <w:rPr>
          <w:rFonts w:hint="eastAsia" w:cs="宋体"/>
        </w:rPr>
      </w:pPr>
      <w:r>
        <w:rPr>
          <w:rFonts w:hint="eastAsia" w:cs="宋体"/>
        </w:rPr>
      </w:r>
      <w:r>
        <w:rPr>
          <w:rFonts w:hint="eastAsia" w:cs="宋体"/>
        </w:rPr>
      </w:r>
    </w:p>
    <w:p>
      <w:pPr>
        <w:pStyle w:val="672"/>
        <w:pBdr/>
        <w:spacing w:after="173"/>
        <w:ind/>
        <w:rPr>
          <w:rFonts w:hint="eastAsia"/>
        </w:rPr>
      </w:pPr>
      <w:r>
        <w:rPr>
          <w:rFonts w:hint="eastAsia"/>
        </w:rPr>
      </w:r>
      <w:r>
        <w:rPr>
          <w:rFonts w:hint="eastAsia"/>
        </w:rPr>
      </w:r>
    </w:p>
    <w:p>
      <w:pPr>
        <w:pStyle w:val="689"/>
        <w:pBdr/>
        <w:tabs>
          <w:tab w:val="clear" w:leader="none" w:pos="8465"/>
          <w:tab w:val="right" w:leader="none" w:pos="8533"/>
        </w:tabs>
        <w:spacing w:line="240" w:lineRule="auto"/>
        <w:ind w:right="316" w:hanging="821" w:left="1137"/>
        <w:jc w:val="both"/>
        <w:rPr>
          <w:sz w:val="28"/>
          <w:szCs w:val="28"/>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column">
                  <wp:posOffset>0</wp:posOffset>
                </wp:positionH>
                <wp:positionV relativeFrom="paragraph">
                  <wp:posOffset>-1269</wp:posOffset>
                </wp:positionV>
                <wp:extent cx="5615940" cy="0"/>
                <wp:effectExtent l="0" t="0" r="0" b="0"/>
                <wp:wrapNone/>
                <wp:docPr id="3" name="_x0000_s1034"/>
                <wp:cNvGraphicFramePr/>
                <a:graphic xmlns:a="http://schemas.openxmlformats.org/drawingml/2006/main">
                  <a:graphicData uri="http://schemas.microsoft.com/office/word/2010/wordprocessingShape">
                    <wps:wsp>
                      <wps:cNvPr id="0" name=""/>
                      <wps:cNvSpPr/>
                      <wps:spPr bwMode="auto">
                        <a:xfrm>
                          <a:off x="0" y="0"/>
                          <a:ext cx="5615940" cy="0"/>
                        </a:xfrm>
                        <a:prstGeom prst="line">
                          <a:avLst/>
                        </a:prstGeom>
                        <a:solidFill>
                          <a:srgbClr val="FFFFFF"/>
                        </a:solidFill>
                        <a:ln w="4445">
                          <a:solidFill>
                            <a:srgbClr val="000000"/>
                          </a:solidFill>
                        </a:ln>
                      </wps:spPr>
                      <wps:bodyPr rot="0">
                        <a:prstTxWarp prst="textNoShape">
                          <a:avLst/>
                        </a:prstTxWarp>
                        <a:noAutofit/>
                      </wps:bodyPr>
                    </wps:wsp>
                  </a:graphicData>
                </a:graphic>
              </wp:anchor>
            </w:drawing>
          </mc:Choice>
          <mc:Fallback>
            <w:pict>
              <v:line id="shape 4" o:spid="_x0000_s4" style="position:absolute;left:0;text-align:left;z-index:251658241;mso-wrap-distance-left:9.00pt;mso-wrap-distance-top:0.00pt;mso-wrap-distance-right:9.00pt;mso-wrap-distance-bottom:0.00pt;visibility:visible;" from="0.0pt,-0.1pt" to="442.2pt,-0.1pt" fillcolor="#FFFFFF" strokecolor="#000000" strokeweight="0.35pt"/>
            </w:pict>
          </mc:Fallback>
        </mc:AlternateContent>
      </w:r>
      <w:r>
        <w:rPr>
          <w:rFonts w:hint="eastAsia"/>
          <w:sz w:val="28"/>
          <w:szCs w:val="28"/>
        </w:rPr>
        <w:t xml:space="preserve">抄送：市委各部门，市人大常委会办公室，市政协办公室，市纪委办公室，市法院，市检察院，市人武部，市各群团，各驻澄单位。</w:t>
      </w:r>
      <w:r>
        <w:rPr>
          <w:sz w:val="28"/>
          <w:szCs w:val="28"/>
        </w:rPr>
      </w:r>
      <w:r>
        <w:rPr>
          <w:sz w:val="28"/>
          <w:szCs w:val="28"/>
        </w:rPr>
      </w:r>
    </w:p>
    <w:p>
      <w:pPr>
        <w:pStyle w:val="672"/>
        <w:pBdr/>
        <w:spacing/>
        <w:ind w:right="316" w:left="316"/>
        <w:rPr>
          <w:rFonts w:hint="eastAsia"/>
          <w:sz w:val="28"/>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0</wp:posOffset>
                </wp:positionH>
                <wp:positionV relativeFrom="paragraph">
                  <wp:posOffset>-4444</wp:posOffset>
                </wp:positionV>
                <wp:extent cx="5615940" cy="0"/>
                <wp:effectExtent l="0" t="0" r="0" b="0"/>
                <wp:wrapNone/>
                <wp:docPr id="4" name="_x0000_s1033"/>
                <wp:cNvGraphicFramePr/>
                <a:graphic xmlns:a="http://schemas.openxmlformats.org/drawingml/2006/main">
                  <a:graphicData uri="http://schemas.microsoft.com/office/word/2010/wordprocessingShape">
                    <wps:wsp>
                      <wps:cNvPr id="0" name=""/>
                      <wps:cNvSpPr/>
                      <wps:spPr bwMode="auto">
                        <a:xfrm>
                          <a:off x="0" y="0"/>
                          <a:ext cx="5615940" cy="0"/>
                        </a:xfrm>
                        <a:prstGeom prst="line">
                          <a:avLst/>
                        </a:prstGeom>
                        <a:solidFill>
                          <a:srgbClr val="FFFFFF"/>
                        </a:solidFill>
                        <a:ln w="3175">
                          <a:solidFill>
                            <a:srgbClr val="000000"/>
                          </a:solidFill>
                        </a:ln>
                      </wps:spPr>
                      <wps:bodyPr rot="0">
                        <a:prstTxWarp prst="textNoShape">
                          <a:avLst/>
                        </a:prstTxWarp>
                        <a:noAutofit/>
                      </wps:bodyPr>
                    </wps:wsp>
                  </a:graphicData>
                </a:graphic>
              </wp:anchor>
            </w:drawing>
          </mc:Choice>
          <mc:Fallback>
            <w:pict>
              <v:line id="shape 5" o:spid="_x0000_s5" style="position:absolute;left:0;text-align:left;z-index:524288;mso-wrap-distance-left:9.00pt;mso-wrap-distance-top:0.00pt;mso-wrap-distance-right:9.00pt;mso-wrap-distance-bottom:0.00pt;visibility:visible;" from="0.0pt,-0.3pt" to="442.2pt,-0.3pt" fillcolor="#FFFFFF" strokecolor="#000000" strokeweight="0.25pt"/>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251658242" behindDoc="0" locked="0" layoutInCell="1" allowOverlap="1">
                <wp:simplePos x="0" y="0"/>
                <wp:positionH relativeFrom="column">
                  <wp:align>center</wp:align>
                </wp:positionH>
                <wp:positionV relativeFrom="paragraph">
                  <wp:posOffset>368300</wp:posOffset>
                </wp:positionV>
                <wp:extent cx="5615940" cy="0"/>
                <wp:effectExtent l="0" t="0" r="0" b="0"/>
                <wp:wrapNone/>
                <wp:docPr id="5" name="_x0000_s1035"/>
                <wp:cNvGraphicFramePr/>
                <a:graphic xmlns:a="http://schemas.openxmlformats.org/drawingml/2006/main">
                  <a:graphicData uri="http://schemas.microsoft.com/office/word/2010/wordprocessingShape">
                    <wps:wsp>
                      <wps:cNvPr id="0" name=""/>
                      <wps:cNvSpPr/>
                      <wps:spPr bwMode="auto">
                        <a:xfrm>
                          <a:off x="0" y="0"/>
                          <a:ext cx="5615940" cy="0"/>
                        </a:xfrm>
                        <a:prstGeom prst="line">
                          <a:avLst/>
                        </a:prstGeom>
                        <a:solidFill>
                          <a:srgbClr val="FFFFFF"/>
                        </a:solidFill>
                        <a:ln w="4445">
                          <a:solidFill>
                            <a:srgbClr val="000000"/>
                          </a:solidFill>
                        </a:ln>
                      </wps:spPr>
                      <wps:bodyPr rot="0">
                        <a:prstTxWarp prst="textNoShape">
                          <a:avLst/>
                        </a:prstTxWarp>
                        <a:noAutofit/>
                      </wps:bodyPr>
                    </wps:wsp>
                  </a:graphicData>
                </a:graphic>
              </wp:anchor>
            </w:drawing>
          </mc:Choice>
          <mc:Fallback>
            <w:pict>
              <v:line id="shape 6" o:spid="_x0000_s6" style="position:absolute;left:0;text-align:left;z-index:251658242;mso-wrap-distance-left:9.00pt;mso-wrap-distance-top:0.00pt;mso-wrap-distance-right:9.00pt;mso-wrap-distance-bottom:0.00pt;visibility:visible;" from="0.0pt,29.0pt" to="442.2pt,29.0pt" fillcolor="#FFFFFF" strokecolor="#000000" strokeweight="0.35pt"/>
            </w:pict>
          </mc:Fallback>
        </mc:AlternateContent>
      </w:r>
      <w:r>
        <w:rPr>
          <w:rFonts w:hint="eastAsia"/>
          <w:sz w:val="28"/>
        </w:rPr>
        <w:t xml:space="preserve">江阴市人民政府办公室</w:t>
      </w:r>
      <w:r>
        <w:rPr>
          <w:sz w:val="28"/>
        </w:rPr>
        <w:t xml:space="preserve">       </w:t>
      </w:r>
      <w:r>
        <w:rPr>
          <w:rFonts w:hint="eastAsia"/>
          <w:sz w:val="28"/>
        </w:rPr>
        <w:t xml:space="preserve"> </w:t>
      </w:r>
      <w:r>
        <w:rPr>
          <w:sz w:val="28"/>
        </w:rPr>
        <w:t xml:space="preserve">   </w:t>
      </w:r>
      <w:r>
        <w:rPr>
          <w:rFonts w:hint="eastAsia"/>
          <w:sz w:val="28"/>
        </w:rPr>
        <w:t xml:space="preserve"> </w:t>
      </w:r>
      <w:r>
        <w:rPr>
          <w:sz w:val="28"/>
        </w:rPr>
        <w:t xml:space="preserve"> </w:t>
      </w:r>
      <w:r>
        <w:rPr>
          <w:rFonts w:hint="eastAsia"/>
          <w:sz w:val="28"/>
        </w:rPr>
        <w:t xml:space="preserve">    </w:t>
      </w:r>
      <w:r>
        <w:rPr>
          <w:sz w:val="28"/>
        </w:rPr>
        <w:t xml:space="preserve">   201</w:t>
      </w:r>
      <w:r>
        <w:rPr>
          <w:rFonts w:hint="eastAsia"/>
          <w:sz w:val="28"/>
        </w:rPr>
        <w:t xml:space="preserve">7年11月20日印发</w:t>
      </w:r>
      <w:r>
        <w:rPr>
          <w:rFonts w:hint="eastAsia"/>
          <w:sz w:val="28"/>
        </w:rPr>
      </w:r>
    </w:p>
    <w:sectPr>
      <w:headerReference w:type="default" r:id="rId8"/>
      <w:headerReference w:type="even" r:id="rId9"/>
      <w:footerReference w:type="default" r:id="rId10"/>
      <w:footerReference w:type="even" r:id="rId11"/>
      <w:footnotePr/>
      <w:endnotePr/>
      <w:type w:val="nextPage"/>
      <w:pgSz w:h="16838" w:orient="landscape" w:w="11906"/>
      <w:pgMar w:top="2098" w:right="1474" w:bottom="1985" w:left="1588" w:header="851" w:footer="1474"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楷体_GBK">
    <w:panose1 w:val="03000509000000000000"/>
  </w:font>
  <w:font w:name="方正黑体_GBK">
    <w:panose1 w:val="03000509000000000000"/>
  </w:font>
  <w:font w:name="方正小标宋_GBK">
    <w:panose1 w:val="03000509000000000000"/>
  </w:font>
  <w:font w:name="汉鼎简大宋">
    <w:panose1 w:val="020B0604020202020204"/>
  </w:font>
  <w:font w:name="仿宋_GB2312">
    <w:panose1 w:val="02010609030101010101"/>
  </w:font>
  <w:font w:name="方正仿宋_GBK">
    <w:panose1 w:val="03000509000000000000"/>
  </w:font>
  <w:font w:name="Arial">
    <w:panose1 w:val="020B0604020202020204"/>
  </w:font>
  <w:font w:name="等线">
    <w:panose1 w:val="020B0604020202020204"/>
  </w:font>
  <w:font w:name="宋体">
    <w:panose1 w:val="02010600030101010101"/>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3"/>
      <w:pBdr/>
      <w:spacing/>
      <w:ind w:right="320"/>
      <w:jc w:val="right"/>
      <w:rPr>
        <w:rFonts w:hint="eastAsia" w:ascii="宋体" w:hAnsi="宋体" w:eastAsia="宋体"/>
        <w:sz w:val="28"/>
        <w:szCs w:val="28"/>
      </w:rPr>
    </w:pPr>
    <w:r>
      <w:rPr>
        <w:rFonts w:hint="eastAsia" w:ascii="宋体" w:hAnsi="宋体" w:eastAsia="宋体"/>
        <w:sz w:val="28"/>
        <w:szCs w:val="28"/>
      </w:rPr>
      <w:t xml:space="preserve">—</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w:instrText>
    </w:r>
    <w:r>
      <w:rPr>
        <w:rFonts w:ascii="宋体" w:hAnsi="宋体" w:eastAsia="宋体"/>
        <w:sz w:val="28"/>
        <w:szCs w:val="28"/>
      </w:rPr>
      <w:fldChar w:fldCharType="separate"/>
    </w:r>
    <w:r>
      <w:rPr>
        <w:rFonts w:ascii="宋体" w:hAnsi="宋体" w:eastAsia="宋体"/>
        <w:sz w:val="28"/>
        <w:szCs w:val="28"/>
      </w:rPr>
      <w:t xml:space="preserve">7</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 xml:space="preserve">—</w:t>
    </w:r>
    <w:r>
      <w:rPr>
        <w:rFonts w:hint="eastAsia" w:ascii="宋体" w:hAnsi="宋体" w:eastAsia="宋体"/>
        <w:sz w:val="28"/>
        <w:szCs w:val="28"/>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3"/>
      <w:pBdr/>
      <w:spacing/>
      <w:ind w:left="320"/>
      <w:rPr>
        <w:rFonts w:hint="eastAsia" w:ascii="宋体" w:hAnsi="宋体" w:eastAsia="宋体"/>
        <w:sz w:val="28"/>
        <w:szCs w:val="28"/>
      </w:rPr>
    </w:pPr>
    <w:r>
      <w:rPr>
        <w:rFonts w:hint="eastAsia" w:ascii="宋体" w:hAnsi="宋体" w:eastAsia="宋体"/>
        <w:sz w:val="28"/>
        <w:szCs w:val="28"/>
      </w:rPr>
      <w:t xml:space="preserve">—</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w:instrText>
    </w:r>
    <w:r>
      <w:rPr>
        <w:rFonts w:ascii="宋体" w:hAnsi="宋体" w:eastAsia="宋体"/>
        <w:sz w:val="28"/>
        <w:szCs w:val="28"/>
      </w:rPr>
      <w:fldChar w:fldCharType="separate"/>
    </w:r>
    <w:r>
      <w:rPr>
        <w:rFonts w:ascii="宋体" w:hAnsi="宋体" w:eastAsia="宋体"/>
        <w:sz w:val="28"/>
        <w:szCs w:val="28"/>
      </w:rPr>
      <w:t xml:space="preserve">8</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 xml:space="preserve">—</w:t>
    </w:r>
    <w:r>
      <w:rPr>
        <w:rFonts w:hint="eastAsia" w:ascii="宋体" w:hAnsi="宋体" w:eastAsia="宋体"/>
        <w:sz w:val="28"/>
        <w:szCs w:val="28"/>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4"/>
      <w:pBdr>
        <w:bottom w:val="none" w:color="000000" w:sz="0" w:space="0"/>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4"/>
      <w:pBdr>
        <w:bottom w:val="none" w:color="000000" w:sz="0" w:space="0"/>
      </w:pBdr>
      <w:spacing/>
      <w:ind/>
      <w:rPr/>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val="true"/>
  <w:trackRevisions w:val="false"/>
  <w:documentProtection/>
  <w:defaultTabStop w:val="420"/>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72"/>
    <w:next w:val="672"/>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72"/>
    <w:next w:val="672"/>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72"/>
    <w:next w:val="672"/>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72"/>
    <w:next w:val="672"/>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72"/>
    <w:next w:val="672"/>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72"/>
    <w:next w:val="672"/>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72"/>
    <w:next w:val="672"/>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72"/>
    <w:next w:val="672"/>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72"/>
    <w:next w:val="672"/>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72"/>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72"/>
    <w:next w:val="672"/>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72"/>
    <w:next w:val="672"/>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72"/>
    <w:next w:val="672"/>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72"/>
    <w:next w:val="672"/>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72"/>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72"/>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72"/>
    <w:next w:val="672"/>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72"/>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72"/>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72"/>
    <w:next w:val="672"/>
    <w:uiPriority w:val="39"/>
    <w:unhideWhenUsed/>
    <w:pPr>
      <w:pBdr/>
      <w:spacing w:after="57"/>
      <w:ind w:right="0" w:firstLine="0" w:left="0"/>
    </w:pPr>
  </w:style>
  <w:style w:type="paragraph" w:styleId="182">
    <w:name w:val="toc 2"/>
    <w:basedOn w:val="672"/>
    <w:next w:val="672"/>
    <w:uiPriority w:val="39"/>
    <w:unhideWhenUsed/>
    <w:pPr>
      <w:pBdr/>
      <w:spacing w:after="57"/>
      <w:ind w:right="0" w:firstLine="0" w:left="283"/>
    </w:pPr>
  </w:style>
  <w:style w:type="paragraph" w:styleId="183">
    <w:name w:val="toc 3"/>
    <w:basedOn w:val="672"/>
    <w:next w:val="672"/>
    <w:uiPriority w:val="39"/>
    <w:unhideWhenUsed/>
    <w:pPr>
      <w:pBdr/>
      <w:spacing w:after="57"/>
      <w:ind w:right="0" w:firstLine="0" w:left="567"/>
    </w:pPr>
  </w:style>
  <w:style w:type="paragraph" w:styleId="184">
    <w:name w:val="toc 4"/>
    <w:basedOn w:val="672"/>
    <w:next w:val="672"/>
    <w:uiPriority w:val="39"/>
    <w:unhideWhenUsed/>
    <w:pPr>
      <w:pBdr/>
      <w:spacing w:after="57"/>
      <w:ind w:right="0" w:firstLine="0" w:left="850"/>
    </w:pPr>
  </w:style>
  <w:style w:type="paragraph" w:styleId="185">
    <w:name w:val="toc 5"/>
    <w:basedOn w:val="672"/>
    <w:next w:val="672"/>
    <w:uiPriority w:val="39"/>
    <w:unhideWhenUsed/>
    <w:pPr>
      <w:pBdr/>
      <w:spacing w:after="57"/>
      <w:ind w:right="0" w:firstLine="0" w:left="1134"/>
    </w:pPr>
  </w:style>
  <w:style w:type="paragraph" w:styleId="186">
    <w:name w:val="toc 6"/>
    <w:basedOn w:val="672"/>
    <w:next w:val="672"/>
    <w:uiPriority w:val="39"/>
    <w:unhideWhenUsed/>
    <w:pPr>
      <w:pBdr/>
      <w:spacing w:after="57"/>
      <w:ind w:right="0" w:firstLine="0" w:left="1417"/>
    </w:pPr>
  </w:style>
  <w:style w:type="paragraph" w:styleId="187">
    <w:name w:val="toc 7"/>
    <w:basedOn w:val="672"/>
    <w:next w:val="672"/>
    <w:uiPriority w:val="39"/>
    <w:unhideWhenUsed/>
    <w:pPr>
      <w:pBdr/>
      <w:spacing w:after="57"/>
      <w:ind w:right="0" w:firstLine="0" w:left="1701"/>
    </w:pPr>
  </w:style>
  <w:style w:type="paragraph" w:styleId="188">
    <w:name w:val="toc 8"/>
    <w:basedOn w:val="672"/>
    <w:next w:val="672"/>
    <w:uiPriority w:val="39"/>
    <w:unhideWhenUsed/>
    <w:pPr>
      <w:pBdr/>
      <w:spacing w:after="57"/>
      <w:ind w:right="0" w:firstLine="0" w:left="1984"/>
    </w:pPr>
  </w:style>
  <w:style w:type="paragraph" w:styleId="189">
    <w:name w:val="toc 9"/>
    <w:basedOn w:val="672"/>
    <w:next w:val="672"/>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72"/>
    <w:next w:val="672"/>
    <w:uiPriority w:val="99"/>
    <w:unhideWhenUsed/>
    <w:pPr>
      <w:pBdr/>
      <w:spacing w:after="0" w:afterAutospacing="0"/>
      <w:ind/>
    </w:pPr>
  </w:style>
  <w:style w:type="paragraph" w:styleId="672" w:default="1">
    <w:name w:val="Normal"/>
    <w:next w:val="672"/>
    <w:link w:val="672"/>
    <w:qFormat/>
    <w:pPr>
      <w:widowControl w:val="false"/>
      <w:pBdr/>
      <w:spacing/>
      <w:ind/>
      <w:jc w:val="both"/>
    </w:pPr>
    <w:rPr>
      <w:rFonts w:eastAsia="方正仿宋_GBK"/>
      <w:color w:val="000000"/>
      <w:sz w:val="32"/>
      <w:szCs w:val="28"/>
      <w:lang w:val="en-US" w:eastAsia="zh-CN" w:bidi="ar-SA"/>
    </w:rPr>
  </w:style>
  <w:style w:type="paragraph" w:styleId="673">
    <w:name w:val="标题 1"/>
    <w:basedOn w:val="672"/>
    <w:next w:val="672"/>
    <w:link w:val="678"/>
    <w:qFormat/>
    <w:pPr>
      <w:keepNext w:val="true"/>
      <w:keepLines w:val="true"/>
      <w:pBdr/>
      <w:spacing w:after="330" w:before="340" w:line="578" w:lineRule="auto"/>
      <w:ind/>
      <w:outlineLvl w:val="0"/>
    </w:pPr>
    <w:rPr>
      <w:b/>
      <w:bCs/>
      <w:sz w:val="44"/>
      <w:szCs w:val="44"/>
    </w:rPr>
  </w:style>
  <w:style w:type="character" w:styleId="674">
    <w:name w:val="默认段落字体"/>
    <w:next w:val="674"/>
    <w:link w:val="672"/>
    <w:semiHidden/>
    <w:pPr>
      <w:pBdr/>
      <w:spacing/>
      <w:ind/>
    </w:pPr>
  </w:style>
  <w:style w:type="table" w:styleId="675">
    <w:name w:val="普通表格"/>
    <w:next w:val="675"/>
    <w:link w:val="672"/>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76">
    <w:name w:val="无列表"/>
    <w:next w:val="676"/>
    <w:link w:val="672"/>
    <w:semiHidden/>
    <w:pPr>
      <w:pBdr/>
      <w:spacing/>
      <w:ind/>
    </w:pPr>
  </w:style>
  <w:style w:type="character" w:styleId="677">
    <w:name w:val="页脚 Char"/>
    <w:basedOn w:val="674"/>
    <w:next w:val="677"/>
    <w:link w:val="683"/>
    <w:pPr>
      <w:pBdr/>
      <w:spacing/>
      <w:ind/>
    </w:pPr>
    <w:rPr>
      <w:rFonts w:eastAsia="仿宋_GB2312"/>
      <w:spacing w:val="10"/>
      <w:sz w:val="18"/>
      <w:szCs w:val="18"/>
    </w:rPr>
  </w:style>
  <w:style w:type="character" w:styleId="678">
    <w:name w:val="标题 1 Char"/>
    <w:basedOn w:val="674"/>
    <w:next w:val="678"/>
    <w:link w:val="673"/>
    <w:pPr>
      <w:pBdr/>
      <w:spacing/>
      <w:ind/>
    </w:pPr>
    <w:rPr>
      <w:rFonts w:eastAsia="仿宋_GB2312"/>
      <w:b/>
      <w:bCs/>
      <w:spacing w:val="10"/>
      <w:sz w:val="44"/>
      <w:szCs w:val="44"/>
    </w:rPr>
  </w:style>
  <w:style w:type="paragraph" w:styleId="679">
    <w:name w:val="正文缩进"/>
    <w:basedOn w:val="672"/>
    <w:next w:val="679"/>
    <w:link w:val="672"/>
    <w:pPr>
      <w:pBdr/>
      <w:spacing/>
      <w:ind w:firstLine="420"/>
    </w:pPr>
  </w:style>
  <w:style w:type="paragraph" w:styleId="680">
    <w:name w:val="日期"/>
    <w:basedOn w:val="672"/>
    <w:next w:val="672"/>
    <w:link w:val="672"/>
    <w:pPr>
      <w:pBdr/>
      <w:spacing/>
      <w:ind w:left="100"/>
    </w:pPr>
  </w:style>
  <w:style w:type="paragraph" w:styleId="681">
    <w:name w:val="文头"/>
    <w:basedOn w:val="672"/>
    <w:next w:val="681"/>
    <w:link w:val="672"/>
    <w:pPr>
      <w:pBdr/>
      <w:tabs>
        <w:tab w:val="left" w:leader="none" w:pos="6663"/>
      </w:tabs>
      <w:spacing w:after="1000" w:line="3100" w:lineRule="atLeast"/>
      <w:ind w:right="227" w:hanging="284" w:left="510"/>
      <w:jc w:val="both"/>
    </w:pPr>
    <w:rPr>
      <w:rFonts w:ascii="汉鼎简大宋" w:hAnsi="汉鼎简大宋" w:eastAsia="汉鼎简大宋"/>
      <w:b/>
      <w:color w:val="ff0000"/>
      <w:spacing w:val="0"/>
      <w:sz w:val="140"/>
      <w:szCs w:val="20"/>
    </w:rPr>
  </w:style>
  <w:style w:type="paragraph" w:styleId="682">
    <w:name w:val="附件栏"/>
    <w:basedOn w:val="672"/>
    <w:next w:val="682"/>
    <w:link w:val="672"/>
    <w:pPr>
      <w:pBdr/>
      <w:spacing w:line="590" w:lineRule="atLeast"/>
      <w:ind w:firstLine="624"/>
    </w:pPr>
    <w:rPr>
      <w:rFonts w:ascii="方正仿宋_GBK" w:eastAsia="方正仿宋_GBK"/>
      <w:spacing w:val="0"/>
      <w:szCs w:val="20"/>
    </w:rPr>
  </w:style>
  <w:style w:type="paragraph" w:styleId="683">
    <w:name w:val="页脚"/>
    <w:basedOn w:val="672"/>
    <w:next w:val="683"/>
    <w:link w:val="677"/>
    <w:pPr>
      <w:pBdr/>
      <w:tabs>
        <w:tab w:val="center" w:leader="none" w:pos="4153"/>
        <w:tab w:val="right" w:leader="none" w:pos="8306"/>
      </w:tabs>
      <w:spacing/>
      <w:ind/>
      <w:jc w:val="left"/>
    </w:pPr>
    <w:rPr>
      <w:sz w:val="18"/>
      <w:szCs w:val="18"/>
    </w:rPr>
  </w:style>
  <w:style w:type="paragraph" w:styleId="684">
    <w:name w:val="页眉"/>
    <w:basedOn w:val="672"/>
    <w:next w:val="684"/>
    <w:link w:val="672"/>
    <w:pPr>
      <w:pBdr>
        <w:bottom w:val="single" w:color="000000" w:sz="6" w:space="1"/>
      </w:pBdr>
      <w:tabs>
        <w:tab w:val="center" w:leader="none" w:pos="4153"/>
        <w:tab w:val="right" w:leader="none" w:pos="8306"/>
      </w:tabs>
      <w:spacing/>
      <w:ind/>
      <w:jc w:val="center"/>
    </w:pPr>
    <w:rPr>
      <w:sz w:val="18"/>
      <w:szCs w:val="18"/>
    </w:rPr>
  </w:style>
  <w:style w:type="paragraph" w:styleId="685">
    <w:name w:val="标题1"/>
    <w:basedOn w:val="672"/>
    <w:next w:val="672"/>
    <w:link w:val="672"/>
    <w:pPr>
      <w:pBdr/>
      <w:tabs>
        <w:tab w:val="left" w:leader="none" w:pos="9193"/>
        <w:tab w:val="left" w:leader="none" w:pos="9827"/>
      </w:tabs>
      <w:spacing w:line="700" w:lineRule="atLeast"/>
      <w:ind/>
      <w:jc w:val="center"/>
    </w:pPr>
    <w:rPr>
      <w:rFonts w:ascii="仿宋_GB2312"/>
      <w:spacing w:val="0"/>
      <w:szCs w:val="20"/>
    </w:rPr>
  </w:style>
  <w:style w:type="paragraph" w:styleId="686">
    <w:name w:val="红线"/>
    <w:basedOn w:val="673"/>
    <w:next w:val="686"/>
    <w:link w:val="672"/>
    <w:pPr>
      <w:keepNext w:val="false"/>
      <w:keepLines w:val="false"/>
      <w:pBdr/>
      <w:spacing w:after="851" w:before="0" w:line="227" w:lineRule="atLeast"/>
      <w:ind w:right="-142"/>
      <w:jc w:val="center"/>
      <w:outlineLvl w:val="9"/>
    </w:pPr>
    <w:rPr>
      <w:rFonts w:ascii="宋体" w:eastAsia="宋体"/>
      <w:bCs w:val="0"/>
      <w:spacing w:val="0"/>
      <w:sz w:val="10"/>
      <w:szCs w:val="20"/>
    </w:rPr>
  </w:style>
  <w:style w:type="paragraph" w:styleId="687">
    <w:name w:val="主题词"/>
    <w:basedOn w:val="672"/>
    <w:next w:val="687"/>
    <w:link w:val="672"/>
    <w:pPr>
      <w:pBdr/>
      <w:spacing w:line="400" w:lineRule="atLeast"/>
      <w:ind/>
    </w:pPr>
    <w:rPr>
      <w:rFonts w:ascii="方正黑体_GBK" w:eastAsia="方正黑体_GBK"/>
      <w:spacing w:val="0"/>
      <w:szCs w:val="20"/>
    </w:rPr>
  </w:style>
  <w:style w:type="paragraph" w:styleId="688">
    <w:name w:val="密级"/>
    <w:basedOn w:val="672"/>
    <w:next w:val="688"/>
    <w:link w:val="672"/>
    <w:pPr>
      <w:pBdr/>
      <w:spacing w:line="440" w:lineRule="atLeast"/>
      <w:ind/>
      <w:jc w:val="right"/>
    </w:pPr>
    <w:rPr>
      <w:rFonts w:ascii="仿宋_GB2312"/>
      <w:color w:val="000000"/>
      <w:spacing w:val="0"/>
      <w:szCs w:val="20"/>
    </w:rPr>
  </w:style>
  <w:style w:type="paragraph" w:styleId="689">
    <w:name w:val="印发栏"/>
    <w:basedOn w:val="679"/>
    <w:next w:val="689"/>
    <w:link w:val="672"/>
    <w:pPr>
      <w:pBdr/>
      <w:tabs>
        <w:tab w:val="right" w:leader="none" w:pos="8465"/>
      </w:tabs>
      <w:spacing w:line="454" w:lineRule="atLeast"/>
      <w:ind w:right="357" w:firstLine="0" w:left="357"/>
      <w:jc w:val="left"/>
    </w:pPr>
    <w:rPr>
      <w:color w:val="000000"/>
      <w:spacing w:val="0"/>
      <w:szCs w:val="20"/>
    </w:rPr>
  </w:style>
  <w:style w:type="character" w:styleId="1112" w:default="1">
    <w:name w:val="Default Paragraph Font"/>
    <w:uiPriority w:val="1"/>
    <w:semiHidden/>
    <w:unhideWhenUsed/>
    <w:pPr>
      <w:pBdr/>
      <w:spacing/>
      <w:ind/>
    </w:pPr>
  </w:style>
  <w:style w:type="numbering" w:styleId="1113" w:default="1">
    <w:name w:val="No List"/>
    <w:uiPriority w:val="99"/>
    <w:semiHidden/>
    <w:unhideWhenUsed/>
    <w:pPr>
      <w:pBdr/>
      <w:spacing/>
      <w:ind/>
    </w:pPr>
  </w:style>
  <w:style w:type="table" w:styleId="1114"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w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xdb</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拟划转至市行政审批局权力事项目录</dc:title>
  <dc:creator>wyzx</dc:creator>
  <cp:lastModifiedBy>匿名</cp:lastModifiedBy>
  <cp:revision>8</cp:revision>
  <dcterms:created xsi:type="dcterms:W3CDTF">2017-11-20T05:57:00Z</dcterms:created>
  <dcterms:modified xsi:type="dcterms:W3CDTF">2024-10-25T06:08:30Z</dcterms:modified>
  <cp:version>786432</cp:version>
</cp:coreProperties>
</file>