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江阴市发展和改革委员会</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（一）拟定并组织实施全市国民经济和社会发展战略、中长期规划和年度计划。牵头组织全市统一规划体系建设，负责市级专项规划、区域规划、空间规划与全市发展规划的统筹衔接。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（二）提出加快建设全市现代化经济体系、推动高质量发展的总体目标、重大任务以及相关政策。组织开展重大战略规划、重大政策、重大工程等评估督导，提出相关调整建议。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统筹提出全市国民经济和社会发展主要目标，监测预测预警宏观经济和社会发展态势趋势。综合协调宏观经济政策，牵头研究宏观经济应对措施。调节经济运行，协调解决经济运行中的重大问题。拟定并组织实施有关价格政策，组织制定市级管理的重要商品、服务价格和重要收费标准。参与拟定市级财政政策和土地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指导推进和综合协调全市经济体制改革有关工作。统筹推进供给侧结构性改革。协调推进产权制度和要素市场化配置改革。推动完善相关经济制度和现代市场体系建设。会同相关部门组织实施市场准入负面清单制度。牵头推进全市优化营商环境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（五）研究协调有关利用外资、境外投资的政策，参与研究对外开放的有关问题，承担统筹协调“走出去”有关工作。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投资综合管理，拟定全市全社会固定资产投资总规模、结构调控目标和政策，会同相关部门拟定政府投资项目审批权限和政府核准的固定资产投资项目目录。负责审核、转报由国家、省、无锡市发改委审批、核准的固定资产投资项目。安排市级有关财政性专项建设资金。协调推进全市重大项目建设。拟定并推动落实全市鼓励民间投资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推进落实区域协调发展战略、新型城镇化战略和重大政策，组织拟定相关区域规划和政策。推动落实长江经济带建设、长三角区域一体化发展等国家重大战略。参与推进苏锡常一体化、锡澄一体化等跨区域合作与发展。组织编制并推动实施全市新型城镇化规划。牵头协调推动对口帮扶、对口支援和对口合作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组织拟订全市综合性产业政策。协调全市一二三产业发展重大问题并统筹衔接相关发展规划和重大政策。统筹规划全市重大产业项目和生产力布局。协调推进重大基础设施建设发展。综合研判全市消费变动趋势，拟订实施促进消费的综合性政策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推动实施创新驱动发展战略。会同相关部门拟订推进全市创新发展的规划和政策，提出创新发展和培育经济发展新动能的政策。会同相关部门规划布局全市重大科技基础设施。组织拟订并推动实施全市高技术产业和战略性新兴产业发展规划政策，协调产业升级、重大技术装备推广应用等方面的重大问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跟踪研判经济安全等风险隐患，提出相关工作建议。负责全市重要商品总量平衡和宏观调控，协调落实重要工业品、原材料和重要农产品进出口调控措施。会同有关部门拟订市级储备物资品种目录、总体发展规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负责全市社会发展与国民经济发展的政策衔接，协调有关重大问题。组织拟订全市社会发展战略、总体规划，统筹推进基本公共服务体系建设制度改革，提出促进就业、完善社会保障与经济协调发展的政策建议。牵头开展全市社会信用体系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二）研究提出我市能源发展战略的建议，拟订能源发展规划、计划、政策并组织实施，推进能源体制改革。研究能源战略布局和结构调整，推进能源生产和消费革命，构建清洁低碳、安全高效的能源体系。承担能源行业管理职能，负责能源中长期需求预测预警，发布相关信息，按职责开展能源运行调节、应急保障等工作。监测全市能源发展状况，衔接能源生产建设和供需平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三）推进实施可持续发展战略，协调生态环境保护与修复、能源资源节约和综合利用等工作。会同有关部门提出健全全市生态保护补偿机制的政策措施，综合协调环保产业和清洁生产促进有关工作。提出全市能源消费总量控制目标、任务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四）研究拟订军民融合发展年度工作计划，综合协调全市军民融合发展工作。汇总全市军民融合发展总体需求，分析研判军民融合发展态势，编制并组织实施军民融合发展规划，研究拟订我市军民融合发展重要政策和相关体制机制改革方案。组织实施全市军民融合发展重大项目（专项工程）和重要事项。会同有关部门拟订推进全市经济建设与国防建设协调发展的战略和规划。组织编制全市国民经济动员规划，协调和组织实施全市国民经济动员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（十五）组织实施国家和省、无锡市粮食和物资储备的法律法规和规章。研究提出粮食和物资储备体制改革方案并组织实施。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（十六）根据国家和省、无锡市储备总体发展规划和品种目录，研究提出全市储备发展规划、储备品种目录的建议。组织实施全市战略和应急储备物资的收储、轮换和日常管理，落实有关动用计划和指令。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七）管理全市粮食和相关重要物资储备。负责市级储备粮、储备物资行政管理。监测粮食和战略物资供求变化并预测预警，承担全市粮食流通宏观调控的具体工作，承担粮食安全市长责任制考核日常工作。根据省市储备发展规划，统一负责储备基础设施建设和管理。拟订全市粮食和物资储备基础设施、建设规划并组织实施，管理有关粮食和物资储备基础设施市级投资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八）组织实施粮食和物资储备仓储管理有关技术标准和规范。承担直属单位安全生产的监管责任。负责粮食流通行业指导，拟订粮食和物资储备有关标准，制定有关技术规范并监督执行。负责粮食和物资储备的对外合作与交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（十九）按照职责分工做好相关行业、领域的安全生产监督管理工作，承担公共安全体系建设的相关任务。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（二十）贯彻落实市综合行政执法体制改革相关工作任务，落实行业监管主体责任。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（二十一）负责赋予镇街园区经济社会管理权限有关事项的法律法规宣传、政策制定、协调指导、业务培训等工作。负责江苏政务服务网上有关赋权事项的动态调整和日常维护工作。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二）研究世界经济形势及对我国、我市的影响;跟踪国际国内宏观政策，研究国家、省发展和改革政策，为市委市政府决策提出意见建议；研究提出全市国民经济和社会发展重大发展战略、经济结构调整和重大生产力布局建议，开展重大政策、综合性产业政策、高质量发展政策和经济安全相关政策研究，提出相关政策建议；研究江阴经济体制改革中的全局性、综合性重大问题，参与全市综合性经济体制改革方案的研究制定；跟踪分析全市体制改革中重点问题和热点问题，对有关重大经济政策的实施进行评估；负责委重要文件和报告的起草；负责全委重大课题研究工作；完成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三）组织拟订国防动员方面的规范性文件；组织拟订全市国防动员中长期规划和年度计划；组织开展国防动员潜力统计调查；组织核查、整编、会审国防动员潜力数据；协调推进国防动员信息化建设。统筹协调市国防动员委员会成员单位落实国防动员任务，指导协调各镇街板块落实国防动员需求，协调解决跨领域、跨区域、跨部门国防动员重要问题；参与推进网络信息、科技、新兴领域等国防动员力量建设；负责对重要规划、重点任务、重要决策的监督检查和督查督办；协同开展国防动员能力检验评估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编制人民防空发展规划；负责指导和督促建设人民防空重点镇的人民防空工作；负责人防法律法规的宣传；负责组织编制全市防空袭方案并组织实施；组织编制人防通信警报与信息化建设规划、建设和管理；负责全市各类指挥所的建设、管理；负责人防指挥通信的协调保障工作；负责全市重要经济目标防护工作的指导和监督检查；负责组织制定人民防空疏散计划和疏散接收安置方案、城市居民疏散掩蔽方案；负责组织有关部门(单位)建立完善群众防空组织(人防专业队伍)，并落实有关装备；负责组织实施人民防空训练和演习；负责社区人防工作和人防志愿者队伍的建设和管理。组织指导协调军事设施保护工作，协同落实军事设施保护目标责任制和考核评价制度。组织实施人民防空工程建设规划计划，参与城市地下空间规划编制，承担地下空间开发利用中人民防空防护等事项的管理和监督检查工作；监督管理人防行业、领域的安全生产工作；拟订人民防空工程建设质量、安全生产和使用维护管理规章制度并组织实施；指导人民防空工程质量监督和竣工备案工作组织或参与重大质量和安全事故调查处理；负责人民防空信用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（二十四）完成市委、市政府交办的其他任务。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（二十五）职能转变。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进一步转变职能，深化简政放权、放管结合、优化服务，优化营商环境，创新监管方式，加强事中事后监管。贯彻新发展理念，把主要精力转移到管宏观、谋全局、抓大事上来，更加聚焦研究大战略、谋划大政策、分析大趋势、推动大项目。统筹改革创新，提高经济发展质量和效益。进一步减少微观管理事务，最大限度减少政府对市场资源的直接配置，最大限度减少政府对市场活动的直接干预，提高资源配置效率和公平性，激发各类市场主体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1．强化对国家和省、无锡市重大战略、重大发展规划、重大改革措施在全市落实的统筹推动和监督评估相关职能，提升国家和省、无锡市宏观政策的执行效果。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2．强化制定全市发展战略、统一规划体系的职能，完善全市规划制度，做好规划统筹，精简规划数量，提高规划质量，更好发挥全市发展战略、规划的导向作用。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完善宏观调控体系，创新调控方式，构建发展规划、财政、金融等政策协调和工作协同机制。强化经济监测预测预警能力，建立健全重大问题研究和政策储备工作机制，增强宏观调控的前瞻性、针对性、协同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4．全面实施市场准入负面清单制度。深化价格改革，及时修订调减政府定价目录，健全反映市场供求的定价机制。加快推进政府监管和公共信用信息共享。</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（二十六）有关职责分工。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与市行政审批局的有关职责分工。市行政审批局按照市政府《相对集中行政许可权事项清单》和《其他职权事项调整清单》，依法履行有关行政审批职责；市发展和改革委员会不再承担划转事项的行政审批职责，继续承担相应的监管职责。市发展和改革委员会和市行政审批局应当加强制度、政策衔接，建立沟通协商机制，协同推进相对集中行政许可权改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与市卫生健康委员会有关职责分工。市发展和改革委员会负责组织监测和评估人口变动情况及趋势影响，建立健全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市卫生健康委员会负责开展人口监测预警工作，实施全市生育政策，研究提出与生育相关的人口政策建议，参与制定全市人口发展规划和政策，落实人口发展规划中的有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与市市场监督管理局分工。市市场监督管理局负责全市粮食流通领域的监督检查，负责全市粮食收购、储存、运输环节粮食质量安全和原粮卫生的监督管理。市发展和改革委员会负责直属单位粮食安全储存和安全生产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与市应急管理局的职责分工。市应急管理局负责提出市级救灾物资的储备需求和动用决策，会同市发展和改革委员会编制市级救灾物资储备规划、品种目录和标准，确定年度购置计划。市发展和改革委员会根据市级救灾物资储备规划、品种目录和标准、年度购置计划，负责市级救灾物资的收储、轮换和日常管理，并落实有关动用计划和指令。</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办公室。（二）国民经济综合科（发展规划科）。（三）目标管理考核科。（四）经济体制改革科。（五）固定资产投资科。（六）重大项目建设办公室（法规科）。（七）社会事业和协作科。（八）能源发展和环资科。（九）电力科。（十）价格管理和成本监审科。（十一）收费管理和价格调控科。（十二）军民融合发展科（经济与国防协调发展科）。（十三）粮食储备科。（十四）物资储备科。（十五）财务资产管理科。（十六）组织人事科。（十七）安全生产监督管理科。（十八）政策研发科。（十九）国防动员综合管理科。（二十）指挥通信与设施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本年度，我委坚持以习近平新时代中国特色社会主义思想为指导，深入学习贯彻党的二十大精神和习近平总书记对江苏工作重要讲话重要指示精神，全面落实市委市政府决策部署，紧紧围绕经济社会发展大局，抓发展、促改革、夯基础，发展改革各项工作取得积极成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统筹谋划促发展，经济运行稳中向好。紧紧把握发展第一要务，系统谋划发展举措，统筹推进发展任务，全力以赴抓经济、稳增长。一是发展政策谋划扎实有力。二是经济运行企稳向好。三是重大项目建设有力有序。四是对上争取成效显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多措并举抢机遇，重大战略稳步实施。坚持以重大战略任务为牵引，不断拓展发展空间，推动产业和能源结构持续优化。一是区域一体化发展战略走深走实。二是“双碳”战略扎实推进。三是长江经济带发展战略稳步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深化改革增动能，改革任务纵深推进。紧盯经济社会发展堵点难点，全力以赴做好改革文章，激发体制动能，提升发展效能。一是功能区建设蹄疾步稳。二是营商环境品牌持续打响。三是体制改革顺利完成。四是融合发展不断深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重点补短板，民生保障持续夯实。紧盯民生关键，发展底线，不断完善机制、优化服务保障，统筹做好发展与安全。一是美丽江阴建设卓有成效。二是民生实事稳步推进。三是价格收费监管持续健全。四是粮食物资储备能力有效提升。五是行业安全形势平稳有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凝心聚力强党建，堡垒作用有效提升。坚持把党的政治建设摆在首位，坚定不移强党建、凝心聚力谋发展。一是主题教育扎实开展。二是组织建设有效提升。三是意识形态工作有力有效。四是作风建设持续深化。</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江阴市发展和改革委员会</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江阴市发展和改革委员会</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16,458.80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3,015.90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9,700.00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1,274.46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385.09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3,019.00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13.88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809.40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7,799.27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26,158.80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16,327.60</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9,834.50</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26,162.10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26,162.10</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26,158.80</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26,158.80</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3,016.53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3,016.53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发展与改革事务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3,016.53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3,016.53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2,121.94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2,121.94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战略规划与实施</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物价管理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其他发展与改革事务支出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818.89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818.89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1,274.46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385.09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385.09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320.92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320.92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213.95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213.95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106.97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征地和拆迁补偿支出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资源勘探工业信息等支出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3,019.00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3,019.00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制造业</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其他制造业支出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2,151.00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工业和信息产业监管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868.00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868.00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2150517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产业发展</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868.00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868.00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援助其他地区支出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809.40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809.40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809.40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809.40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159.86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159.86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543.96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543.96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粮油物资储备支出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7,929.84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7,929.84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粮油物资事务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7,587.43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7,587.43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其他粮油物资事务支出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7,587.43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7,587.43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重要商品储备</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2220503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肉类储备</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249.95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249.95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其他重要商品储备支出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92.47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92.47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16,327.60</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3,315.81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13,011.79</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3,015.90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2,121.32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894.59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发展与改革事务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3,015.90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2,121.32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894.59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2,121.32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2,121.32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战略规划与实施</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物价管理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其他发展与改革事务支出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818.89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818.89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1,274.46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385.09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385.09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320.92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320.92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213.95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106.97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64.17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资源勘探工业信息等支出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3,019.00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3,019.00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制造业</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2150299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其他制造业支出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2,151.00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工业和信息产业监管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868.00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868.00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2150517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产业发展</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868.00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868.00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涉外发展服务支出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其他涉外发展服务支出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援助其他地区支出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13.88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809.40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809.40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809.40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809.40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159.86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159.86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543.96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543.96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粮油物资储备支出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7,799.27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7,799.27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粮油物资事务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7,456.85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7,456.85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其他粮油物资事务支出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7,456.85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7,456.85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重要商品储备</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342.41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2220503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肉类储备</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249.95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249.95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其他重要商品储备支出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92.47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92.47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江阴市发展和改革委员会</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16,458.80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3,015.90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3,015.90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9,700.00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3,019.00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3,019.00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809.40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7,799.27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7,799.27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26,158.80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16,327.60</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16,327.60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9,834.50</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134.50</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9,700.00</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26,162.10</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26,162.10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16,462.10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9,700.00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16,327.60</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3,315.81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13,011.79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894.59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3,015.90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894.59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战略规划与实施</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物价管理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818.89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818.89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1,274.46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385.09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320.92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64.17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资源勘探工业信息等支出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制造业</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其他制造业支出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工业和信息产业监管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2150517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产业发展</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援助其他地区支出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543.96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粮油物资储备支出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7,799.27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7,799.27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粮油物资事务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7,456.85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7,456.85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其他粮油物资事务支出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7,456.85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7,456.85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重要商品储备</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342.41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肉类储备</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249.95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其他重要商品储备支出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92.47</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江阴市发展和改革委员会</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3,315.81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3,140.61</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2,615.82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2,615.82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164.68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345.37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16,327.60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3,315.81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13,011.79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3,015.90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3,015.90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894.59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2,121.32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战略规划与实施</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物价管理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818.89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1,274.46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385.09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320.92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资源勘探工业信息等支出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制造业</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其他制造业支出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工业和信息产业监管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2150517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产业发展</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援助其他地区支出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13.88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543.96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粮油物资储备支出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7,799.27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7,799.27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粮油物资事务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7,456.85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7,456.85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其他粮油物资事务支出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7,456.85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7,456.85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重要商品储备</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342.41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肉类储备</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249.95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其他重要商品储备支出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92.47</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3,315.81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3,140.61</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2,615.82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2,615.82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321.42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680.51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213.95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159.86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164.68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22.63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345.37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15.31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21.57</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10.60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8.58</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2.46</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1.26</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21.57</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10.60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8.58</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2.46</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1.26</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719</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516</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66</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175.20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164.68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22.63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14.86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26.60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4.80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14.56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5.19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2.37</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1.26</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8.58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7.00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24.49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8.64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8.85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10.52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江阴市发展和改革委员会</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2023年度收入、支出决算总计26,162.1万元。与上年相比，收、支总计各减少10,565.24万元，减少28.77%。其中：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（一）收入决算总计26,162.1万元。包括：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1.本年收入决算合计26,158.8万元。与上年相比，减少10,561.29万元，减少28.76%，变动原因：压缩项目经费。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3.年初结转和结余3.3万元。与上年相比，减少3.95万元，减少54.48%，变动原因：项目结余资金上缴。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（二）支出决算总计26,162.1万元。包括：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1.本年支出决算合计16,327.6万元。与上年相比，减少20,396.44万元，减少55.54%，变动原因：压缩项目经费。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3.年末结转和结余9,834.5万元。结转和结余事项：基建资金结余。与上年相比，增加9,831.2万元，增长297,915.15%，变动原因：基建资金结余增加。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26,158.8万元，其中：财政拨款收入26,158.8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2023年度本年支出决算合计16,327.6万元，其中：基本支出3,315.81万元，占20.31%；项目支出13,011.79万元，占79.69%；上缴上级支出0万元，占0%；经营支出0万元，占0%；对附属单位补助支出0万元，占0%。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2023年度财政拨款收入、支出决算总计26,162.1万元。与上年相比，收、支总计各减少10,565.24万元，减少28.77%，变动原因：压缩项目经费。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2023年度财政拨款支出决算16,327.6万元，占本年支出合计的100%。与2023年度财政拨款支出年初预算11,047.21万元相比，完成年初预算的147.8%。其中：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1.发展与改革事务（款）行政运行（项）。年初预算1,861.8万元，支出决算2,121.32万元，完成年初预算的113.94%。决算数与年初预算数的差异原因：人员经费支出增加。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2.发展与改革事务（款）战略规划与实施（项）。年初预算1,000万元，支出决算15万元，完成年初预算的1.5%。决算数与年初预算数的差异原因：项目经费调剂（追减）。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3.发展与改革事务（款）物价管理（项）。年初预算68万元，支出决算60.7万元，完成年初预算的89.26%。决算数与年初预算数的差异原因：物价管理经费支出减少。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4.发展与改革事务（款）其他发展与改革事务支出（项）。年初预算539.8万元，支出决算818.89万元，完成年初预算的151.7%。决算数与年初预算数的差异原因：职能调整后项目新增。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其他科学技术支出（款）其他科学技术支出（项）。年初预算0万元，支出决算1,274.46万元，（年初预算数为0万元，无法计算完成比率）决算数与年初预算数的差异原因：新增科学技术项目。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1.行政事业单位养老支出（款）机关事业单位基本养老保险缴费支出（项）。年初预算138.65万元，支出决算213.95万元，完成年初预算的154.31%。决算数与年初预算数的差异原因：养老保险基数调整。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2.行政事业单位养老支出（款）机关事业单位职业年金缴费支出（项）。年初预算69.33万元，支出决算106.97万元，完成年初预算的154.29%。决算数与年初预算数的差异原因：职业年金基数调整。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3.其他社会保障和就业支出（款）其他社会保障和就业支出（项）。年初预算65.22万元，支出决算64.17万元，完成年初预算的98.39%。决算数与年初预算数的差异原因：人员变化，社保费减少。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（四）资源勘探工业信息等支出（类）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1.制造业（款）其他制造业支出（项）。年初预算0万元，支出决算2,151万元，（年初预算数为0万元，无法计算完成比率）决算数与年初预算数的差异原因：新增其他制造业项目。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2.工业和信息产业监管（款）产业发展（项）。年初预算0万元，支出决算868万元，（年初预算数为0万元，无法计算完成比率）决算数与年初预算数的差异原因：新增产业发展项目。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（五）商业服务业等支出（类）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涉外发展服务支出（款）其他涉外发展服务支出（项）。年初预算0万元，支出决算10.6万元，（年初预算数为0万元，无法计算完成比率）决算数与年初预算数的差异原因：新增因公出国（境）项目。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（六）援助其他地区支出（类）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其他支出（款）。年初预算0万元，支出决算13.88万元，（年初预算数为0万元，无法计算完成比率）决算数与年初预算数的差异原因：新增对口援建工作经费。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1.住房改革支出（款）住房公积金（项）。年初预算186.33万元，支出决算159.86万元，完成年初预算的85.79%。决算数与年初预算数的差异原因：人员变化，住房公积金减少。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2.住房改革支出（款）提租补贴（项）。年初预算558.88万元，支出决算543.96万元，完成年初预算的97.33%。决算数与年初预算数的差异原因：人员变化，提租补贴减少。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3.住房改革支出（款）购房补贴（项）。年初预算133.31万元，支出决算105.58万元，完成年初预算的79.2%。决算数与年初预算数的差异原因：人员变化，购房补贴减少。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（八）粮油物资储备支出（类）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1.粮油物资事务（款）其他粮油物资事务支出（项）。年初预算6,088.78万元，支出决算7,456.85万元，完成年初预算的122.47%。决算数与年初预算数的差异原因：粮油物资项目支出增加。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2.重要商品储备（款）肉类储备（项）。年初预算228.25万元，支出决算249.95万元，完成年初预算的109.51%。决算数与年初预算数的差异原因：肉类储备项目支出增加。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3.重要商品储备（款）其他重要商品储备支出（项）。年初预算108.86万元，支出决算92.47万元，完成年初预算的84.94%。决算数与年初预算数的差异原因：物资储备项目支出减少。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2023年度财政拨款基本支出决算3,315.81万元，其中：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（一）人员经费3,140.61万元。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其他社会保障缴费、住房公积金、医疗费、离休费、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（二）公用经费175.2万元。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电费、邮电费、差旅费、维修（护）费、租赁费、会议费、培训费、公务接待费、劳务费、委托业务费、工会经费、公务用车运行维护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2023年度一般公共预算财政拨款支出决算16,327.6万元。与上年相比，减少10,396.44万元，减少38.9%，变动原因：压缩项目经费。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2023年度一般公共预算财政拨款基本支出决算3,315.81万元，其中：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（一）人员经费3,140.61万元。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机关事业单位基本养老保险缴费、职业年金缴费、职工基本医疗保险缴费、其他社会保障缴费、住房公积金、医疗费、离休费、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（二）公用经费175.2万元。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电费、邮电费、差旅费、维修（护）费、租赁费、会议费、培训费、公务接待费、劳务费、委托业务费、工会经费、公务用车运行维护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21.57万元（其中：一般公共预算支出21.57万元；政府性基金预算支出0万元；国有资本经营预算支出0万元）。与上年相比，增加13.87万元，变动原因：新增因公出国（境）经费支出。其中，因公出国（境）费支出10.6万元，占“三公”经费的49.12%；公务用车购置及运行维护费支出2.4万元，占“三公”经费的11.12%；公务接待费支出8.58万元，占“三公”经费的39.76%。2023年度财政拨款“三公”经费支出预算21.57万元（其中：一般公共预算支出21.57万元；政府性基金预算支出0万元；国有资本经营预算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10.6万元（其中：一般公共预算支出10.6万元；政府性基金预算支出0万元；国有资本经营预算支出0万元），支出决算10.6万元（其中：一般公共预算支出10.6万元；政府性基金预算支出0万元；国有资本经营预算支出0万元），完成调整后预算的100%，决算数与预算数相同。全年使用财政拨款涉及的出国（境）团组0个，累计2人次。开支内容：因公出国（境）交通费、住宿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2.4万元（其中：一般公共预算支出2.4万元；政府性基金预算支出0万元；国有资本经营预算支出0万元），支出决算2.4万元（其中：一般公共预算支出2.4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2.4万元。公务用车运行维护费主要用于按规定保留的公务用车的燃料费、维修费、过桥过路费、保险费、安全奖励费用等支出。截至2023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8.58万元（其中：一般公共预算支出8.58万元；政府性基金预算支出0万元；国有资本经营预算支出0万元），支出决算8.58万元（其中：一般公共预算支出8.58万元；政府性基金预算支出0万元；国有资本经营预算支出0万元），完成调整后预算的100%，决算数与预算数相同。其中：国内公务接待支出8.58万元，接待50批次，719人次，开支内容：接待上级及周边城市有关业务活动往来人员；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2.46万元（其中：一般公共预算支出2.46万元；政府性基金预算支出0万元；国有资本经营预算支出0万元），支出决算2.46万元（其中：一般公共预算支出2.46万元；政府性基金预算支出0万元；国有资本经营预算支出0万元），完成调整后预算的100%，决算数与预算数相同。2023年度全年召开会议43个，参加会议516人次，开支内容：召开各条线业务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1.26万元（其中：一般公共预算支出1.26万元；政府性基金预算支出0万元；国有资本经营预算支出0万元），支出决算1.26万元（其中：一般公共预算支出1.26万元；政府性基金预算支出0万元；国有资本经营预算支出0万元），完成调整后预算的100%，决算数与预算数相同。2023年度全年组织培训7个，组织培训66人次，开支内容：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2023年度政府性基金预算财政拨款支出决算0万元。与上年相比，减少10,000万元，减少100%，变动原因：基建项目支出减少。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2023年度机关运行经费支出决算175.2万元（其中：一般公共预算支出175.2万元；政府性基金预算支出0万元；国有资本经营预算支出0万元）。与上年相比，减少50.97万元，减少22.54%，变动原因：精简开支。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62.02万元，其中：政府采购货物支出62.02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2辆，其中：副部(省)级及以上领导用车0辆、主要领导干部用车0辆、机要通信用车0辆、应急保障用车0辆、执法执勤用车1辆、特种专业技术用车1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本单位共对2023年度已实施完成的15个项目开展了绩效自评价，涉及财政性资金合计4,684.01万元；本单位共开展1项单位整体支出绩效自评价，涉及财政性资金合计16,327.6万元。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十九、一般公共服务支出(类)发展与改革事务(款)行政运行(项)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二十、一般公共服务支出(类)发展与改革事务(款)战略规划与实施(项)</w:t>
      </w:r>
      <w:r>
        <w:rPr>
          <w:rFonts w:ascii="仿宋" w:hAnsi="仿宋" w:cs="仿宋" w:eastAsia="仿宋"/>
          <w:b w:val="true"/>
        </w:rPr>
        <w:t>：</w:t>
      </w:r>
      <w:r>
        <w:rPr>
          <w:rFonts w:hint="eastAsia" w:ascii="仿宋" w:hAnsi="仿宋" w:eastAsia="仿宋" w:cs="仿宋"/>
        </w:rPr>
        <w:t>反映拟订并组织实施国民经济和社会发展战略、中长期规划和年度计划，实施宏观管理与调控等方面的支出。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二十一、一般公共服务支出(类)发展与改革事务(款)物价管理(项)</w:t>
      </w:r>
      <w:r>
        <w:rPr>
          <w:rFonts w:ascii="仿宋" w:hAnsi="仿宋" w:cs="仿宋" w:eastAsia="仿宋"/>
          <w:b w:val="true"/>
        </w:rPr>
        <w:t>：</w:t>
      </w:r>
      <w:r>
        <w:rPr>
          <w:rFonts w:hint="eastAsia" w:ascii="仿宋" w:hAnsi="仿宋" w:eastAsia="仿宋" w:cs="仿宋"/>
        </w:rPr>
        <w:t>反映物价管理方面的支出。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二十二、一般公共服务支出(类)发展与改革事务(款)其他发展与改革事务支出(项)</w:t>
      </w:r>
      <w:r>
        <w:rPr>
          <w:rFonts w:ascii="仿宋" w:hAnsi="仿宋" w:cs="仿宋" w:eastAsia="仿宋"/>
          <w:b w:val="true"/>
        </w:rPr>
        <w:t>：</w:t>
      </w:r>
      <w:r>
        <w:rPr>
          <w:rFonts w:hint="eastAsia" w:ascii="仿宋" w:hAnsi="仿宋" w:eastAsia="仿宋" w:cs="仿宋"/>
        </w:rPr>
        <w:t>反映除上述项目以外的其他发展与改革事务支出。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二十七、资源勘探工业信息等支出(类)制造业(款)其他制造业支出(项)</w:t>
      </w:r>
      <w:r>
        <w:rPr>
          <w:rFonts w:ascii="仿宋" w:hAnsi="仿宋" w:cs="仿宋" w:eastAsia="仿宋"/>
          <w:b w:val="true"/>
        </w:rPr>
        <w:t>：</w:t>
      </w:r>
      <w:r>
        <w:rPr>
          <w:rFonts w:hint="eastAsia" w:ascii="仿宋" w:hAnsi="仿宋" w:eastAsia="仿宋" w:cs="仿宋"/>
        </w:rPr>
        <w:t>反映除上述项目以外其他用于制造业方面的支出。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二十八、资源勘探工业信息等支出(类)工业和信息产业监管(款)产业发展(项)</w:t>
      </w:r>
      <w:r>
        <w:rPr>
          <w:rFonts w:ascii="仿宋" w:hAnsi="仿宋" w:cs="仿宋" w:eastAsia="仿宋"/>
          <w:b w:val="true"/>
        </w:rPr>
        <w:t>：</w:t>
      </w:r>
      <w:r>
        <w:rPr>
          <w:rFonts w:hint="eastAsia" w:ascii="仿宋" w:hAnsi="仿宋" w:eastAsia="仿宋" w:cs="仿宋"/>
        </w:rPr>
        <w:t>反映工业和信息化产业发展的支出。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二十九、商业服务业等支出(类)涉外发展服务支出(款)其他涉外发展服务支出(项)</w:t>
      </w:r>
      <w:r>
        <w:rPr>
          <w:rFonts w:ascii="仿宋" w:hAnsi="仿宋" w:cs="仿宋" w:eastAsia="仿宋"/>
          <w:b w:val="true"/>
        </w:rPr>
        <w:t>：</w:t>
      </w:r>
      <w:r>
        <w:rPr>
          <w:rFonts w:hint="eastAsia" w:ascii="仿宋" w:hAnsi="仿宋" w:eastAsia="仿宋" w:cs="仿宋"/>
        </w:rPr>
        <w:t>反映除上述项目以外其他用于涉外发展服务方面的支出。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三十、援助其他地区支出(类)其他支出(款)</w:t>
      </w:r>
      <w:r>
        <w:rPr>
          <w:rFonts w:ascii="仿宋" w:hAnsi="仿宋" w:cs="仿宋" w:eastAsia="仿宋"/>
          <w:b w:val="true"/>
        </w:rPr>
        <w:t>：</w:t>
      </w:r>
      <w:r>
        <w:rPr>
          <w:rFonts w:hint="eastAsia" w:ascii="仿宋" w:hAnsi="仿宋" w:eastAsia="仿宋" w:cs="仿宋"/>
        </w:rPr>
        <w:t>反映援助其他地区资金中除上述项目以外的其他支出。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三十四、粮油物资储备支出(类)粮油物资事务(款)其他粮油物资事务支出(项)</w:t>
      </w:r>
      <w:r>
        <w:rPr>
          <w:rFonts w:ascii="仿宋" w:hAnsi="仿宋" w:cs="仿宋" w:eastAsia="仿宋"/>
          <w:b w:val="true"/>
        </w:rPr>
        <w:t>：</w:t>
      </w:r>
      <w:r>
        <w:rPr>
          <w:rFonts w:hint="eastAsia" w:ascii="仿宋" w:hAnsi="仿宋" w:eastAsia="仿宋" w:cs="仿宋"/>
        </w:rPr>
        <w:t>反映除上述项目以外其他用于粮油和物资事务方面的支出。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三十五、粮油物资储备支出(类)重要商品储备(款)肉类储备(项)</w:t>
      </w:r>
      <w:r>
        <w:rPr>
          <w:rFonts w:ascii="仿宋" w:hAnsi="仿宋" w:cs="仿宋" w:eastAsia="仿宋"/>
          <w:b w:val="true"/>
        </w:rPr>
        <w:t>：</w:t>
      </w:r>
      <w:r>
        <w:rPr>
          <w:rFonts w:hint="eastAsia" w:ascii="仿宋" w:hAnsi="仿宋" w:eastAsia="仿宋" w:cs="仿宋"/>
        </w:rPr>
        <w:t>反映猪、牛、羊等肉类专项储备的有关支出。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三十六、粮油物资储备支出(类)重要商品储备(款)其他重要商品储备支出(项)</w:t>
      </w:r>
      <w:r>
        <w:rPr>
          <w:rFonts w:ascii="仿宋" w:hAnsi="仿宋" w:cs="仿宋" w:eastAsia="仿宋"/>
          <w:b w:val="true"/>
        </w:rPr>
        <w:t>：</w:t>
      </w:r>
      <w:r>
        <w:rPr>
          <w:rFonts w:hint="eastAsia" w:ascii="仿宋" w:hAnsi="仿宋" w:eastAsia="仿宋" w:cs="仿宋"/>
        </w:rPr>
        <w:t>反映除上述项目外的其他重要商品储备支出。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江阴市发展和改革委员会</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