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江阴市发展改革综合服务中心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协助推进全市社会信用体系建设。开展全市社会信用体系建设研究；完善公共信用信息标准规范；加强全市涉信用服务的平台、网站、系统等载体建设、运行和维护；强化公共信用监测数据管理；为公共信用信息查询、异议处理、信用修复等涉信用管理提供服务；开展信用文化宣传；规范管理全市信用服务机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接受委托参与政府投资项目建议书、可行性研究报告、初步设计及概算评审；协助开展社会中介机构评审业务的指导、监督、管理、考核工作，承担初审报告评审任务；对投资计划执行和资金使用情况进行追踪问效，参与市级政府投资或补助（含中央、省预算内投资）项目的事中事后监管，项目竣工验收及后评价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（三）依法协助相关部门对纪检监察、司法、行政工作中涉及的各类价格不明或有争议的财物进行价格认定；依法接受委托对价格矛盾争议进行调解。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（四）组织实施价格监测报告制度，监测预测重要商品和服务价格变动情况；实施价格应急监测和预警、预报；发布价格监测信息，正确引导市场流通和消费。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参与电力相关规划及审查；承担有序用电、电力需求侧、用电安全等管理工作；配合开展电力安全生产专项检查、电力设施保护及电力行政执法工作；承担全市电力统计编制工作，协助做好电力市场培育和监管工作；开展电力法律法规宣传、法律服务和教育培训；指导农村电气化和电力行业协会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（七）完成市发改委交办的其他任务。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（一）办公室；（二）信用综合协调科；（三）信用管理服务科；（四）项目服务一科；（五）项目服务二科；（六）价格认定科；（七）价格监测科；（八）电力管理服务科；（九）粮食和物资服务科。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发展改革综合服务中心围绕年初委党组重点工作部署要求，立足于中心队伍+职能两个建设双创双促目标，在社会信用体系建设、价格认定和价格监测工作上，抓紧全年重点任务不放松，为深化“放管服”改革、优化营商环境、高质量发展提供了有力支撑。主要完成了如下几方面工作：一、工作体系机制进一步完善；二、信用共享应用进一步深化；三、信用监管成效进一步显现；四、信用服务水平进一步提升；五、诚信文化建设进一步加强；六、价格认定助力城市发展；七、价格监测保障基本民生。</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江阴市发展改革综合服务中心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江阴市发展改革综合服务中心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1,069.34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654.52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126.64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288.19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1,069.34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1,069.34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4.33</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1,073.66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1,073.66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1,069.34</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1,069.34</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654.52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654.52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654.52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654.52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634.52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634.52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126.64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288.19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106.37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106.37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1,069.34</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1,049.34</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20.00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654.52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654.52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634.52</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126.64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97.99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288.19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76.88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76.88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106.37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106.37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江阴市发展改革综合服务中心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1,069.34</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654.52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654.52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1,069.34</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1,069.34</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1,069.34</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1,073.66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1,073.66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1,073.66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1,069.34</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1,049.34</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654.52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634.52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126.64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97.99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江阴市发展改革综合服务中心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1,049.34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1,018.43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1,069.34</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1,049.34</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634.52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126.64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97.99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288.19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1,049.34</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1,018.43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188.91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65.33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76.88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4.82</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2.67</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2.67</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2.15</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0.27</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4.82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2.67</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2.67</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2.15</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江阴市发展改革综合服务中心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2023年度收入、支出决算总计1,073.66万元。与上年相比，收、支总计各减少211.85万元，减少16.48%。其中：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（一）收入决算总计1,073.66万元。包括：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1.本年收入决算合计1,069.34万元。与上年相比，减少211.84万元，减少16.53%，变动原因：压缩项目经费、工资福利支出减少。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3.年初结转和结余4.33万元。与上年决算数相同。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（二）支出决算总计1,073.66万元。包括：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1.本年支出决算合计1,069.34万元。与上年相比，减少211.84万元，减少16.53%，变动原因：压缩项目经费、工资福利支出减少。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3.年末结转和结余4.33万元。结转和结余事项：基本支出结转。与上年决算数相同。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1,069.34万元，其中：财政拨款收入1,069.34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2023年度本年支出决算合计1,069.34万元，其中：基本支出1,049.34万元，占98.13%；项目支出20万元，占1.87%；上缴上级支出0万元，占0%；经营支出0万元，占0%；对附属单位补助支出0万元，占0%。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2023年度财政拨款收入、支出决算总计1,073.66万元。与上年相比，收、支总计各减少211.85万元，减少16.48%，变动原因：压缩项目经费、工资福利支出减少。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2023年度财政拨款支出决算1,069.34万元，占本年支出合计的100%。与2023年度财政拨款支出年初预算1,096.38万元相比，完成年初预算的97.53%。其中：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1.发展与改革事务（款）事业运行（项）。年初预算660.28万元，支出决算634.52万元，完成年初预算的96.1%。决算数与年初预算数的差异原因：工资福利支出减少。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2.发展与改革事务（款）其他发展与改革事务支出（项）。年初预算20万元，支出决算20万元，完成年初预算的100%。决算数与年初预算数相同。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1.行政事业单位养老支出（款）机关事业单位基本养老保险缴费支出（项）。年初预算68.76万元，支出决算65.33万元，完成年初预算的95.01%。决算数与年初预算数的差异原因：人员变化，养老保险支出减少。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2.行政事业单位养老支出（款）机关事业单位职业年金缴费支出（项）。年初预算34.38万元，支出决算32.66万元，完成年初预算的95%。决算数与年初预算数的差异原因：人员变化，职业年金支出减少。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3.其他社会保障和就业支出（款）其他社会保障和就业支出（项）。年初预算31.68万元，支出决算28.65万元，完成年初预算的90.44%。决算数与年初预算数的差异原因：人员变化，社保支出减少。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1.住房改革支出（款）住房公积金（项）。年初预算76.88万元，支出决算76.88万元，完成年初预算的100%。决算数与年初预算数相同。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2.住房改革支出（款）提租补贴（项）。年初预算98.03万元，支出决算104.94万元，完成年初预算的107.05%。决算数与年初预算数的差异原因：人员变化，提租补贴支出增加。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3.住房改革支出（款）购房补贴（项）。年初预算106.37万元，支出决算106.37万元，完成年初预算的100%。决算数与年初预算数相同。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2023年度财政拨款基本支出决算1,049.34万元，其中：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（一）人员经费1,018.43万元。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（二）公用经费30.91万元。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主要包括：办公费、印刷费、邮电费、差旅费、租赁费、会议费、培训费、公务接待费、劳务费、工会经费、公务用车运行维护费、其他商品和服务支出、办公设备购置。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2023年度一般公共预算财政拨款支出决算1,069.34万元。与上年相比，减少211.84万元，减少16.53%，变动原因：压缩项目经费、工资福利支出减少。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2023年度一般公共预算财政拨款基本支出决算1,049.34万元，其中：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（一）人员经费1,018.43万元。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（二）公用经费30.91万元。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主要包括：办公费、印刷费、邮电费、差旅费、租赁费、会议费、培训费、公务接待费、劳务费、工会经费、公务用车运行维护费、其他商品和服务支出、办公设备购置。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4.82万元（其中：一般公共预算支出4.82万元；政府性基金预算支出0万元；国有资本经营预算支出0万元）。与上年相比，增加1.64万元，变动原因：车辆维修费支出增加。其中，因公出国（境）费支出0万元，占“三公”经费的0%；公务用车购置及运行维护费支出2.67万元，占“三公”经费的55.39%；公务接待费支出2.15万元，占“三公”经费的44.61%。2023年度财政拨款“三公”经费支出预算4.82万元（其中：一般公共预算支出4.82万元；政府性基金预算支出0万元；国有资本经营预算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2.67万元（其中：一般公共预算支出2.67万元；政府性基金预算支出0万元；国有资本经营预算支出0万元），支出决算2.67万元（其中：一般公共预算支出2.67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2.67万元。公务用车运行维护费主要用于按规定保留的公务用车的燃料费、维修费、过桥过路费、保险费、安全奖励费用等支出。截至2023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2.15万元（其中：一般公共预算支出2.15万元；政府性基金预算支出0万元；国有资本经营预算支出0万元），支出决算2.15万元（其中：一般公共预算支出2.15万元；政府性基金预算支出0万元；国有资本经营预算支出0万元），完成调整后预算的100%，决算数与预算数相同。其中：国内公务接待支出2.15万元，接待11批次，131人次，开支内容：接待上级及周边城市有关业务活动往来人员；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1.02万元（其中：一般公共预算支出1.02万元；政府性基金预算支出0万元；国有资本经营预算支出0万元），支出决算1.02万元（其中：一般公共预算支出1.02万元；政府性基金预算支出0万元；国有资本经营预算支出0万元），完成调整后预算的100%，决算数与预算数相同。2023年度全年召开会议5个，参加会议41人次，开支内容：召开各条线业务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0.27万元（其中：一般公共预算支出0.27万元；政府性基金预算支出0万元；国有资本经营预算支出0万元），支出决算0.27万元（其中：一般公共预算支出0.27万元；政府性基金预算支出0万元；国有资本经营预算支出0万元），完成调整后预算的100%，决算数与预算数相同。2023年度全年组织培训1个，组织培训2人次，开支内容：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5.06万元，其中：政府采购货物支出5.06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1辆，其中：副部(省)级及以上领导用车0辆、主要领导干部用车0辆、机要通信用车0辆、应急保障用车0辆、执法执勤用车1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本单位共对2023年度已实施完成的1个项目开展了绩效自评价，涉及财政性资金合计20万元；本单位共开展1项单位整体支出绩效自评价，涉及财政性资金合计1,069.34万元。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二十、一般公共服务支出(类)发展与改革事务(款)其他发展与改革事务支出(项)</w:t>
      </w:r>
      <w:r>
        <w:rPr>
          <w:rFonts w:ascii="仿宋" w:hAnsi="仿宋" w:cs="仿宋" w:eastAsia="仿宋"/>
          <w:b w:val="true"/>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江阴市发展改革综合服务中心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