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江阴市文物保护和考古研究中心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(一)根据《中华人民共和国文物保护法》等法律、法规及有关政策，开展文物保护和考古研究中心各项管理工作。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要塞司令部、徐霞客故居、刘氏故居、江阴文庙、高城墩遗址、曹颖甫故居、唐公祠等文物保护单位的管理、开放、活化、维护、保养、监测、修缮、安全以及宣传、展示等工作，充分发挥场馆的社教功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(三)协助做好全市不可移动文物资源调查和建档、文物保护规划编制、文物修缮保护及活化利用工程、文物价值评估和文保单位申报等工作。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(四)开展文物保护、考古等方面的业务研究、培训和交流活动，做好全市文保志愿者队伍管理工作。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(五)加强对全市地下文物的保护和管理，协助开展我市国有建设用地考古调查勘探发掘前置工作，开展文物考古工作，协助相关部门打击文物犯罪活动。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(六)整理汇集考古、地方文献、地方名人等资料并进行相关文史研究。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(七)落实本单位安全生产主体责任。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(八)完成市文体广电和旅游局交办的其他任务。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党建工作。深入开展学习贯彻习近平新时代中国特色社会主义思想主题教育，党员通过集中学习和个人自学，通读党的二十大报告、党章，学习《习近平新时代中国特色社会主义思想专题摘编》；开展支部书记讲党课1次，组织党员开展“牢记嘱托、感恩奋进、走在前列”讨论1次；建立青年党员结对年老党员的“1+1”双向联系机制，开展送学活动1次；利用江阴要塞司令部旧址这一实境课堂开展党性教育1次；深化在职党员“三报到三服务”活动，到结对社区开展志愿服务1次；开展“我为江阴献良策”活动，组织党员群众建言献策，收集意见建议5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日常管理。根据实际制定中心内控制度，落实各级工作要求，加强人员管理和队伍建设；积极做好本中心文明城市创建、垃圾分类、禁烟控烟、节约能源、环境卫生等各项工作；开展2023年资产清查盘点工作，本年度盘点资产总额6140228.5元，计707台（套）；确保场馆日常以及五一、十一等节假日开放有序，全年下属各场馆入馆预计超15万人次，预计完成非税收入17万元。安全方面，开展应急演练2次，组织自查12次，在春节、五一、中高考、十一、梅雨期、台风季等重要节点，提前部署，严密防范，全年未有安全事故发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文保和考古工作。全年协助无锡考古所完成市内13个地块项目的考古勘探和发掘，其中重点项目为云亭街道敔山湾南湾遗址、青阳镇桐岐社区潘家滩遗址、徐霞客镇前旺村墓地、南闸街道N2地块的考古发掘和云亭街道国土所西侧地块的考古勘探；完成全市317处不可移动文物点的实地现状调查复核和今年第九批省级文物保护单位申报资料的编写。</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工程建设。自5月起，市纪委监委派驻第三纪检监察组对我中心开展嵌入式监督专题调研，通过实地调研，在上级指导下，不断完善中心各项工作制度，加强工程领域过程管理。今年以来，中心陆续完成了要塞司令部消防改造、安防升级，徐霞客故居、要塞司令部防雷等4项工程，支付金额440余万元，以上项目均通过省专家验收；完成刘氏故居、文庙、唐公祠年度岁修工程，确保场馆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活化利用。中心充分发掘场馆公益服务优势和潜力，活化利用文化遗产，继续扩大社会影响和人群辐射，延展教育功能。今年以来，中心分别与江阴中专、童领未来小记者站、孔子协会、菁莪书院4家单位进行结对，共建教学实践基地；全年共举办新春游园、校外研学、中高考祈福、6•10文化和自然遗产日、徐霞客故居沉浸式园林实景演出、夏令营、开笔礼、祭孔等大型活动12场，举办拓碑、雕版印刷、古琴、扎染、点翠等各类公益课程36场，服务市民群众超15000人；举办“阅读江阴古建筑”思维导图创意大赛，优秀作品除在文庙展示外，还走进立新小学、天华艺校等我市中小学；曹颖甫故居荣获“百宅百院”活化利用工程五星级项目，徐霞客故居、文庙、高城墩遗址3处场馆积极开展“百宅百院”申报，要塞司令部旧址启动省级爱国主义教育基地申报。</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江阴市文物保护和考古研究中心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江阴市文物保护和考古研究中心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903.87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839.09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31.13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63.56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903.87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933.77</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30.02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0.12</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933.90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933.90</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903.87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903.87</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809.19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809.19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774.03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774.03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2070204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文物保护</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774.03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774.03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24.35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63.56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933.77</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304.35</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629.42</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839.09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629.42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35.16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文物</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594.26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2070204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文物保护</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209.66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594.26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31.13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24.35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63.56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63.56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63.56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63.56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20.63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33.43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9.49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江阴市文物保护和考古研究中心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903.87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903.87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933.77</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933.77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0.12</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0.12</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933.90</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933.90</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933.90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933.77</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304.35</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629.42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839.09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629.42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594.26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2070204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文物保护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594.26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63.56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江阴市文物保护和考古研究中心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304.35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281.81</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933.77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304.35</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629.42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839.09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629.42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594.26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2070204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文物保护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594.26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63.56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304.35</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281.81</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279.93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22.54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0.16</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0.16</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江阴市文物保护和考古研究中心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376.11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2023年度收入、支出决算总计933.9万元。与上年相比，收、支总计各增加933.9万元（上年决算数为0万元，无法计算增减比率）。其中：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（一）收入决算总计933.9万元。包括：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1.本年收入决算合计903.87万元。与上年相比，增加903.87万元（上年决算数为0万元，无法计算增减比率），变动原因：单位新增。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3.年初结转和结余30.02万元。与上年相比，增加30.02万元（上年决算数为0万元，无法计算增减比率），变动原因：单位新增。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（二）支出决算总计933.9万元。包括：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1.本年支出决算合计933.77万元。与上年相比，增加933.77万元（上年决算数为0万元，无法计算增减比率），变动原因：单位新增。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3.年末结转和结余0.12万元。结转和结余事项：单位新增。与上年相比，增加0.12万元（上年决算数为0万元，无法计算增减比率），变动原因：单位新增。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903.87万元，其中：财政拨款收入903.87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2023年度本年支出决算合计933.77万元，其中：基本支出304.35万元，占32.59%；项目支出629.42万元，占67.41%；上缴上级支出0万元，占0%；经营支出0万元，占0%；对附属单位补助支出0万元，占0%。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2023年度财政拨款收入、支出决算总计933.9万元。与上年相比，收、支总计各增加933.9万元（上年决算数为0万元，无法计算增减比率），变动原因：单位新增。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2023年度财政拨款支出决算933.77万元，占本年支出合计的100%。与2023年度财政拨款支出年初预算0万元相比，（年初预算数为0万元，无法计算完成比率）。其中：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1.文化和旅游（款）其他文化和旅游支出（项）。年初预算0万元，支出决算35.16万元，（年初预算数为0万元，无法计算完成比率）决算数与年初预算数的差异原因：单位新增。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2.文物（款）文物保护（项）。年初预算0万元，支出决算803.93万元，（年初预算数为0万元，无法计算完成比率）决算数与年初预算数的差异原因：单位新增。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1.行政事业单位养老支出（款）机关事业单位基本养老保险缴费支出（项）。年初预算0万元，支出决算16.26万元，（年初预算数为0万元，无法计算完成比率）决算数与年初预算数的差异原因：单位新增。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2.行政事业单位养老支出（款）机关事业单位职业年金缴费支出（项）。年初预算0万元，支出决算8.09万元，（年初预算数为0万元，无法计算完成比率）决算数与年初预算数的差异原因：单位新增。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3.其他社会保障和就业支出（款）其他社会保障和就业支出（项）。年初预算0万元，支出决算6.78万元，（年初预算数为0万元，无法计算完成比率）决算数与年初预算数的差异原因：单位新增。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1.住房改革支出（款）住房公积金（项）。年初预算0万元，支出决算20.63万元，（年初预算数为0万元，无法计算完成比率）决算数与年初预算数的差异原因：单位新增。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2.住房改革支出（款）提租补贴（项）。年初预算0万元，支出决算33.43万元，（年初预算数为0万元，无法计算完成比率）决算数与年初预算数的差异原因：单位新增。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3.住房改革支出（款）购房补贴（项）。年初预算0万元，支出决算9.49万元，（年初预算数为0万元，无法计算完成比率）决算数与年初预算数的差异原因：单位新增。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2023年度财政拨款基本支出决算304.35万元，其中：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（一）人员经费281.81万元。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（二）公用经费22.54万元。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主要包括：办公费、水费、电费、差旅费、培训费、工会经费、其他交通费用、其他商品和服务支出。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2023年度一般公共预算财政拨款支出决算933.77万元。与上年相比，增加933.77万元（上年决算数为0万元，无法计算增减比率），变动原因：单位新增。</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2023年度一般公共预算财政拨款基本支出决算304.35万元，其中：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（一）人员经费281.81万元。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（二）公用经费22.54万元。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主要包括：办公费、水费、电费、差旅费、培训费、工会经费、其他交通费用、其他商品和服务支出。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0.16万元（其中：一般公共预算支出0.16万元；政府性基金预算支出0万元；国有资本经营预算支出0万元），支出决算0.16万元（其中：一般公共预算支出0.16万元；政府性基金预算支出0万元；国有资本经营预算支出0万元），完成调整后预算的100%，决算数与预算数相同。2023年度全年组织培训2个，组织培训15人次，开支内容：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376.11万元，其中：政府采购货物支出0万元、政府采购工程支出376.11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本单位共对2023年度已实施完成的2个项目开展了绩效自评价，涉及财政性资金合计186.47万元；本单位共开展1项单位整体支出绩效自评价，涉及财政性资金合计933.77万元。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二十、文化旅游体育与传媒支出(类)文物(款)文物保护(项)</w:t>
      </w:r>
      <w:r>
        <w:rPr>
          <w:rFonts w:ascii="仿宋" w:hAnsi="仿宋" w:cs="仿宋" w:eastAsia="仿宋"/>
          <w:b w:val="true"/>
        </w:rPr>
        <w:t>：</w:t>
      </w:r>
      <w:r>
        <w:rPr>
          <w:rFonts w:hint="eastAsia" w:ascii="仿宋" w:hAnsi="仿宋" w:eastAsia="仿宋" w:cs="仿宋"/>
        </w:rPr>
        <w:t>反映考古发掘及文物保护方面的支出。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江阴市文物保护和考古研究中心</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