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2023年度</w:t>
              <w:br w:type="textWrapping"/>
              <w:t/>
            </w:r>
            <w:r>
              <w:rPr>
                <w:rFonts w:ascii="宋体" w:hAnsi="宋体" w:cs="宋体" w:eastAsia="宋体"/>
                <w:b w:val="true"/>
                <w:sz w:val="52"/>
              </w:rPr>
              <w:t>江阴市公共文化艺术发展中心</w:t>
            </w:r>
            <w:r>
              <w:rPr>
                <w:rFonts w:ascii="宋体" w:hAnsi="宋体" w:cs="宋体" w:eastAsia="宋体"/>
                <w:b w:val="true"/>
                <w:sz w:val="52"/>
              </w:rPr>
              <w:t xml:space="preserve"></w:t>
              <w:br w:type="textWrapping"/>
              <w:t>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1、参与制订公共文化服务体系建设的政策、规划和计划等文件。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2、开展公共文化艺术及相关领域的政策、理论和实践研究，提供参考和决策咨询服务。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3、推进城乡公共文化服务体系一体建设，完善图书馆、文化馆总分馆体系，加强文献资源体系建设，辅导基层文化艺术业务，鼓励和引导社会力量参与现代公共文化服务体系建设。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4、提升公共文化服务融合发展程度，加强与旅游、体育等行业的融合发展，强化与机关、学校、企事业单位的合作。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5、加强文艺精品创作，鼓励和扶持创作团队，推动理论研究和学术交流。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6、收集、整理与研究古籍、地方文献和非物质文化遗产（民族民间艺术），保护与传承优秀传统文化。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7、策划、组织和实施各级各类群众文化艺术活动，促进交流宣传、对外合作。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8、维护、运营公共文化艺术场馆，建设管理流动服务设施、自助服务设施和其他服务网点，做好免费开放工作。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9、促进公共文化服务数字化，加强科技创新，推动数字图书馆、数字文化馆和公共文化云建设。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10、落实本单位安全生产主体责任。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11、完成市文体广电和旅游局交办的其他任务。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办公室、公共服务科、文艺创作科、资源建设科、培训辅导科、信息技术科、艺术研究科。</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公共文化艺术发展中心围绕局工作要点，以高质量发展为主线，着力开展各项工作。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1、创建考核工作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做好常态化安全生产、文明创建、高质量考核等工作，完成全国文明单位评比申报，全力推广江苏公共文化云平台。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2、公共文化服务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民阅读推广全年共服务读者468万多人次，图书流通110.47万册次，开展阅读活动约300场次。新增馆藏文献124466册，总馆藏356.5万册，征集地方文献及江阴人著作107种334册，社会赠书22种275册，家谱16种185册。“滴答借书”手机网借服务接单391次，借还图书1422册。举办“暨阳大讲坛”9场、“澄江史话”地方文化课程15场。开展线上线下数字资源推广8期，通过江苏省社会科学普及示范基地复评，获得优秀等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拓展馆外阵地，新增7家“艺风微书房”，形成了“1+67”总分馆服务系统。</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图书馆在第七次全国公共图书馆评估定级中，获评“一级图书馆”。“温暖绘本之旅”获评2022年度江苏省公共图书馆阅读推广优秀案例；“艺风书房”中山公园分馆参评无锡市“钟书·阅读”优读空间。</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全民艺术普及举办市民课堂300班次，6120人次参与。与妇联联合举办“女企业家文艺沙龙”，600人次参与。举办首届新市民子女暑期公益夏令营1期、“文艺半月谈”6期。“艺起来”公益小剧场完成演出45场次，超过1.7万人次观演，艺术剧场获评“江苏省第三批示范小剧场”。开展非遗直播课堂10场、非遗展览5场。在央视11频道《宝贝亮相吧》栏目播放小锡班、二胡班节目8集。新增馆办团队2个。</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2023年，“澄艺快递”公共文化服务精准配送项目完成配送503场次，超35万人次参与。该项目获评“江苏省公共文化服务十佳案例”。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3、精品文艺创作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原创大型儿童剧《今天我是升旗手》在获得第九届全国优秀儿童戏剧展演优秀剧目、入围江苏艺术基金2023年度资助项目、获2023紫金文化艺术节优秀剧目特别奖。24件舞台类作品、13件静态类作品进入第七届无锡市群芳奖终评,最终获得舞台艺术类作品获10金9银6铜，美术书法类作品5件获奖、4件入展的佳绩。参与第十届江阴市芙蓉花奖评比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4、参与策划市级重大文化活动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组织参与策划第二十七届“书香江阴”读书节开幕式、徐霞客国际旅游节开幕式演出、江苏省老年体育节开幕式演出、市民文化节开幕式、第四届江阴发展大会暨2023经贸洽谈会文艺演出、江阴青年音乐节“我和我的乐队”第四季优秀乐队展演等市级重大文化活动。</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江阴市公共文化艺术发展中心</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江阴市公共文化艺术发展中心</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1,898.90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1,425.11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131.39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341.40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1,898.90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1,899.39</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0.56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0.07</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1,899.46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1,899.46</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1,898.90</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1,898.90</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一般公共服务支出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群众团体事务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2012999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其他群众团体事务支出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1,424.62</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1,424.62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文化和旅游</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1,359.85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1,359.85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文化活动</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15.27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群众文化</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1,216.29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1,216.29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2070199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其他文化和旅游支出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128.29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128.29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64.77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64.77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2079902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宣传文化发展专项支出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9.99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2079999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其他文化旅游体育与传媒支出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54.78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54.78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131.39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131.39</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行政事业单位养老支出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103.81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103.81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2080505</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机关事业单位基本养老保险缴费支出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69.21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69.21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2080506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机关事业单位职业年金缴费支出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34.60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34.60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2089999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其他社会保障和就业支出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27.58</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27.58</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341.40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341.40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341.40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341.40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73.04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73.04</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162.51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162.51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购房补贴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105.86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105.86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1,899.39</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1,480.46</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418.93</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一般公共服务支出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群众团体事务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2012999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其他群众团体事务支出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1,425.11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1,007.67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417.44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文化和旅游</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1,360.34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1,007.67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352.67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文化活动</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15.27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群众文化</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1,216.78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1,007.67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209.11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2070199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其他文化和旅游支出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128.29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64.77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64.77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2079902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宣传文化发展专项支出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9.99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2079999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其他文化旅游体育与传媒支出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54.78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54.78</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131.39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131.39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行政事业单位养老支出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103.81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103.81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2080505</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机关事业单位基本养老保险缴费支出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69.21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69.21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2080506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机关事业单位职业年金缴费支出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34.60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34.60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2089999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其他社会保障和就业支出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27.58</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27.58</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341.40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341.40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341.40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341.40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73.04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73.04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162.51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162.51</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购房补贴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105.86</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105.86</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江阴市公共文化艺术发展中心</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1,898.90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1,425.11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1,425.11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131.39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131.39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341.40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1,898.90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1,899.39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1,899.39</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0.56</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0.07</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0.07</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0.56</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1,899.46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1,899.46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1,899.46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1,899.39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1,480.46</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418.93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群众团体事务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2012999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其他群众团体事务支出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1,425.11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417.44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文化和旅游</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1,360.34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352.67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文化活动</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群众文化</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1,216.78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1,007.67</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209.11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2070199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其他文化和旅游支出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128.29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64.77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2079902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宣传文化发展专项支出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2079999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其他文化旅游体育与传媒支出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54.78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131.39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131.39</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行政事业单位养老支出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103.81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机关事业单位基本养老保险缴费支出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69.21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机关事业单位职业年金缴费支出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34.60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其他社会保障和就业支出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27.58</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27.58</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住房改革支出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341.40</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住房公积金</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73.04</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73.04</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提租补贴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162.51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162.51</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购房补贴</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105.86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105.86</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江阴市公共文化艺术发展中心</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1,480.46</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1,428.74</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201.52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34.17</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370.50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156.11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156.11</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1,899.39</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1,480.46</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418.93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一般公共服务支出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群众团体事务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2012999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其他群众团体事务支出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1,425.11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1,007.67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417.44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文化和旅游</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1,360.34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1,007.67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352.67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文化活动</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15.27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群众文化</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1,216.78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1,007.67</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209.11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2070199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其他文化和旅游支出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128.29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64.77</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2079902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宣传文化发展专项支出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9.99</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2079999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其他文化旅游体育与传媒支出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54.78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131.39</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131.39</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行政事业单位养老支出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103.81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2080505</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2080506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机关事业单位职业年金缴费支出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2089999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其他社会保障和就业支出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27.58</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住房保障支出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住房改革支出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341.40</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提租补贴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162.51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162.51</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2210203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购房补贴</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105.86</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1,480.46</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1,428.74</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1,272.63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150.12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201.52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201.52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34.17</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129.03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69.21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34.60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23.64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73.04</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370.50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370.50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9.82</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0.89</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0.43</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4.57</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7.48</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8.10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5.60</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12.06</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156.11</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156.11</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1.15</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8.99</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8.10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8.10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0.89</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0.28</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8.99</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8.10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8.10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0.89</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0.28</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4</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99</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0</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5</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江阴市公共文化艺术发展中心</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84.35</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2023年度收入、支出决算总计1,899.46万元。与上年相比，收、支总计各减少518.12万元，减少21.43%。其中：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（一）收入决算总计1,899.46万元。包括：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1.本年收入决算合计1,898.9万元。与上年相比，减少518.1万元，减少21.44%，变动原因：单位专项经费压减，项目经费减少。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3.年初结转和结余0.56万元。与上年相比，减少0.02万元，减少3.45%，变动原因：支付代扣代缴的人员经费。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（二）支出决算总计1,899.46万元。包括：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1.本年支出决算合计1,899.39万元。与上年相比，减少517.64万元，减少21.42%，变动原因：单位专项压减，项目经费支出减少。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3.年末结转和结余0.07万元。结转和结余事项：代扣代缴的人员经费。与上年相比，减少0.48万元，减少87.27%，变动原因：支付代扣代缴的人员经费。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1,898.9万元，其中：财政拨款收入1,898.9万元，占100%；上级补助收入0万元，占0%；财政专户管理教育收费0万元，占0%；事业收入（不含专户管理教育收费）0万元，占0%；经营收入0万元，占0%；附属单位上缴收入0万元，占0%；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2023年度本年支出决算合计1,899.39万元，其中：基本支出1,480.46万元，占77.94%；项目支出418.93万元，占22.06%；上缴上级支出0万元，占0%；经营支出0万元，占0%；对附属单位补助支出0万元，占0%。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2023年度财政拨款收入、支出决算总计1,899.46万元。与上年相比，收、支总计各减少518.12万元，减少21.43%，变动原因：单位专项经费压减，项目经费减少。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2023年度财政拨款支出决算1,899.39万元，占本年支出合计的100%。与2023年度财政拨款支出年初预算1,726.64万元相比，完成年初预算的110%。其中：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群众团体事务（款）其他群众团体事务支出（项）。年初预算0万元，支出决算1.49万元，（年初预算数为0万元，无法计算完成比率）决算数与年初预算数的差异原因：本年增加社科联课题研究费。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（二）文化旅游体育与传媒支出（类）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1.文化和旅游（款）文化活动（项）。年初预算0万元，支出决算15.27万元，（年初预算数为0万元，无法计算完成比率）决算数与年初预算数的差异原因：本年增加市民文化节系列活动等经费。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2.文化和旅游（款）群众文化（项）。年初预算1,241.02万元，支出决算1,216.78万元，完成年初预算的98.05%。决算数与年初预算数的差异原因：本年人员经费减少。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文化和旅游（款）其他文化和旅游支出（项）。年初预算10.37万元，支出决算128.29万元，完成年初预算的1,237.13%。决算数与年初预算数的差异原因：本年增加江苏省公共文化服务体系建设专项资金、物质文化和非物质文化遗产保护工程及文化发展专项资金、江苏省文化和旅游发展专项资金等项目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其他文化旅游体育与传媒支出（款）宣传文化发展专项支出（项）。年初预算0万元，支出决算9.99万元，（年初预算数为0万元，无法计算完成比率）决算数与年初预算数的差异原因：本年增加书香江阴活动开幕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其他文化旅游体育与传媒支出（款）其他文化旅游体育与传媒支出（项）。年初预算0万元，支出决算54.78万元，（年初预算数为0万元，无法计算完成比率）决算数与年初预算数的差异原因：本年增加大型儿童剧《今天我是升旗手》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1.行政事业单位养老支出（款）机关事业单位基本养老保险缴费支出（项）。年初预算64.52万元，支出决算69.21万元，完成年初预算的107.27%。决算数与年初预算数的差异原因：基数调整。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2.行政事业单位养老支出（款）机关事业单位职业年金缴费支出（项）。年初预算32.26万元，支出决算34.6万元，完成年初预算的107.25%。决算数与年初预算数的差异原因：基数调整。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3.其他社会保障和就业支出（款）其他社会保障和就业支出（项）。年初预算30.25万元，支出决算27.58万元，完成年初预算的91.17%。决算数与年初预算数的差异原因：在职人员转退休。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1.住房改革支出（款）住房公积金（项）。年初预算74.15万元，支出决算73.04万元，完成年初预算的98.5%。决算数与年初预算数的差异原因：在职人员转退休。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2.住房改革支出（款）提租补贴（项）。年初预算174.16万元，支出决算162.51万元，完成年初预算的93.31%。决算数与年初预算数的差异原因：在职人员转退休。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3.住房改革支出（款）购房补贴（项）。年初预算99.91万元，支出决算105.86万元，完成年初预算的105.96%。决算数与年初预算数的差异原因：新进人员增加。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2023年度财政拨款基本支出决算1,480.46万元，其中：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（一）人员经费1,428.74万元。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（二）公用经费51.72万元。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主要包括：办公费、印刷费、邮电费、差旅费、培训费、公务接待费、劳务费、委托业务费、工会经费、公务用车运行维护费、其他交通费用、其他商品和服务支出。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2023年度一般公共预算财政拨款支出决算1,899.39万元。与上年相比，减少517.64万元，减少21.42%，变动原因：单位专项经费压减，项目经费减少。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2023年度一般公共预算财政拨款基本支出决算1,480.46万元，其中：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（一）人员经费1,428.74万元。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奖金、伙食补助费、绩效工资、机关事业单位基本养老保险缴费、职业年金缴费、职工基本医疗保险缴费、其他社会保障缴费、住房公积金、医疗费、其他工资福利支出、退休费、抚恤金、生活补助、其他对个人和家庭的补助。</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（二）公用经费51.72万元。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主要包括：办公费、印刷费、邮电费、差旅费、培训费、公务接待费、劳务费、委托业务费、工会经费、公务用车运行维护费、其他交通费用、其他商品和服务支出。</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8.99万元（其中：一般公共预算支出8.99万元；政府性基金预算支出0万元；国有资本经营预算支出0万元）。与上年相比，增加8.64万元，变动原因：本年公务用车运行维护费支出和公务接待费支出增加。其中，因公出国（境）费支出0万元，占“三公”经费的0%；公务用车购置及运行维护费支出8.1万元，占“三公”经费的90.1%；公务接待费支出0.89万元，占“三公”经费的9.9%。2023年度财政拨款“三公”经费支出预算8.99万元（其中：一般公共预算支出8.99万元；政府性基金预算支出0万元；国有资本经营预算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8.1万元（其中：一般公共预算支出8.1万元；政府性基金预算支出0万元；国有资本经营预算支出0万元），支出决算8.1万元（其中：一般公共预算支出8.1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8.1万元。公务用车运行维护费主要用于按规定保留的公务用车的燃料费、维修费、过桥过路费、保险费、安全奖励费用等支出。截至2023年12月31日，使用财政拨款开支的公务用车保有量为5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0.89万元（其中：一般公共预算支出0.89万元；政府性基金预算支出0万元；国有资本经营预算支出0万元），支出决算0.89万元（其中：一般公共预算支出0.89万元；政府性基金预算支出0万元；国有资本经营预算支出0万元），完成调整后预算的100%，决算数与预算数相同。其中：国内公务接待支出0.89万元，接待4批次，99人次，开支内容：学习交流等餐费支出；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0.28万元（其中：一般公共预算支出0.28万元；政府性基金预算支出0万元；国有资本经营预算支出0万元），支出决算0.28万元（其中：一般公共预算支出0.28万元；政府性基金预算支出0万元；国有资本经营预算支出0万元），完成调整后预算的100%，决算数与预算数相同。2023年度全年组织培训3个，组织培训5人次，开支内容：业务培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84.35万元，其中：政府采购货物支出84.35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5辆，其中：副部(省)级及以上领导用车0辆、主要领导干部用车0辆、机要通信用车0辆、应急保障用车0辆、执法执勤用车0辆、特种专业技术用车0辆、离退休干部用车0辆、其他用车5辆；单价50万元（含）以上的通用设备2台（套），单价100万元（含）以上的专用设备2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本单位共对2023年度已实施完成的5个项目开展了绩效自评价，涉及财政性资金合计219.29万元；本单位共开展1项单位整体支出绩效自评价，涉及财政性资金合计1,899.39万元。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十九、一般公共服务支出(类)群众团体事务(款)其他群众团体事务支出(项)</w:t>
      </w:r>
      <w:r>
        <w:rPr>
          <w:rFonts w:ascii="仿宋" w:hAnsi="仿宋" w:cs="仿宋" w:eastAsia="仿宋"/>
          <w:b w:val="true"/>
        </w:rPr>
        <w:t>：</w:t>
      </w:r>
      <w:r>
        <w:rPr>
          <w:rFonts w:hint="eastAsia" w:ascii="仿宋" w:hAnsi="仿宋" w:eastAsia="仿宋" w:cs="仿宋"/>
        </w:rPr>
        <w:t>反映除上述项目以外其他用于群众团体事务方面的支出。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二十、文化旅游体育与传媒支出(类)文化和旅游(款)文化活动(项)</w:t>
      </w:r>
      <w:r>
        <w:rPr>
          <w:rFonts w:ascii="仿宋" w:hAnsi="仿宋" w:cs="仿宋" w:eastAsia="仿宋"/>
          <w:b w:val="true"/>
        </w:rPr>
        <w:t>：</w:t>
      </w:r>
      <w:r>
        <w:rPr>
          <w:rFonts w:hint="eastAsia" w:ascii="仿宋" w:hAnsi="仿宋" w:eastAsia="仿宋" w:cs="仿宋"/>
        </w:rPr>
        <w:t>反映举办大型文化艺术活动的支出。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二十一、文化旅游体育与传媒支出(类)文化和旅游(款)群众文化(项)</w:t>
      </w:r>
      <w:r>
        <w:rPr>
          <w:rFonts w:ascii="仿宋" w:hAnsi="仿宋" w:cs="仿宋" w:eastAsia="仿宋"/>
          <w:b w:val="true"/>
        </w:rPr>
        <w:t>：</w:t>
      </w:r>
      <w:r>
        <w:rPr>
          <w:rFonts w:hint="eastAsia" w:ascii="仿宋" w:hAnsi="仿宋" w:eastAsia="仿宋" w:cs="仿宋"/>
        </w:rPr>
        <w:t>反映群众文化方面的支出，包括基层文化馆（站）、群众艺术馆支出等。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二十二、文化旅游体育与传媒支出(类)文化和旅游(款)其他文化和旅游支出(项)</w:t>
      </w:r>
      <w:r>
        <w:rPr>
          <w:rFonts w:ascii="仿宋" w:hAnsi="仿宋" w:cs="仿宋" w:eastAsia="仿宋"/>
          <w:b w:val="true"/>
        </w:rPr>
        <w:t>：</w:t>
      </w:r>
      <w:r>
        <w:rPr>
          <w:rFonts w:hint="eastAsia" w:ascii="仿宋" w:hAnsi="仿宋" w:eastAsia="仿宋" w:cs="仿宋"/>
        </w:rPr>
        <w:t>反映除上述项目以外其他用于文化和旅游方面的支出。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二十三、文化旅游体育与传媒支出(类)其他文化旅游体育与传媒支出(款)宣传文化发展专项支出(项)</w:t>
      </w:r>
      <w:r>
        <w:rPr>
          <w:rFonts w:ascii="仿宋" w:hAnsi="仿宋" w:cs="仿宋" w:eastAsia="仿宋"/>
          <w:b w:val="true"/>
        </w:rPr>
        <w:t>：</w:t>
      </w:r>
      <w:r>
        <w:rPr>
          <w:rFonts w:hint="eastAsia" w:ascii="仿宋" w:hAnsi="仿宋" w:eastAsia="仿宋" w:cs="仿宋"/>
        </w:rPr>
        <w:t>反映按照国家有关政策支持宣传文化单位发展的专项支出。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二十四、文化旅游体育与传媒支出(类)其他文化旅游体育与传媒支出(款)其他文化旅游体育与传媒支出(项)</w:t>
      </w:r>
      <w:r>
        <w:rPr>
          <w:rFonts w:ascii="仿宋" w:hAnsi="仿宋" w:cs="仿宋" w:eastAsia="仿宋"/>
          <w:b w:val="true"/>
        </w:rPr>
        <w:t>：</w:t>
      </w:r>
      <w:r>
        <w:rPr>
          <w:rFonts w:hint="eastAsia" w:ascii="仿宋" w:hAnsi="仿宋" w:eastAsia="仿宋" w:cs="仿宋"/>
        </w:rPr>
        <w:t>反映除上述项目以外其他用于文化旅游体育与传媒方面的支出。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江阴市公共文化艺术发展中心</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