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pPr>
              <w:pStyle w:val="8"/>
              <w:spacing w:line="360" w:lineRule="auto"/>
              <w:rPr>
                <w:rFonts w:hint="eastAsia" w:ascii="仿宋" w:hAnsi="仿宋" w:eastAsia="仿宋" w:cs="仿宋"/>
                <w:b/>
                <w:bCs/>
                <w:color w:val="FF0000"/>
                <w:sz w:val="22"/>
                <w:szCs w:val="22"/>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top"/>
          </w:tcPr>
          <w:p>
            <w:pPr>
              <w:ind w:right="284" w:rightChars="129"/>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2023年度</w:t>
              <w:br w:type="textWrapping"/>
              <w:t/>
            </w:r>
            <w:r>
              <w:rPr>
                <w:rFonts w:ascii="宋体" w:hAnsi="宋体" w:cs="宋体" w:eastAsia="宋体"/>
                <w:b w:val="true"/>
                <w:sz w:val="52"/>
              </w:rPr>
              <w:t>江阴市业余体育学校</w:t>
            </w:r>
            <w:r>
              <w:rPr>
                <w:rFonts w:ascii="宋体" w:hAnsi="宋体" w:cs="宋体" w:eastAsia="宋体"/>
                <w:b w:val="true"/>
                <w:sz w:val="52"/>
              </w:rPr>
              <w:t xml:space="preserve"></w:t>
              <w:br w:type="textWrapping"/>
              <w:t>单位决算公开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tabs>
          <w:tab w:val="left" w:pos="880"/>
        </w:tabs>
        <w:spacing w:line="718" w:lineRule="exact"/>
        <w:ind w:right="313" w:firstLine="0"/>
        <w:outlineLvl w:val="0"/>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spacing w:before="7" w:after="0"/>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outlineLvl w:val="0"/>
        <w:rPr>
          <w:rFonts w:hint="eastAsia" w:ascii="黑体" w:hAnsi="黑体" w:eastAsia="黑体" w:cs="黑体"/>
          <w:b w:val="0"/>
          <w:bCs w:val="0"/>
        </w:rPr>
      </w:pPr>
      <w:r>
        <w:rPr>
          <w:rFonts w:hint="eastAsia" w:ascii="黑体" w:hAnsi="黑体" w:eastAsia="黑体" w:cs="黑体"/>
          <w:b w:val="0"/>
          <w:bCs w:val="0"/>
        </w:rPr>
        <w:t xml:space="preserve">第一部分 </w:t>
      </w:r>
      <w:r>
        <w:rPr>
          <w:rFonts w:hint="eastAsia" w:ascii="黑体" w:hAnsi="黑体" w:eastAsia="黑体" w:cs="黑体"/>
          <w:b w:val="0"/>
          <w:bCs w:val="0"/>
          <w:lang w:val="en-US" w:eastAsia="zh-CN"/>
        </w:rPr>
        <w:t>单位</w:t>
      </w:r>
      <w:r>
        <w:rPr>
          <w:rFonts w:hint="eastAsia" w:ascii="黑体" w:hAnsi="黑体" w:eastAsia="黑体" w:cs="黑体"/>
          <w:b w:val="0"/>
          <w:bCs w:val="0"/>
        </w:rPr>
        <w:t>概况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机构设置及决算单位构成情况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w:t>
      </w:r>
      <w:r>
        <w:rPr>
          <w:rFonts w:hint="eastAsia" w:ascii="仿宋" w:hAnsi="仿宋" w:eastAsia="仿宋" w:cs="仿宋"/>
          <w:lang w:val="en-US" w:eastAsia="zh-CN"/>
        </w:rPr>
        <w:t>3</w:t>
      </w:r>
      <w:r>
        <w:rPr>
          <w:rFonts w:hint="eastAsia" w:ascii="仿宋" w:hAnsi="仿宋" w:eastAsia="仿宋" w:cs="仿宋"/>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rPr>
      </w:pPr>
      <w:r>
        <w:rPr>
          <w:rFonts w:hint="eastAsia" w:ascii="黑体" w:hAnsi="黑体" w:eastAsia="黑体" w:cs="黑体"/>
          <w:b w:val="0"/>
          <w:bCs w:val="0"/>
          <w:lang w:val="en-US" w:eastAsia="zh-CN"/>
        </w:rPr>
        <w:t>第二部分 2023年度</w:t>
      </w:r>
      <w:r>
        <w:rPr>
          <w:rFonts w:ascii="黑体" w:hAnsi="黑体" w:cs="黑体" w:eastAsia="黑体"/>
        </w:rPr>
        <w:t>单位</w:t>
      </w:r>
      <w:r>
        <w:rPr>
          <w:rFonts w:ascii="黑体" w:hAnsi="黑体" w:cs="黑体" w:eastAsia="黑体"/>
        </w:rPr>
        <w:t>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spacing w:val="-2"/>
        </w:rPr>
        <w:t>一、收入支出决算总表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rPr>
        <w:t>二、收入决算表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w w:val="95"/>
        </w:rPr>
        <w:t>三、支出决算表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六、财政拨款基本支出决算表（经济科目） 七、一般公共预算支出决算表（功能科目）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eastAsia="zh-CN"/>
        </w:rPr>
        <w:t>财政拨款</w:t>
      </w:r>
      <w:r>
        <w:rPr>
          <w:rFonts w:hint="eastAsia" w:ascii="仿宋" w:hAnsi="仿宋" w:eastAsia="仿宋" w:cs="仿宋"/>
        </w:rPr>
        <w:t>“三公”经费、会议费、培训费支出决算表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default" w:ascii="仿宋" w:hAnsi="仿宋" w:eastAsia="仿宋" w:cs="仿宋"/>
          <w:lang w:val="en-US" w:eastAsia="zh-CN"/>
        </w:rPr>
      </w:pPr>
      <w:r>
        <w:rPr>
          <w:rFonts w:hint="eastAsia" w:ascii="仿宋" w:hAnsi="仿宋" w:eastAsia="仿宋" w:cs="仿宋"/>
        </w:rPr>
        <w:t>十一、</w:t>
      </w:r>
      <w:r>
        <w:rPr>
          <w:rFonts w:hint="eastAsia" w:ascii="仿宋" w:hAnsi="仿宋" w:eastAsia="仿宋" w:cs="仿宋"/>
          <w:lang w:val="en-US" w:eastAsia="zh-CN"/>
        </w:rPr>
        <w:t>国有资本经营预算支出决算表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w:t>
      </w:r>
      <w:r>
        <w:rPr>
          <w:rFonts w:hint="eastAsia" w:ascii="仿宋" w:hAnsi="仿宋" w:eastAsia="仿宋" w:cs="仿宋"/>
          <w:lang w:val="en-US" w:eastAsia="zh-CN"/>
        </w:rPr>
        <w:t>财政拨款</w:t>
      </w:r>
      <w:r>
        <w:rPr>
          <w:rFonts w:hint="eastAsia" w:ascii="仿宋" w:hAnsi="仿宋" w:eastAsia="仿宋" w:cs="仿宋"/>
        </w:rPr>
        <w:t>机关运行经费支出决算表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第三部分 2023年度</w:t>
      </w:r>
      <w:r>
        <w:rPr>
          <w:rFonts w:ascii="黑体" w:hAnsi="黑体" w:cs="黑体" w:eastAsia="黑体"/>
        </w:rPr>
        <w:t>单位</w:t>
      </w:r>
      <w:r>
        <w:rPr>
          <w:rFonts w:ascii="黑体" w:hAnsi="黑体" w:cs="黑体" w:eastAsia="黑体"/>
        </w:rPr>
        <w:t>决算情况说明</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default" w:ascii="仿宋" w:hAnsi="仿宋" w:eastAsia="仿宋" w:cs="仿宋"/>
          <w:b/>
          <w:bCs/>
          <w:color w:val="000000"/>
          <w:sz w:val="30"/>
          <w:szCs w:val="30"/>
          <w:lang w:val="en-US" w:eastAsia="zh-CN" w:bidi="ar"/>
        </w:rPr>
      </w:pPr>
      <w:r>
        <w:rPr>
          <w:rFonts w:hint="eastAsia" w:ascii="黑体" w:hAnsi="黑体" w:eastAsia="黑体" w:cs="黑体"/>
          <w:b w:val="0"/>
          <w:bCs w:val="0"/>
          <w:lang w:val="en-US" w:eastAsia="zh-CN"/>
        </w:rPr>
        <w:t>第四部分 名词解释</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700" w:bottom="770" w:left="1020" w:header="283"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outlineLvl w:val="0"/>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eastAsia="zh-CN"/>
        </w:rPr>
        <w:t xml:space="preserve"> </w:t>
      </w:r>
      <w:r>
        <w:rPr>
          <w:rFonts w:hint="eastAsia" w:ascii="宋体" w:hAnsi="宋体" w:eastAsia="宋体" w:cs="宋体"/>
          <w:b/>
          <w:bCs/>
        </w:rPr>
        <w:t>单位</w:t>
      </w:r>
      <w:r>
        <w:rPr>
          <w:rFonts w:hint="eastAsia" w:ascii="宋体" w:hAnsi="宋体" w:eastAsia="宋体" w:cs="宋体"/>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主要负责业余体育训练、竞赛和培训输送体育人才。</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二、</w:t>
      </w:r>
      <w:r>
        <w:rPr>
          <w:rFonts w:ascii="黑体" w:hAnsi="黑体" w:cs="黑体" w:eastAsia="黑体"/>
        </w:rPr>
        <w:t>单位</w:t>
      </w:r>
      <w:r>
        <w:rPr>
          <w:rFonts w:hint="eastAsia" w:ascii="黑体" w:hAnsi="黑体" w:eastAsia="黑体" w:cs="黑体"/>
          <w:b w:val="0"/>
          <w:bCs w:val="0"/>
        </w:rPr>
        <w:t>机构设置及决算单位构成情况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本单位无内设机构。</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三、</w:t>
      </w:r>
      <w:r>
        <w:rPr>
          <w:rFonts w:hint="eastAsia" w:ascii="黑体" w:hAnsi="黑体" w:eastAsia="黑体" w:cs="黑体"/>
          <w:b w:val="0"/>
          <w:bCs w:val="0"/>
          <w:lang w:eastAsia="zh-CN"/>
        </w:rPr>
        <w:t>202</w:t>
      </w:r>
      <w:r>
        <w:rPr>
          <w:rFonts w:hint="eastAsia" w:ascii="黑体" w:hAnsi="黑体" w:eastAsia="黑体" w:cs="黑体"/>
          <w:b w:val="0"/>
          <w:bCs w:val="0"/>
          <w:lang w:val="en-US" w:eastAsia="zh-CN"/>
        </w:rPr>
        <w:t>3</w:t>
      </w:r>
      <w:r>
        <w:rPr>
          <w:rFonts w:hint="eastAsia" w:ascii="黑体" w:hAnsi="黑体" w:eastAsia="黑体" w:cs="黑体"/>
          <w:b w:val="0"/>
          <w:bCs w:val="0"/>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2023年体校共获得亚运会银牌一枚、亚洲青年田径锦标赛金牌一枚、国家级比赛银牌2枚、铜牌4枚，省级金牌40枚、银牌35枚、铜牌42枚，输送省优秀运动队1人、省三线9人。对照省县级体育考核要求做好各项工作，按照比赛计划我们完成了七个项目的比赛任务，乒乓球、游泳、体适能，羽毛球、篮球、跆拳道和田径项目，乒乓球以团体总分158分排第一名、游泳以团体总分183排第二名、体适能以团体总分44分排第三名、羽毛球第七名、篮球第九名、田径排第十名、跆拳道排第十九名，按要求取最好的五个项目成绩进行计分，我们以总分303排名苏南区第三，第一张家港313分、第二宜兴310分。</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体校输送的运动员在杭州亚运会女子垒球比赛中，我校运动员陈佳代表中国出赛获得亚军。田径运动员黄娜在韩国举行的2013亚洲U-20田径青年锦标赛比赛中获得4*100米接力冠军。足球运动员黎明、刘诚宇代表中国青年队参加在泰国举行的亚洲青年足球锦标赛。运动员许紫春获得在深圳举行的全国拳击锦标赛冠军。</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283"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outlineLvl w:val="0"/>
        <w:rPr>
          <w:rFonts w:hint="eastAsia" w:ascii="宋体" w:hAnsi="宋体" w:eastAsia="宋体" w:cs="宋体"/>
          <w:b/>
          <w:bCs/>
          <w:sz w:val="36"/>
          <w:szCs w:val="36"/>
          <w:lang w:val="en-US" w:eastAsia="zh-CN"/>
        </w:rPr>
      </w:pPr>
      <w:r>
        <w:rPr>
          <w:rFonts w:hint="eastAsia" w:ascii="宋体" w:hAnsi="宋体" w:eastAsia="宋体" w:cs="宋体"/>
          <w:b/>
          <w:bCs/>
          <w:sz w:val="36"/>
          <w:szCs w:val="36"/>
        </w:rPr>
        <w:t>第二部分</w:t>
      </w:r>
    </w:p>
    <w:p>
      <w:pPr>
        <w:pStyle w:val="21"/>
        <w:widowControl w:val="0"/>
        <w:tabs>
          <w:tab w:val="left" w:pos="1609"/>
        </w:tabs>
        <w:suppressAutoHyphens/>
        <w:bidi w:val="0"/>
        <w:spacing w:before="12" w:after="0"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u w:val="none"/>
        </w:rPr>
        <w:t>江阴市业余体育学校</w:t>
      </w:r>
    </w:p>
    <w:p>
      <w:pPr>
        <w:pStyle w:val="21"/>
        <w:widowControl w:val="0"/>
        <w:tabs>
          <w:tab w:val="left" w:pos="1609"/>
        </w:tabs>
        <w:suppressAutoHyphens/>
        <w:bidi w:val="0"/>
        <w:spacing w:before="12" w:after="0"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w:t>
      </w:r>
      <w:r>
        <w:rPr>
          <w:rFonts w:hint="eastAsia" w:ascii="宋体" w:hAnsi="宋体" w:eastAsia="宋体" w:cs="宋体"/>
          <w:b/>
          <w:bCs/>
          <w:sz w:val="36"/>
          <w:szCs w:val="36"/>
          <w:lang w:val="en-US" w:eastAsia="zh-CN"/>
        </w:rPr>
        <w:t>3</w:t>
      </w:r>
      <w:r>
        <w:rPr>
          <w:rFonts w:hint="eastAsia" w:ascii="宋体" w:hAnsi="宋体" w:eastAsia="宋体" w:cs="宋体"/>
          <w:b/>
          <w:bCs/>
          <w:sz w:val="36"/>
          <w:szCs w:val="36"/>
        </w:rPr>
        <w:t>年度</w:t>
      </w:r>
      <w:r>
        <w:rPr>
          <w:rFonts w:hint="eastAsia" w:ascii="宋体" w:hAnsi="宋体" w:eastAsia="宋体" w:cs="宋体"/>
          <w:b/>
          <w:bCs/>
          <w:sz w:val="36"/>
          <w:szCs w:val="36"/>
          <w:lang w:val="en-US" w:eastAsia="zh-CN"/>
        </w:rPr>
        <w:t>单位</w:t>
      </w:r>
      <w:r>
        <w:rPr>
          <w:rFonts w:ascii="宋体" w:hAnsi="宋体" w:cs="宋体" w:eastAsia="宋体"/>
          <w:b w:val="true"/>
          <w:sz w:val="36"/>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tblPrEx>
          <w:tblCellMar>
            <w:top w:w="0" w:type="dxa"/>
            <w:left w:w="108" w:type="dxa"/>
            <w:bottom w:w="0" w:type="dxa"/>
            <w:right w:w="108" w:type="dxa"/>
          </w:tblCellMar>
        </w:tblPrEx>
        <w:trPr>
          <w:trHeight w:val="544" w:hRule="atLeast"/>
          <w:jc w:val="center"/>
        </w:trPr>
        <w:tc>
          <w:tcPr>
            <w:tcW w:w="10447" w:type="dxa"/>
            <w:gridSpan w:val="5"/>
          </w:tcPr>
          <w:p>
            <w:pPr>
              <w:pageBreakBefore/>
              <w:widowControl w:val="0"/>
              <w:ind w:left="0" w:right="0" w:firstLine="0"/>
              <w:jc w:val="center"/>
              <w:textAlignment w:val="auto"/>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tblPrEx>
          <w:tblCellMar>
            <w:top w:w="0" w:type="dxa"/>
            <w:left w:w="108" w:type="dxa"/>
            <w:bottom w:w="0" w:type="dxa"/>
            <w:right w:w="108" w:type="dxa"/>
          </w:tblCellMar>
        </w:tblPrEx>
        <w:trPr>
          <w:trHeight w:val="348" w:hRule="atLeast"/>
          <w:jc w:val="center"/>
        </w:trPr>
        <w:tc>
          <w:tcPr>
            <w:tcW w:w="3468" w:type="dxa"/>
          </w:tcPr>
          <w:p>
            <w:pPr>
              <w:widowControl w:val="0"/>
              <w:ind w:left="0" w:right="0" w:firstLine="0"/>
              <w:jc w:val="left"/>
              <w:textAlignment w:val="auto"/>
              <w:rPr>
                <w:rFonts w:hint="eastAsia" w:ascii="仿宋" w:hAnsi="仿宋" w:eastAsia="仿宋" w:cs="仿宋"/>
                <w:color w:val="000000"/>
                <w:sz w:val="20"/>
              </w:rPr>
            </w:pPr>
          </w:p>
        </w:tc>
        <w:tc>
          <w:tcPr>
            <w:tcW w:w="1777" w:type="dxa"/>
          </w:tcPr>
          <w:p>
            <w:pPr>
              <w:widowControl w:val="0"/>
              <w:ind w:left="0" w:right="0" w:firstLine="0"/>
              <w:jc w:val="left"/>
              <w:textAlignment w:val="auto"/>
              <w:rPr>
                <w:rFonts w:hint="eastAsia" w:ascii="仿宋" w:hAnsi="仿宋" w:eastAsia="仿宋" w:cs="仿宋"/>
                <w:color w:val="000000"/>
                <w:sz w:val="20"/>
              </w:rPr>
            </w:pPr>
          </w:p>
        </w:tc>
        <w:tc>
          <w:tcPr>
            <w:tcW w:w="5202" w:type="dxa"/>
            <w:gridSpan w:val="3"/>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color w:val="000000"/>
                <w:sz w:val="22"/>
                <w:szCs w:val="22"/>
                <w:lang w:eastAsia="ar-SA"/>
              </w:rPr>
              <w:t>江阴市业余体育学校</w:t>
            </w:r>
          </w:p>
        </w:tc>
        <w:tc>
          <w:tcPr>
            <w:tcW w:w="3167"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rPr>
              <w:t>金额单位：万元</w:t>
            </w:r>
          </w:p>
        </w:tc>
      </w:tr>
      <w:tr>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支出</w:t>
            </w:r>
          </w:p>
        </w:tc>
      </w:tr>
      <w:tr>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ascii="仿宋" w:hAnsi="仿宋" w:cs="仿宋" w:eastAsia="仿宋"/>
                <w:color w:val="000000"/>
                <w:sz w:val="22"/>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441.07</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88.50</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288.53</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46.89</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105.90</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88.50</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529.57</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529.81</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0.24</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r>
      <w:tr>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777"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3376" w:type="dxa"/>
            <w:gridSpan w:val="2"/>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826"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r>
      <w:tr>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529.81</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529.81</w:t>
            </w:r>
          </w:p>
        </w:tc>
      </w:tr>
    </w:tbl>
    <w:p>
      <w:pPr>
        <w:widowControl w:val="0"/>
        <w:suppressAutoHyphens/>
        <w:bidi w:val="0"/>
        <w:spacing w:before="66" w:after="0"/>
        <w:ind w:left="0" w:leftChars="0" w:right="0" w:rightChars="0" w:firstLine="0" w:firstLineChars="0"/>
        <w:jc w:val="both"/>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注：本表反映本年度的总收支和年末结转结余情况。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color w:val="000000"/>
          <w:sz w:val="22"/>
          <w:szCs w:val="22"/>
          <w:lang w:val="en-US" w:eastAsia="zh-CN"/>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right="0"/>
        <w:jc w:val="both"/>
        <w:rPr>
          <w:rFonts w:hint="eastAsia" w:ascii="仿宋" w:hAnsi="仿宋" w:eastAsia="仿宋" w:cs="仿宋"/>
          <w:b w:val="0"/>
          <w:bCs w:val="0"/>
          <w:color w:val="000000"/>
          <w:sz w:val="22"/>
          <w:szCs w:val="22"/>
        </w:rPr>
        <w:sectPr>
          <w:footerReference r:id="rId8"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tblPrEx>
          <w:tblCellMar>
            <w:top w:w="0" w:type="dxa"/>
            <w:left w:w="108" w:type="dxa"/>
            <w:bottom w:w="0" w:type="dxa"/>
            <w:right w:w="108" w:type="dxa"/>
          </w:tblCellMar>
        </w:tblPrEx>
        <w:trPr>
          <w:trHeight w:val="403" w:hRule="atLeast"/>
          <w:jc w:val="center"/>
        </w:trPr>
        <w:tc>
          <w:tcPr>
            <w:tcW w:w="16660" w:type="dxa"/>
            <w:gridSpan w:val="10"/>
            <w:vAlign w:val="center"/>
          </w:tcPr>
          <w:p>
            <w:pPr>
              <w:pStyle w:val="5"/>
              <w:widowControl w:val="0"/>
              <w:rPr>
                <w:rFonts w:hint="eastAsia" w:ascii="仿宋" w:hAnsi="仿宋" w:eastAsia="仿宋" w:cs="仿宋"/>
                <w:b/>
                <w:bCs/>
                <w:sz w:val="44"/>
                <w:szCs w:val="44"/>
                <w:lang w:val="en-US" w:eastAsia="zh-CN"/>
              </w:rPr>
            </w:pPr>
            <w:r>
              <w:rPr>
                <w:rFonts w:hint="eastAsia" w:ascii="宋体" w:hAnsi="宋体" w:eastAsia="宋体" w:cs="宋体"/>
                <w:b/>
                <w:bCs/>
                <w:color w:val="000000"/>
                <w:kern w:val="0"/>
                <w:sz w:val="36"/>
                <w:szCs w:val="36"/>
                <w:lang w:val="zh-CN" w:eastAsia="ar-SA" w:bidi="zh-CN"/>
              </w:rPr>
              <w:t>收入决算表</w:t>
            </w:r>
          </w:p>
        </w:tc>
      </w:tr>
      <w:tr>
        <w:tblPrEx>
          <w:tblCellMar>
            <w:top w:w="0" w:type="dxa"/>
            <w:left w:w="108" w:type="dxa"/>
            <w:bottom w:w="0" w:type="dxa"/>
            <w:right w:w="108" w:type="dxa"/>
          </w:tblCellMar>
        </w:tblPrEx>
        <w:trPr>
          <w:trHeight w:val="247" w:hRule="atLeast"/>
          <w:jc w:val="center"/>
        </w:trPr>
        <w:tc>
          <w:tcPr>
            <w:tcW w:w="4357" w:type="dxa"/>
            <w:gridSpan w:val="2"/>
            <w:vAlign w:val="center"/>
          </w:tcPr>
          <w:p>
            <w:pPr>
              <w:pStyle w:val="22"/>
              <w:widowControl w:val="0"/>
              <w:jc w:val="center"/>
              <w:rPr>
                <w:rFonts w:hint="eastAsia" w:ascii="仿宋" w:hAnsi="仿宋" w:eastAsia="仿宋" w:cs="仿宋"/>
              </w:rPr>
            </w:pPr>
          </w:p>
        </w:tc>
        <w:tc>
          <w:tcPr>
            <w:tcW w:w="1716" w:type="dxa"/>
            <w:vAlign w:val="center"/>
          </w:tcPr>
          <w:p>
            <w:pPr>
              <w:pStyle w:val="22"/>
              <w:widowControl w:val="0"/>
              <w:jc w:val="center"/>
              <w:rPr>
                <w:rFonts w:hint="eastAsia" w:ascii="仿宋" w:hAnsi="仿宋" w:eastAsia="仿宋" w:cs="仿宋"/>
              </w:rPr>
            </w:pPr>
          </w:p>
        </w:tc>
        <w:tc>
          <w:tcPr>
            <w:tcW w:w="1728" w:type="dxa"/>
            <w:vAlign w:val="center"/>
          </w:tcPr>
          <w:p>
            <w:pPr>
              <w:pStyle w:val="22"/>
              <w:widowControl w:val="0"/>
              <w:jc w:val="center"/>
              <w:rPr>
                <w:rFonts w:hint="eastAsia" w:ascii="仿宋" w:hAnsi="仿宋" w:eastAsia="仿宋" w:cs="仿宋"/>
              </w:rPr>
            </w:pPr>
          </w:p>
        </w:tc>
        <w:tc>
          <w:tcPr>
            <w:tcW w:w="1686" w:type="dxa"/>
            <w:vAlign w:val="center"/>
          </w:tcPr>
          <w:p>
            <w:pPr>
              <w:pStyle w:val="22"/>
              <w:widowControl w:val="0"/>
              <w:jc w:val="center"/>
              <w:rPr>
                <w:rFonts w:hint="eastAsia" w:ascii="仿宋" w:hAnsi="仿宋" w:eastAsia="仿宋" w:cs="仿宋"/>
              </w:rPr>
            </w:pPr>
          </w:p>
        </w:tc>
        <w:tc>
          <w:tcPr>
            <w:tcW w:w="3207" w:type="dxa"/>
            <w:gridSpan w:val="2"/>
            <w:vAlign w:val="center"/>
          </w:tcPr>
          <w:p>
            <w:pPr>
              <w:pStyle w:val="22"/>
              <w:widowControl w:val="0"/>
              <w:jc w:val="center"/>
              <w:rPr>
                <w:rFonts w:hint="eastAsia" w:ascii="仿宋" w:hAnsi="仿宋" w:eastAsia="仿宋" w:cs="仿宋"/>
              </w:rPr>
            </w:pPr>
          </w:p>
        </w:tc>
        <w:tc>
          <w:tcPr>
            <w:tcW w:w="1263" w:type="dxa"/>
            <w:vAlign w:val="center"/>
          </w:tcPr>
          <w:p>
            <w:pPr>
              <w:pStyle w:val="22"/>
              <w:widowControl w:val="0"/>
              <w:jc w:val="center"/>
              <w:rPr>
                <w:rFonts w:hint="eastAsia" w:ascii="仿宋" w:hAnsi="仿宋" w:eastAsia="仿宋" w:cs="仿宋"/>
              </w:rPr>
            </w:pPr>
          </w:p>
        </w:tc>
        <w:tc>
          <w:tcPr>
            <w:tcW w:w="2703"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公开02表</w:t>
            </w:r>
          </w:p>
        </w:tc>
      </w:tr>
      <w:tr>
        <w:tblPrEx>
          <w:tblCellMar>
            <w:top w:w="0" w:type="dxa"/>
            <w:left w:w="108" w:type="dxa"/>
            <w:bottom w:w="0" w:type="dxa"/>
            <w:right w:w="108" w:type="dxa"/>
          </w:tblCellMar>
        </w:tblPrEx>
        <w:trPr>
          <w:trHeight w:val="247" w:hRule="atLeast"/>
          <w:jc w:val="center"/>
        </w:trPr>
        <w:tc>
          <w:tcPr>
            <w:tcW w:w="13957" w:type="dxa"/>
            <w:gridSpan w:val="8"/>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江阴市业余体育学校</w:t>
            </w:r>
          </w:p>
        </w:tc>
        <w:tc>
          <w:tcPr>
            <w:tcW w:w="2703"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其他收入</w:t>
            </w:r>
          </w:p>
        </w:tc>
      </w:tr>
      <w:tr>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728"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68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75"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716"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529.57</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529.57</w:t>
            </w:r>
          </w:p>
        </w:tc>
        <w:tc>
          <w:tcPr>
            <w:tcW w:w="1686"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207</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文化旅游体育与传媒支出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288.29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288.29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20703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体育</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288.29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288.29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2070308</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群众体育</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288.29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288.29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46.89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46.89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行政事业单位养老支出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36.31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36.31</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机关事业单位基本养老保险缴费支出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24.13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24.13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2080506</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机关事业单位职业年金缴费支出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12.18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12.18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10.58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10.58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2089999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10.58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10.58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105.90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105.90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105.90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105.90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27.88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27.88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46.37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46.37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购房补贴</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31.65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31.65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其他支出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88.50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88.50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22960</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彩票公益金安排的支出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88.50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88.50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2296003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用于体育事业的彩票公益金支出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88.50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88.50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bl>
    <w:p>
      <w:pPr>
        <w:widowControl w:val="0"/>
        <w:suppressAutoHyphens/>
        <w:bidi w:val="0"/>
        <w:spacing w:before="66" w:after="0"/>
        <w:ind w:left="0" w:leftChars="0" w:right="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color w:val="000000"/>
          <w:sz w:val="22"/>
          <w:szCs w:val="22"/>
        </w:rPr>
        <w:t>注：</w:t>
      </w:r>
      <w:r>
        <w:rPr>
          <w:rFonts w:hint="eastAsia" w:ascii="仿宋" w:hAnsi="仿宋" w:eastAsia="仿宋" w:cs="仿宋"/>
          <w:b w:val="0"/>
          <w:bCs w:val="0"/>
          <w:sz w:val="22"/>
          <w:szCs w:val="22"/>
        </w:rPr>
        <w:t>本表反映本年度取得的各项收入情况。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left="57" w:right="0" w:firstLine="220" w:firstLineChars="100"/>
        <w:jc w:val="both"/>
        <w:rPr>
          <w:rFonts w:hint="eastAsia" w:ascii="仿宋" w:hAnsi="仿宋" w:eastAsia="仿宋" w:cs="仿宋"/>
          <w:b w:val="0"/>
          <w:bCs w:val="0"/>
          <w:sz w:val="22"/>
          <w:szCs w:val="22"/>
        </w:rPr>
        <w:sectPr>
          <w:footerReference r:id="rId9" w:type="default"/>
          <w:pgSz w:w="16838" w:h="11906" w:orient="landscape"/>
          <w:pgMar w:top="720" w:right="113" w:bottom="720" w:left="11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tblPrEx>
          <w:tblCellMar>
            <w:top w:w="55" w:type="dxa"/>
            <w:left w:w="55" w:type="dxa"/>
            <w:bottom w:w="55" w:type="dxa"/>
            <w:right w:w="55" w:type="dxa"/>
          </w:tblCellMar>
        </w:tblPrEx>
        <w:trPr>
          <w:trHeight w:val="532" w:hRule="atLeast"/>
        </w:trPr>
        <w:tc>
          <w:tcPr>
            <w:tcW w:w="15689" w:type="dxa"/>
            <w:gridSpan w:val="8"/>
            <w:vAlign w:val="center"/>
          </w:tcPr>
          <w:p>
            <w:pPr>
              <w:pStyle w:val="5"/>
              <w:widowControl w:val="0"/>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支出决算表</w:t>
            </w:r>
          </w:p>
        </w:tc>
      </w:tr>
      <w:tr>
        <w:tblPrEx>
          <w:tblCellMar>
            <w:top w:w="55" w:type="dxa"/>
            <w:left w:w="55" w:type="dxa"/>
            <w:bottom w:w="55" w:type="dxa"/>
            <w:right w:w="55" w:type="dxa"/>
          </w:tblCellMar>
        </w:tblPrEx>
        <w:trPr>
          <w:trHeight w:val="227" w:hRule="atLeast"/>
        </w:trPr>
        <w:tc>
          <w:tcPr>
            <w:tcW w:w="5115" w:type="dxa"/>
            <w:gridSpan w:val="2"/>
            <w:vAlign w:val="center"/>
          </w:tcPr>
          <w:p>
            <w:pPr>
              <w:pStyle w:val="22"/>
              <w:widowControl w:val="0"/>
              <w:jc w:val="center"/>
              <w:rPr>
                <w:rFonts w:hint="eastAsia" w:ascii="仿宋" w:hAnsi="仿宋" w:eastAsia="仿宋" w:cs="仿宋"/>
              </w:rPr>
            </w:pPr>
          </w:p>
        </w:tc>
        <w:tc>
          <w:tcPr>
            <w:tcW w:w="2164" w:type="dxa"/>
            <w:vAlign w:val="center"/>
          </w:tcPr>
          <w:p>
            <w:pPr>
              <w:pStyle w:val="22"/>
              <w:widowControl w:val="0"/>
              <w:spacing w:before="0" w:after="0"/>
              <w:ind w:firstLine="0"/>
              <w:jc w:val="center"/>
              <w:rPr>
                <w:rFonts w:hint="eastAsia" w:ascii="仿宋" w:hAnsi="仿宋" w:eastAsia="仿宋" w:cs="仿宋"/>
                <w:sz w:val="20"/>
              </w:rPr>
            </w:pPr>
          </w:p>
        </w:tc>
        <w:tc>
          <w:tcPr>
            <w:tcW w:w="1897" w:type="dxa"/>
            <w:vAlign w:val="center"/>
          </w:tcPr>
          <w:p>
            <w:pPr>
              <w:pStyle w:val="22"/>
              <w:widowControl w:val="0"/>
              <w:spacing w:before="0" w:after="0"/>
              <w:ind w:firstLine="0"/>
              <w:jc w:val="center"/>
              <w:rPr>
                <w:rFonts w:hint="eastAsia" w:ascii="仿宋" w:hAnsi="仿宋" w:eastAsia="仿宋" w:cs="仿宋"/>
                <w:sz w:val="20"/>
              </w:rPr>
            </w:pPr>
          </w:p>
        </w:tc>
        <w:tc>
          <w:tcPr>
            <w:tcW w:w="1739" w:type="dxa"/>
            <w:vAlign w:val="center"/>
          </w:tcPr>
          <w:p>
            <w:pPr>
              <w:pStyle w:val="22"/>
              <w:widowControl w:val="0"/>
              <w:spacing w:before="0" w:after="0"/>
              <w:ind w:firstLine="0"/>
              <w:jc w:val="center"/>
              <w:rPr>
                <w:rFonts w:hint="eastAsia" w:ascii="仿宋" w:hAnsi="仿宋" w:eastAsia="仿宋" w:cs="仿宋"/>
                <w:sz w:val="20"/>
              </w:rPr>
            </w:pPr>
          </w:p>
        </w:tc>
        <w:tc>
          <w:tcPr>
            <w:tcW w:w="1715" w:type="dxa"/>
            <w:vAlign w:val="center"/>
          </w:tcPr>
          <w:p>
            <w:pPr>
              <w:pStyle w:val="22"/>
              <w:widowControl w:val="0"/>
              <w:spacing w:before="0" w:after="0"/>
              <w:ind w:firstLine="0"/>
              <w:jc w:val="center"/>
              <w:rPr>
                <w:rFonts w:hint="eastAsia" w:ascii="仿宋" w:hAnsi="仿宋" w:eastAsia="仿宋" w:cs="仿宋"/>
                <w:sz w:val="20"/>
              </w:rPr>
            </w:pPr>
          </w:p>
        </w:tc>
        <w:tc>
          <w:tcPr>
            <w:tcW w:w="3059"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90" w:hRule="atLeast"/>
        </w:trPr>
        <w:tc>
          <w:tcPr>
            <w:tcW w:w="12630" w:type="dxa"/>
            <w:gridSpan w:val="6"/>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江阴市业余体育学校</w:t>
            </w:r>
          </w:p>
        </w:tc>
        <w:tc>
          <w:tcPr>
            <w:tcW w:w="3059"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kern w:val="0"/>
                <w:sz w:val="22"/>
                <w:szCs w:val="22"/>
              </w:rPr>
              <w:t>项目</w:t>
            </w:r>
          </w:p>
        </w:tc>
        <w:tc>
          <w:tcPr>
            <w:tcW w:w="2164"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本年支出合计</w:t>
            </w:r>
          </w:p>
        </w:tc>
        <w:tc>
          <w:tcPr>
            <w:tcW w:w="1897"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39"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715"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3"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kern w:val="0"/>
                <w:sz w:val="22"/>
                <w:szCs w:val="22"/>
              </w:rPr>
            </w:pPr>
            <w:r>
              <w:rPr>
                <w:rFonts w:hint="eastAsia" w:ascii="仿宋" w:hAnsi="仿宋" w:eastAsia="仿宋" w:cs="仿宋"/>
                <w:kern w:val="0"/>
                <w:sz w:val="22"/>
                <w:szCs w:val="22"/>
              </w:rPr>
              <w:t>功能分类</w:t>
            </w:r>
          </w:p>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927"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科目名称</w:t>
            </w:r>
          </w:p>
        </w:tc>
        <w:tc>
          <w:tcPr>
            <w:tcW w:w="2164"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897"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39"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15"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633"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26" w:type="dxa"/>
            <w:vMerge w:val="continue"/>
            <w:tcBorders>
              <w:left w:val="single" w:color="000000" w:sz="4" w:space="0"/>
              <w:bottom w:val="single" w:color="000000" w:sz="4" w:space="0"/>
              <w:right w:val="single" w:color="000000" w:sz="4" w:space="0"/>
            </w:tcBorders>
          </w:tcPr>
          <w:p>
            <w:pPr>
              <w:widowControl w:val="0"/>
              <w:spacing w:before="0" w:after="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216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529.81</w:t>
            </w:r>
          </w:p>
        </w:tc>
        <w:tc>
          <w:tcPr>
            <w:tcW w:w="189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432.45</w:t>
            </w:r>
          </w:p>
        </w:tc>
        <w:tc>
          <w:tcPr>
            <w:tcW w:w="1739"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97.36</w:t>
            </w:r>
          </w:p>
        </w:tc>
        <w:tc>
          <w:tcPr>
            <w:tcW w:w="1715"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633"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426"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207</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文化旅游体育与传媒支出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288.53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279.67</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8.86</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20703</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体育</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288.53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279.67</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8.86</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2070308</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群众体育</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288.53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279.67</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8.86</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社会保障和就业支出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46.89</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46.89</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行政事业单位养老支出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36.31</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36.31</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2080505</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机关事业单位基本养老保险缴费支出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24.13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24.13</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2080506</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机关事业单位职业年金缴费支出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12.18</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12.18</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其他社会保障和就业支出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10.58</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10.58</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2089999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其他社会保障和就业支出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10.58</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10.58</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住房保障支出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105.90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105.90</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105.90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105.90</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27.88</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27.88</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46.37</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46.37</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2210203</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购房补贴</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31.65</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31.65</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其他支出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88.50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88.50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22960</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彩票公益金安排的支出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88.50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88.50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2296003</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用于体育事业的彩票公益金支出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88.50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88.50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bl>
    <w:p>
      <w:pPr>
        <w:widowControl w:val="0"/>
        <w:suppressAutoHyphens/>
        <w:bidi w:val="0"/>
        <w:spacing w:before="59" w:after="0"/>
        <w:ind w:left="0" w:leftChars="0" w:right="0" w:firstLine="0" w:firstLineChars="0"/>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注：本表反映本年度各项支出情况。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59" w:after="0"/>
        <w:ind w:left="57" w:right="0" w:firstLine="0"/>
        <w:jc w:val="left"/>
        <w:rPr>
          <w:rFonts w:hint="eastAsia" w:ascii="仿宋" w:hAnsi="仿宋" w:eastAsia="仿宋" w:cs="仿宋"/>
          <w:b w:val="0"/>
          <w:bCs w:val="0"/>
          <w:sz w:val="22"/>
          <w:szCs w:val="22"/>
        </w:rPr>
        <w:sectPr>
          <w:footerReference r:id="rId10" w:type="default"/>
          <w:pgSz w:w="16838" w:h="11906" w:orient="landscape"/>
          <w:pgMar w:top="720" w:right="567" w:bottom="720" w:left="56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tblPrEx>
          <w:tblCellMar>
            <w:top w:w="55" w:type="dxa"/>
            <w:left w:w="55" w:type="dxa"/>
            <w:bottom w:w="55" w:type="dxa"/>
            <w:right w:w="55" w:type="dxa"/>
          </w:tblCellMar>
        </w:tblPrEx>
        <w:trPr>
          <w:trHeight w:val="319" w:hRule="atLeast"/>
        </w:trPr>
        <w:tc>
          <w:tcPr>
            <w:tcW w:w="15372" w:type="dxa"/>
            <w:gridSpan w:val="10"/>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财政拨款收入支出决算总表</w:t>
            </w:r>
          </w:p>
        </w:tc>
      </w:tr>
      <w:tr>
        <w:tblPrEx>
          <w:tblCellMar>
            <w:top w:w="55" w:type="dxa"/>
            <w:left w:w="55" w:type="dxa"/>
            <w:bottom w:w="55" w:type="dxa"/>
            <w:right w:w="55" w:type="dxa"/>
          </w:tblCellMar>
        </w:tblPrEx>
        <w:trPr>
          <w:trHeight w:val="319" w:hRule="atLeast"/>
        </w:trPr>
        <w:tc>
          <w:tcPr>
            <w:tcW w:w="5562" w:type="dxa"/>
            <w:gridSpan w:val="2"/>
          </w:tcPr>
          <w:p>
            <w:pPr>
              <w:pStyle w:val="22"/>
              <w:widowControl w:val="0"/>
              <w:rPr>
                <w:rFonts w:hint="eastAsia" w:ascii="仿宋" w:hAnsi="仿宋" w:eastAsia="仿宋" w:cs="仿宋"/>
                <w:sz w:val="20"/>
              </w:rPr>
            </w:pPr>
          </w:p>
        </w:tc>
        <w:tc>
          <w:tcPr>
            <w:tcW w:w="847" w:type="dxa"/>
          </w:tcPr>
          <w:p>
            <w:pPr>
              <w:pStyle w:val="22"/>
              <w:widowControl w:val="0"/>
              <w:rPr>
                <w:rFonts w:hint="eastAsia" w:ascii="仿宋" w:hAnsi="仿宋" w:eastAsia="仿宋" w:cs="仿宋"/>
                <w:sz w:val="20"/>
              </w:rPr>
            </w:pPr>
          </w:p>
        </w:tc>
        <w:tc>
          <w:tcPr>
            <w:tcW w:w="1913" w:type="dxa"/>
          </w:tcPr>
          <w:p>
            <w:pPr>
              <w:pStyle w:val="22"/>
              <w:widowControl w:val="0"/>
              <w:rPr>
                <w:rFonts w:hint="eastAsia" w:ascii="仿宋" w:hAnsi="仿宋" w:eastAsia="仿宋" w:cs="仿宋"/>
                <w:sz w:val="20"/>
              </w:rPr>
            </w:pPr>
          </w:p>
        </w:tc>
        <w:tc>
          <w:tcPr>
            <w:tcW w:w="2635" w:type="dxa"/>
            <w:gridSpan w:val="2"/>
          </w:tcPr>
          <w:p>
            <w:pPr>
              <w:pStyle w:val="22"/>
              <w:widowControl w:val="0"/>
              <w:rPr>
                <w:rFonts w:hint="eastAsia" w:ascii="仿宋" w:hAnsi="仿宋" w:eastAsia="仿宋" w:cs="仿宋"/>
                <w:sz w:val="20"/>
              </w:rPr>
            </w:pPr>
          </w:p>
        </w:tc>
        <w:tc>
          <w:tcPr>
            <w:tcW w:w="1194" w:type="dxa"/>
          </w:tcPr>
          <w:p>
            <w:pPr>
              <w:pStyle w:val="22"/>
              <w:widowControl w:val="0"/>
              <w:rPr>
                <w:rFonts w:hint="eastAsia" w:ascii="仿宋" w:hAnsi="仿宋" w:eastAsia="仿宋" w:cs="仿宋"/>
                <w:sz w:val="20"/>
              </w:rPr>
            </w:pP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2151" w:type="dxa"/>
            <w:gridSpan w:val="7"/>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sz w:val="22"/>
                <w:szCs w:val="22"/>
              </w:rPr>
              <w:t>江阴市业余体育学校</w:t>
            </w: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收</w:t>
            </w:r>
            <w:r>
              <w:rPr>
                <w:rFonts w:hint="eastAsia" w:ascii="仿宋" w:hAnsi="仿宋" w:eastAsia="仿宋" w:cs="仿宋"/>
                <w:sz w:val="22"/>
                <w:szCs w:val="22"/>
              </w:rPr>
              <w:tab/>
            </w:r>
            <w:r>
              <w:rPr>
                <w:rFonts w:hint="eastAsia" w:ascii="仿宋" w:hAnsi="仿宋" w:eastAsia="仿宋" w:cs="仿宋"/>
                <w:sz w:val="22"/>
                <w:szCs w:val="22"/>
              </w:rPr>
              <w:t>入</w:t>
            </w:r>
          </w:p>
        </w:tc>
        <w:tc>
          <w:tcPr>
            <w:tcW w:w="9810" w:type="dxa"/>
            <w:gridSpan w:val="8"/>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支</w:t>
            </w:r>
            <w:r>
              <w:rPr>
                <w:rFonts w:hint="eastAsia" w:ascii="仿宋" w:hAnsi="仿宋" w:eastAsia="仿宋" w:cs="仿宋"/>
                <w:sz w:val="22"/>
                <w:szCs w:val="22"/>
              </w:rPr>
              <w:tab/>
            </w:r>
            <w:r>
              <w:rPr>
                <w:rFonts w:hint="eastAsia" w:ascii="仿宋" w:hAnsi="仿宋" w:eastAsia="仿宋" w:cs="仿宋"/>
                <w:sz w:val="22"/>
                <w:szCs w:val="22"/>
              </w:rPr>
              <w:t>出</w:t>
            </w:r>
          </w:p>
        </w:tc>
      </w:tr>
      <w:tr>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1837"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c>
          <w:tcPr>
            <w:tcW w:w="3667" w:type="dxa"/>
            <w:gridSpan w:val="3"/>
            <w:vMerge w:val="restart"/>
            <w:tcBorders>
              <w:left w:val="single" w:color="000000" w:sz="4" w:space="0"/>
              <w:bottom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按功能分类</w:t>
            </w:r>
          </w:p>
        </w:tc>
        <w:tc>
          <w:tcPr>
            <w:tcW w:w="6143" w:type="dxa"/>
            <w:gridSpan w:val="5"/>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r>
      <w:tr>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837"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3667" w:type="dxa"/>
            <w:gridSpan w:val="3"/>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小计</w:t>
            </w:r>
          </w:p>
        </w:tc>
        <w:tc>
          <w:tcPr>
            <w:tcW w:w="14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一般公共预算财政拨款</w:t>
            </w:r>
          </w:p>
        </w:tc>
        <w:tc>
          <w:tcPr>
            <w:tcW w:w="15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政府性基金预算财政拨款</w:t>
            </w:r>
          </w:p>
        </w:tc>
        <w:tc>
          <w:tcPr>
            <w:tcW w:w="1500"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国有资本经营预算财政拨款</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441.07</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88.50</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288.53</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288.53</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46.89</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46.89</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105.90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105.90</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88.50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88.50</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b/>
                <w:bCs/>
                <w:sz w:val="22"/>
                <w:szCs w:val="22"/>
              </w:rPr>
              <w:t>本年收入合计</w:t>
            </w:r>
          </w:p>
        </w:tc>
        <w:tc>
          <w:tcPr>
            <w:tcW w:w="1837"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529.57</w:t>
            </w:r>
          </w:p>
        </w:tc>
        <w:tc>
          <w:tcPr>
            <w:tcW w:w="3667" w:type="dxa"/>
            <w:gridSpan w:val="3"/>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本年支出合计</w:t>
            </w:r>
          </w:p>
        </w:tc>
        <w:tc>
          <w:tcPr>
            <w:tcW w:w="1728"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529.81</w:t>
            </w:r>
          </w:p>
        </w:tc>
        <w:tc>
          <w:tcPr>
            <w:tcW w:w="1415" w:type="dxa"/>
            <w:gridSpan w:val="2"/>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441.31</w:t>
            </w:r>
          </w:p>
        </w:tc>
        <w:tc>
          <w:tcPr>
            <w:tcW w:w="1500"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88.50</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年初财政拨款结转和结余</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0.24</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年末财政拨款结转和结余</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0.24</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83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529.81</w:t>
            </w:r>
          </w:p>
        </w:tc>
        <w:tc>
          <w:tcPr>
            <w:tcW w:w="366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529.81</w:t>
            </w:r>
          </w:p>
        </w:tc>
        <w:tc>
          <w:tcPr>
            <w:tcW w:w="1415" w:type="dxa"/>
            <w:gridSpan w:val="2"/>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441.31</w:t>
            </w:r>
          </w:p>
        </w:tc>
        <w:tc>
          <w:tcPr>
            <w:tcW w:w="150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88.50</w:t>
            </w:r>
          </w:p>
        </w:tc>
        <w:tc>
          <w:tcPr>
            <w:tcW w:w="1500"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ind w:left="0" w:leftChars="0" w:firstLine="0" w:firstLineChars="0"/>
        <w:jc w:val="both"/>
        <w:rPr>
          <w:rFonts w:hint="eastAsia" w:ascii="仿宋" w:hAnsi="仿宋" w:eastAsia="仿宋" w:cs="仿宋"/>
          <w:b w:val="0"/>
          <w:bCs w:val="0"/>
        </w:rPr>
      </w:pPr>
      <w:r>
        <w:rPr>
          <w:rFonts w:hint="eastAsia" w:ascii="仿宋" w:hAnsi="仿宋" w:eastAsia="仿宋" w:cs="仿宋"/>
          <w:b w:val="0"/>
          <w:bCs w:val="0"/>
          <w:lang w:val="en-US" w:eastAsia="zh-CN"/>
        </w:rPr>
        <w:t>注：</w:t>
      </w:r>
      <w:r>
        <w:rPr>
          <w:rFonts w:hint="eastAsia" w:ascii="仿宋" w:hAnsi="仿宋" w:eastAsia="仿宋" w:cs="仿宋"/>
          <w:b w:val="0"/>
          <w:bCs w:val="0"/>
        </w:rPr>
        <w:t>本表反映本年度一般公共预算财政拨款、政府性基金预算财政拨款和国有资本经营预算财政拨款的总收支和年末结转结余情况。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jc w:val="both"/>
        <w:rPr>
          <w:rFonts w:hint="eastAsia" w:ascii="仿宋" w:hAnsi="仿宋" w:eastAsia="仿宋" w:cs="仿宋"/>
          <w:b w:val="0"/>
          <w:bCs w:val="0"/>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tblPrEx>
          <w:tblCellMar>
            <w:top w:w="55" w:type="dxa"/>
            <w:left w:w="55" w:type="dxa"/>
            <w:bottom w:w="55" w:type="dxa"/>
            <w:right w:w="55" w:type="dxa"/>
          </w:tblCellMar>
        </w:tblPrEx>
        <w:trPr>
          <w:trHeight w:val="321" w:hRule="atLeast"/>
        </w:trPr>
        <w:tc>
          <w:tcPr>
            <w:tcW w:w="15417"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财政拨款支出决算表（功能科目）</w:t>
            </w:r>
          </w:p>
        </w:tc>
      </w:tr>
      <w:tr>
        <w:tblPrEx>
          <w:tblCellMar>
            <w:top w:w="55" w:type="dxa"/>
            <w:left w:w="55" w:type="dxa"/>
            <w:bottom w:w="55" w:type="dxa"/>
            <w:right w:w="55" w:type="dxa"/>
          </w:tblCellMar>
        </w:tblPrEx>
        <w:trPr>
          <w:trHeight w:val="321" w:hRule="atLeast"/>
        </w:trPr>
        <w:tc>
          <w:tcPr>
            <w:tcW w:w="6300" w:type="dxa"/>
            <w:gridSpan w:val="2"/>
          </w:tcPr>
          <w:p>
            <w:pPr>
              <w:pStyle w:val="22"/>
              <w:widowControl w:val="0"/>
              <w:rPr>
                <w:rFonts w:hint="eastAsia" w:ascii="仿宋" w:hAnsi="仿宋" w:eastAsia="仿宋" w:cs="仿宋"/>
                <w:sz w:val="20"/>
              </w:rPr>
            </w:pPr>
          </w:p>
        </w:tc>
        <w:tc>
          <w:tcPr>
            <w:tcW w:w="3184" w:type="dxa"/>
          </w:tcPr>
          <w:p>
            <w:pPr>
              <w:pStyle w:val="22"/>
              <w:widowControl w:val="0"/>
              <w:rPr>
                <w:rFonts w:hint="eastAsia" w:ascii="仿宋" w:hAnsi="仿宋" w:eastAsia="仿宋" w:cs="仿宋"/>
                <w:sz w:val="27"/>
              </w:rPr>
            </w:pPr>
          </w:p>
        </w:tc>
        <w:tc>
          <w:tcPr>
            <w:tcW w:w="5933" w:type="dxa"/>
            <w:gridSpan w:val="2"/>
            <w:vAlign w:val="center"/>
          </w:tcPr>
          <w:p>
            <w:pPr>
              <w:pStyle w:val="22"/>
              <w:widowControl w:val="0"/>
              <w:jc w:val="right"/>
              <w:rPr>
                <w:rFonts w:hint="eastAsia" w:ascii="仿宋" w:hAnsi="仿宋" w:eastAsia="仿宋" w:cs="仿宋"/>
                <w:sz w:val="27"/>
              </w:rPr>
            </w:pPr>
            <w:r>
              <w:rPr>
                <w:rFonts w:hint="eastAsia" w:ascii="仿宋" w:hAnsi="仿宋" w:eastAsia="仿宋" w:cs="仿宋"/>
              </w:rPr>
              <w:t>公开05表</w:t>
            </w:r>
          </w:p>
        </w:tc>
      </w:tr>
      <w:tr>
        <w:tblPrEx>
          <w:tblCellMar>
            <w:top w:w="55" w:type="dxa"/>
            <w:left w:w="55" w:type="dxa"/>
            <w:bottom w:w="55" w:type="dxa"/>
            <w:right w:w="55" w:type="dxa"/>
          </w:tblCellMar>
        </w:tblPrEx>
        <w:trPr>
          <w:trHeight w:val="288" w:hRule="atLeast"/>
        </w:trPr>
        <w:tc>
          <w:tcPr>
            <w:tcW w:w="6300" w:type="dxa"/>
            <w:gridSpan w:val="2"/>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江阴市业余体育学校</w:t>
            </w:r>
          </w:p>
        </w:tc>
        <w:tc>
          <w:tcPr>
            <w:tcW w:w="3184" w:type="dxa"/>
          </w:tcPr>
          <w:p>
            <w:pPr>
              <w:pStyle w:val="22"/>
              <w:widowControl w:val="0"/>
              <w:rPr>
                <w:rFonts w:hint="eastAsia" w:ascii="仿宋" w:hAnsi="仿宋" w:eastAsia="仿宋" w:cs="仿宋"/>
                <w:sz w:val="27"/>
              </w:rPr>
            </w:pPr>
          </w:p>
        </w:tc>
        <w:tc>
          <w:tcPr>
            <w:tcW w:w="2778" w:type="dxa"/>
            <w:vAlign w:val="center"/>
          </w:tcPr>
          <w:p>
            <w:pPr>
              <w:pStyle w:val="22"/>
              <w:widowControl w:val="0"/>
              <w:jc w:val="right"/>
              <w:rPr>
                <w:rFonts w:hint="eastAsia" w:ascii="仿宋" w:hAnsi="仿宋" w:eastAsia="仿宋" w:cs="仿宋"/>
                <w:sz w:val="27"/>
              </w:rPr>
            </w:pPr>
          </w:p>
        </w:tc>
        <w:tc>
          <w:tcPr>
            <w:tcW w:w="3155"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184"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本年支出合计</w:t>
            </w:r>
          </w:p>
        </w:tc>
        <w:tc>
          <w:tcPr>
            <w:tcW w:w="2778"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功能分类</w:t>
            </w:r>
          </w:p>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502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184"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2778"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3155"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栏次</w:t>
            </w:r>
          </w:p>
        </w:tc>
        <w:tc>
          <w:tcPr>
            <w:tcW w:w="318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1</w:t>
            </w:r>
          </w:p>
        </w:tc>
        <w:tc>
          <w:tcPr>
            <w:tcW w:w="27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2</w:t>
            </w:r>
          </w:p>
        </w:tc>
        <w:tc>
          <w:tcPr>
            <w:tcW w:w="3155"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3</w:t>
            </w:r>
          </w:p>
        </w:tc>
      </w:tr>
      <w:tr>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184"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529.81</w:t>
            </w:r>
          </w:p>
        </w:tc>
        <w:tc>
          <w:tcPr>
            <w:tcW w:w="2778"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rPr>
              <w:t>432.45</w:t>
            </w:r>
          </w:p>
        </w:tc>
        <w:tc>
          <w:tcPr>
            <w:tcW w:w="3155"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97.36</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文化旅游体育与传媒支出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288.53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279.67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8.86</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体育</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288.53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279.67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8.86</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2070308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群众体育</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288.53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279.67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8.86</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46.89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46.89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36.31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36.31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机关事业单位基本养老保险缴费支出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24.13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24.13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机关事业单位职业年金缴费支出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12.18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12.18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2089999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105.90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105.90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105.90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105.90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27.88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27.88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46.37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46.37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购房补贴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31.65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31.65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88.50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88.50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22960</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彩票公益金安排的支出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88.50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88.50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2296003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用于体育事业的彩票公益金支出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88.50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88.50</w:t>
            </w:r>
          </w:p>
        </w:tc>
      </w:tr>
    </w:tbl>
    <w:p>
      <w:pPr>
        <w:widowControl w:val="0"/>
        <w:tabs>
          <w:tab w:val="left" w:pos="0"/>
        </w:tabs>
        <w:suppressAutoHyphens/>
        <w:bidi w:val="0"/>
        <w:spacing w:before="0" w:after="0"/>
        <w:ind w:left="0" w:leftChars="0" w:right="0" w:firstLine="0" w:firstLineChars="0"/>
        <w:jc w:val="both"/>
        <w:rPr>
          <w:rFonts w:hint="eastAsia" w:ascii="仿宋" w:hAnsi="仿宋" w:eastAsia="仿宋" w:cs="仿宋"/>
          <w:b w:val="0"/>
          <w:bCs w:val="0"/>
        </w:rPr>
      </w:pPr>
      <w:r>
        <w:rPr>
          <w:rFonts w:hint="eastAsia" w:ascii="仿宋" w:hAnsi="仿宋" w:eastAsia="仿宋" w:cs="仿宋"/>
          <w:b w:val="0"/>
          <w:bCs w:val="0"/>
        </w:rPr>
        <w:t>注：本表反映本年度一般公共预算财政拨款、政府性基金预算财政拨款和国有资本经营预算财政拨款支出情况。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val="0"/>
          <w:bCs w:val="0"/>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tblPrEx>
          <w:tblCellMar>
            <w:top w:w="55" w:type="dxa"/>
            <w:left w:w="55" w:type="dxa"/>
            <w:bottom w:w="55" w:type="dxa"/>
            <w:right w:w="55" w:type="dxa"/>
          </w:tblCellMar>
        </w:tblPrEx>
        <w:trPr>
          <w:trHeight w:val="319" w:hRule="atLeast"/>
        </w:trPr>
        <w:tc>
          <w:tcPr>
            <w:tcW w:w="10515"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财政拨款基本支出决算表（经济科目）</w:t>
            </w:r>
          </w:p>
        </w:tc>
      </w:tr>
      <w:tr>
        <w:tblPrEx>
          <w:tblCellMar>
            <w:top w:w="55" w:type="dxa"/>
            <w:left w:w="55" w:type="dxa"/>
            <w:bottom w:w="55" w:type="dxa"/>
            <w:right w:w="55" w:type="dxa"/>
          </w:tblCellMar>
        </w:tblPrEx>
        <w:trPr>
          <w:trHeight w:val="319" w:hRule="atLeast"/>
        </w:trPr>
        <w:tc>
          <w:tcPr>
            <w:tcW w:w="4532" w:type="dxa"/>
            <w:gridSpan w:val="2"/>
          </w:tcPr>
          <w:p>
            <w:pPr>
              <w:pStyle w:val="22"/>
              <w:widowControl w:val="0"/>
              <w:rPr>
                <w:rFonts w:hint="eastAsia" w:ascii="仿宋" w:hAnsi="仿宋" w:eastAsia="仿宋" w:cs="仿宋"/>
                <w:sz w:val="20"/>
              </w:rPr>
            </w:pPr>
          </w:p>
        </w:tc>
        <w:tc>
          <w:tcPr>
            <w:tcW w:w="2047" w:type="dxa"/>
          </w:tcPr>
          <w:p>
            <w:pPr>
              <w:pStyle w:val="22"/>
              <w:widowControl w:val="0"/>
              <w:rPr>
                <w:rFonts w:hint="eastAsia" w:ascii="仿宋" w:hAnsi="仿宋" w:eastAsia="仿宋" w:cs="仿宋"/>
                <w:sz w:val="20"/>
              </w:rPr>
            </w:pPr>
          </w:p>
        </w:tc>
        <w:tc>
          <w:tcPr>
            <w:tcW w:w="2040" w:type="dxa"/>
          </w:tcPr>
          <w:p>
            <w:pPr>
              <w:pStyle w:val="22"/>
              <w:widowControl w:val="0"/>
              <w:rPr>
                <w:rFonts w:hint="eastAsia" w:ascii="仿宋" w:hAnsi="仿宋" w:eastAsia="仿宋" w:cs="仿宋"/>
                <w:sz w:val="20"/>
              </w:rPr>
            </w:pP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8619"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sz w:val="22"/>
                <w:szCs w:val="22"/>
              </w:rPr>
              <w:t>江阴市业余体育学校</w:t>
            </w: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财政拨款基本支出</w:t>
            </w:r>
          </w:p>
        </w:tc>
      </w:tr>
      <w:tr>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432.45</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397.61</w:t>
            </w:r>
          </w:p>
        </w:tc>
        <w:tc>
          <w:tcPr>
            <w:tcW w:w="1896"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34.84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338.85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338.85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60.76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60.76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68.11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68.11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80.50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48.06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48.06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24.13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24.13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27.88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27.88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34.84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34.84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21.14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21.14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58.76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58.76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26.45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26.45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24.46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24.46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tabs>
          <w:tab w:val="left" w:pos="660"/>
          <w:tab w:val="left" w:pos="10780"/>
        </w:tabs>
        <w:suppressAutoHyphens/>
        <w:bidi w:val="0"/>
        <w:spacing w:before="25" w:after="0" w:line="290" w:lineRule="auto"/>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注：本表反映本年度一般公共预算财政拨款、政府性基金预算财政拨款和国有资本经营预算财政拨款基本支出情况。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0" w:after="0" w:line="255" w:lineRule="exact"/>
        <w:jc w:val="both"/>
        <w:rPr>
          <w:rFonts w:hint="eastAsia" w:ascii="仿宋" w:hAnsi="仿宋" w:eastAsia="仿宋" w:cs="仿宋"/>
          <w:b w:val="0"/>
          <w:bCs w:val="0"/>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tblPrEx>
          <w:tblCellMar>
            <w:top w:w="55" w:type="dxa"/>
            <w:left w:w="55" w:type="dxa"/>
            <w:bottom w:w="55" w:type="dxa"/>
            <w:right w:w="55" w:type="dxa"/>
          </w:tblCellMar>
        </w:tblPrEx>
        <w:trPr>
          <w:trHeight w:val="560" w:hRule="atLeast"/>
        </w:trPr>
        <w:tc>
          <w:tcPr>
            <w:tcW w:w="10446"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一般公共预算支出决算表（功能科目）</w:t>
            </w:r>
          </w:p>
        </w:tc>
      </w:tr>
      <w:tr>
        <w:tblPrEx>
          <w:tblCellMar>
            <w:top w:w="55" w:type="dxa"/>
            <w:left w:w="55" w:type="dxa"/>
            <w:bottom w:w="55" w:type="dxa"/>
            <w:right w:w="55" w:type="dxa"/>
          </w:tblCellMar>
        </w:tblPrEx>
        <w:trPr>
          <w:trHeight w:val="147" w:hRule="atLeast"/>
        </w:trPr>
        <w:tc>
          <w:tcPr>
            <w:tcW w:w="5466" w:type="dxa"/>
            <w:gridSpan w:val="2"/>
          </w:tcPr>
          <w:p>
            <w:pPr>
              <w:pStyle w:val="22"/>
              <w:widowControl w:val="0"/>
              <w:rPr>
                <w:rFonts w:hint="eastAsia" w:ascii="仿宋" w:hAnsi="仿宋" w:eastAsia="仿宋" w:cs="仿宋"/>
                <w:sz w:val="20"/>
              </w:rPr>
            </w:pPr>
          </w:p>
        </w:tc>
        <w:tc>
          <w:tcPr>
            <w:tcW w:w="1969" w:type="dxa"/>
          </w:tcPr>
          <w:p>
            <w:pPr>
              <w:pStyle w:val="22"/>
              <w:widowControl w:val="0"/>
              <w:rPr>
                <w:rFonts w:hint="eastAsia" w:ascii="仿宋" w:hAnsi="仿宋" w:eastAsia="仿宋" w:cs="仿宋"/>
                <w:sz w:val="20"/>
              </w:rPr>
            </w:pPr>
          </w:p>
        </w:tc>
        <w:tc>
          <w:tcPr>
            <w:tcW w:w="1499" w:type="dxa"/>
          </w:tcPr>
          <w:p>
            <w:pPr>
              <w:pStyle w:val="22"/>
              <w:widowControl w:val="0"/>
              <w:rPr>
                <w:rFonts w:hint="eastAsia" w:ascii="仿宋" w:hAnsi="仿宋" w:eastAsia="仿宋" w:cs="仿宋"/>
                <w:sz w:val="20"/>
              </w:rPr>
            </w:pPr>
          </w:p>
        </w:tc>
        <w:tc>
          <w:tcPr>
            <w:tcW w:w="1512"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公开07表</w:t>
            </w:r>
          </w:p>
        </w:tc>
      </w:tr>
      <w:tr>
        <w:tblPrEx>
          <w:tblCellMar>
            <w:top w:w="55" w:type="dxa"/>
            <w:left w:w="55" w:type="dxa"/>
            <w:bottom w:w="55" w:type="dxa"/>
            <w:right w:w="55" w:type="dxa"/>
          </w:tblCellMar>
        </w:tblPrEx>
        <w:trPr>
          <w:trHeight w:val="303" w:hRule="atLeast"/>
        </w:trPr>
        <w:tc>
          <w:tcPr>
            <w:tcW w:w="7435" w:type="dxa"/>
            <w:gridSpan w:val="3"/>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江阴市业余体育学校</w:t>
            </w:r>
          </w:p>
        </w:tc>
        <w:tc>
          <w:tcPr>
            <w:tcW w:w="3011" w:type="dxa"/>
            <w:gridSpan w:val="2"/>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w:t>
            </w:r>
          </w:p>
        </w:tc>
      </w:tr>
      <w:tr>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
            </w: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441.31</w:t>
            </w:r>
          </w:p>
        </w:tc>
        <w:tc>
          <w:tcPr>
            <w:tcW w:w="149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432.45</w:t>
            </w:r>
          </w:p>
        </w:tc>
        <w:tc>
          <w:tcPr>
            <w:tcW w:w="1512" w:type="dxa"/>
            <w:tcBorders>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8.86</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207</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文化旅游体育与传媒支出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288.53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279.67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8.86</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20703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体育</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288.53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279.67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8.86</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2070308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群众体育</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288.53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279.67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8.86</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46.89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46.89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36.31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36.31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24.13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24.13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机关事业单位职业年金缴费支出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2089999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105.90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105.90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105.90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105.90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27.88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27.88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46.37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46.37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购房补贴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31.65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31.65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tabs>
          <w:tab w:val="left" w:pos="0"/>
        </w:tabs>
        <w:spacing w:before="25" w:after="0"/>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tblPrEx>
          <w:tblCellMar>
            <w:top w:w="55" w:type="dxa"/>
            <w:left w:w="55" w:type="dxa"/>
            <w:bottom w:w="55" w:type="dxa"/>
            <w:right w:w="55" w:type="dxa"/>
          </w:tblCellMar>
        </w:tblPrEx>
        <w:trPr>
          <w:trHeight w:val="319" w:hRule="atLeast"/>
        </w:trPr>
        <w:tc>
          <w:tcPr>
            <w:tcW w:w="10473" w:type="dxa"/>
            <w:gridSpan w:val="5"/>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一般公共预算基本支出决算表（经济科目）</w:t>
            </w:r>
          </w:p>
        </w:tc>
      </w:tr>
      <w:tr>
        <w:tblPrEx>
          <w:tblCellMar>
            <w:top w:w="55" w:type="dxa"/>
            <w:left w:w="55" w:type="dxa"/>
            <w:bottom w:w="55" w:type="dxa"/>
            <w:right w:w="55" w:type="dxa"/>
          </w:tblCellMar>
        </w:tblPrEx>
        <w:trPr>
          <w:trHeight w:val="199" w:hRule="atLeast"/>
        </w:trPr>
        <w:tc>
          <w:tcPr>
            <w:tcW w:w="8595" w:type="dxa"/>
            <w:gridSpan w:val="4"/>
            <w:vAlign w:val="center"/>
          </w:tcPr>
          <w:p>
            <w:pPr>
              <w:pStyle w:val="22"/>
              <w:widowControl w:val="0"/>
              <w:jc w:val="right"/>
              <w:rPr>
                <w:rFonts w:hint="eastAsia" w:ascii="仿宋" w:hAnsi="仿宋" w:eastAsia="仿宋" w:cs="仿宋"/>
                <w:color w:val="000000"/>
                <w:sz w:val="22"/>
                <w:szCs w:val="22"/>
                <w:lang w:eastAsia="zh-CN"/>
              </w:rPr>
            </w:pPr>
          </w:p>
        </w:tc>
        <w:tc>
          <w:tcPr>
            <w:tcW w:w="1878" w:type="dxa"/>
            <w:vAlign w:val="center"/>
          </w:tcPr>
          <w:p>
            <w:pPr>
              <w:pStyle w:val="22"/>
              <w:widowControl w:val="0"/>
              <w:jc w:val="right"/>
              <w:rPr>
                <w:rFonts w:hint="eastAsia" w:ascii="仿宋" w:hAnsi="仿宋" w:eastAsia="仿宋" w:cs="仿宋"/>
              </w:rPr>
            </w:pPr>
            <w:r>
              <w:rPr>
                <w:rFonts w:hint="eastAsia" w:ascii="仿宋" w:hAnsi="仿宋" w:eastAsia="仿宋" w:cs="仿宋"/>
              </w:rPr>
              <w:t>公开08表</w:t>
            </w:r>
          </w:p>
        </w:tc>
      </w:tr>
      <w:tr>
        <w:tblPrEx>
          <w:tblCellMar>
            <w:top w:w="55" w:type="dxa"/>
            <w:left w:w="55" w:type="dxa"/>
            <w:bottom w:w="55" w:type="dxa"/>
            <w:right w:w="55" w:type="dxa"/>
          </w:tblCellMar>
        </w:tblPrEx>
        <w:trPr>
          <w:trHeight w:val="320" w:hRule="atLeast"/>
        </w:trPr>
        <w:tc>
          <w:tcPr>
            <w:tcW w:w="8595"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江阴市业余体育学校</w:t>
            </w:r>
          </w:p>
        </w:tc>
        <w:tc>
          <w:tcPr>
            <w:tcW w:w="1878"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一般公共预算财政拨款基本支出</w:t>
            </w:r>
          </w:p>
        </w:tc>
      </w:tr>
      <w:tr>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432.45</w:t>
            </w:r>
          </w:p>
        </w:tc>
        <w:tc>
          <w:tcPr>
            <w:tcW w:w="170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397.61</w:t>
            </w:r>
          </w:p>
        </w:tc>
        <w:tc>
          <w:tcPr>
            <w:tcW w:w="187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34.84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338.85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338.85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60.76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60.76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68.11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68.11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80.50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80.50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48.06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48.06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24.13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24.13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27.88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27.88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34.84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34.84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21.14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21.14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58.76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58.76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26.45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26.45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24.46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24.46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spacing w:before="25" w:after="0"/>
        <w:ind w:left="0" w:leftChars="0" w:right="-92" w:rightChars="-42"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tblPrEx>
          <w:tblCellMar>
            <w:top w:w="55" w:type="dxa"/>
            <w:left w:w="55" w:type="dxa"/>
            <w:bottom w:w="55" w:type="dxa"/>
            <w:right w:w="55" w:type="dxa"/>
          </w:tblCellMar>
        </w:tblPrEx>
        <w:trPr>
          <w:trHeight w:val="321" w:hRule="atLeast"/>
        </w:trPr>
        <w:tc>
          <w:tcPr>
            <w:tcW w:w="16486" w:type="dxa"/>
            <w:gridSpan w:val="16"/>
          </w:tcPr>
          <w:p>
            <w:pPr>
              <w:pStyle w:val="22"/>
              <w:widowControl w:val="0"/>
              <w:jc w:val="center"/>
              <w:rPr>
                <w:rFonts w:hint="eastAsia" w:ascii="仿宋" w:hAnsi="仿宋" w:eastAsia="仿宋" w:cs="仿宋"/>
                <w:b/>
                <w:bCs/>
                <w:sz w:val="44"/>
                <w:szCs w:val="44"/>
              </w:rPr>
            </w:pPr>
            <w:r>
              <w:rPr>
                <w:rFonts w:hint="eastAsia" w:cs="宋体"/>
                <w:b/>
                <w:bCs/>
                <w:color w:val="000000"/>
                <w:kern w:val="0"/>
                <w:sz w:val="36"/>
                <w:szCs w:val="36"/>
                <w:lang w:val="en-US" w:eastAsia="ar-SA" w:bidi="zh-CN"/>
              </w:rPr>
              <w:t>财政拨款</w:t>
            </w:r>
            <w:r>
              <w:rPr>
                <w:rFonts w:hint="eastAsia" w:ascii="宋体" w:hAnsi="宋体" w:eastAsia="宋体" w:cs="宋体"/>
                <w:b/>
                <w:bCs/>
                <w:color w:val="000000"/>
                <w:kern w:val="0"/>
                <w:sz w:val="36"/>
                <w:szCs w:val="36"/>
                <w:lang w:val="zh-CN" w:eastAsia="ar-SA" w:bidi="zh-CN"/>
              </w:rPr>
              <w:t>“三公”经费、会议费、培训费支出决算表</w:t>
            </w:r>
          </w:p>
        </w:tc>
      </w:tr>
      <w:tr>
        <w:tblPrEx>
          <w:tblCellMar>
            <w:top w:w="55" w:type="dxa"/>
            <w:left w:w="55" w:type="dxa"/>
            <w:bottom w:w="55" w:type="dxa"/>
            <w:right w:w="55" w:type="dxa"/>
          </w:tblCellMar>
        </w:tblPrEx>
        <w:trPr>
          <w:trHeight w:val="207" w:hRule="atLeast"/>
        </w:trPr>
        <w:tc>
          <w:tcPr>
            <w:tcW w:w="16486" w:type="dxa"/>
            <w:gridSpan w:val="16"/>
          </w:tcPr>
          <w:p>
            <w:pPr>
              <w:pStyle w:val="22"/>
              <w:widowControl w:val="0"/>
              <w:jc w:val="right"/>
              <w:rPr>
                <w:rFonts w:hint="eastAsia" w:ascii="仿宋" w:hAnsi="仿宋" w:eastAsia="仿宋" w:cs="仿宋"/>
                <w:sz w:val="20"/>
              </w:rPr>
            </w:pPr>
            <w:r>
              <w:rPr>
                <w:rFonts w:hint="eastAsia" w:ascii="仿宋" w:hAnsi="仿宋" w:eastAsia="仿宋" w:cs="仿宋"/>
              </w:rPr>
              <w:t>公开09表</w:t>
            </w:r>
          </w:p>
        </w:tc>
      </w:tr>
      <w:tr>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江阴市业余体育学校</w:t>
            </w:r>
          </w:p>
        </w:tc>
        <w:tc>
          <w:tcPr>
            <w:tcW w:w="8274" w:type="dxa"/>
            <w:gridSpan w:val="8"/>
            <w:tcBorders>
              <w:bottom w:val="single" w:color="auto" w:sz="4" w:space="0"/>
            </w:tcBorders>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rPr>
            </w:pPr>
            <w:r>
              <w:rPr>
                <w:rFonts w:hint="eastAsia" w:ascii="仿宋" w:hAnsi="仿宋" w:eastAsia="仿宋" w:cs="仿宋"/>
                <w:lang w:val="en-US" w:eastAsia="zh-CN"/>
              </w:rPr>
              <w:t>预算数</w:t>
            </w:r>
          </w:p>
        </w:tc>
        <w:tc>
          <w:tcPr>
            <w:tcW w:w="8274"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决算数</w:t>
            </w:r>
          </w:p>
        </w:tc>
      </w:tr>
      <w:tr>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r>
      <w:tr>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pPr>
              <w:widowControl w:val="0"/>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r>
      <w:tr>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02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
            </w:r>
            <w:r>
              <w:rPr>
                <w:rFonts w:ascii="仿宋" w:hAnsi="仿宋" w:cs="仿宋" w:eastAsia="仿宋"/>
              </w:rPr>
              <w:t>小计</w:t>
            </w:r>
          </w:p>
        </w:tc>
        <w:tc>
          <w:tcPr>
            <w:tcW w:w="1089"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6"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0.50</w:t>
            </w:r>
          </w:p>
        </w:tc>
        <w:tc>
          <w:tcPr>
            <w:tcW w:w="10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89"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0.50</w:t>
            </w:r>
          </w:p>
        </w:tc>
      </w:tr>
    </w:tbl>
    <w:p>
      <w:pPr>
        <w:spacing w:before="30" w:after="33"/>
        <w:ind w:left="220" w:leftChars="100" w:firstLine="0" w:firstLineChars="0"/>
        <w:rPr>
          <w:rFonts w:hint="eastAsia" w:ascii="仿宋" w:hAnsi="仿宋" w:eastAsia="仿宋" w:cs="仿宋"/>
          <w:sz w:val="22"/>
          <w:szCs w:val="22"/>
        </w:rPr>
      </w:pPr>
      <w:r>
        <w:rPr>
          <w:rFonts w:hint="eastAsia" w:ascii="仿宋" w:hAnsi="仿宋" w:eastAsia="仿宋" w:cs="仿宋"/>
          <w:sz w:val="22"/>
          <w:szCs w:val="22"/>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
            </w:r>
            <w:r>
              <w:rPr>
                <w:rFonts w:ascii="仿宋" w:hAnsi="仿宋" w:cs="仿宋" w:eastAsia="仿宋"/>
                <w:sz w:val="22"/>
              </w:rPr>
              <w:t>项目</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项目</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r>
    </w:tbl>
    <w:p>
      <w:pPr>
        <w:widowControl w:val="0"/>
        <w:suppressAutoHyphens/>
        <w:bidi w:val="0"/>
        <w:spacing w:before="0" w:after="0"/>
        <w:ind w:left="0" w:leftChars="0" w:right="-2"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本表反映本年度财政拨款“三公”经费、会议费和培训费支出情况。其中，预算数为全年预算数，反映按规定程序调整后的预算数；决算数是包括当年财政拨款和以前年度结转资金安排的实际支出。</w:t>
      </w:r>
      <w:r>
        <w:rPr>
          <w:rFonts w:ascii="仿宋" w:hAnsi="仿宋" w:cs="仿宋" w:eastAsia="仿宋"/>
          <w:sz w:val="22"/>
        </w:rPr>
        <w:t/>
      </w:r>
      <w:r>
        <w:rPr>
          <w:rFonts w:hint="eastAsia" w:ascii="仿宋" w:hAnsi="仿宋" w:eastAsia="仿宋" w:cs="仿宋"/>
          <w:b w:val="0"/>
          <w:bCs w:val="0"/>
          <w:sz w:val="22"/>
          <w:szCs w:val="22"/>
          <w:lang w:val="en-US" w:eastAsia="zh-CN"/>
        </w:rPr>
        <w:t>本表金额单位转换时可能存在尾数误差</w:t>
      </w:r>
      <w:r>
        <w:rPr>
          <w:rFonts w:hint="eastAsia" w:ascii="仿宋" w:hAnsi="仿宋" w:eastAsia="仿宋" w:cs="仿宋"/>
          <w:b w:val="0"/>
          <w:bCs w:val="0"/>
          <w:sz w:val="22"/>
          <w:szCs w:val="22"/>
        </w:rPr>
        <w:t>。</w:t>
      </w:r>
      <w:r>
        <w:rPr>
          <w:rFonts w:hint="eastAsia" w:ascii="仿宋" w:hAnsi="仿宋" w:eastAsia="仿宋" w:cs="仿宋"/>
          <w:b w:val="0"/>
          <w:bCs w:val="0"/>
          <w:sz w:val="22"/>
          <w:szCs w:val="22"/>
          <w:lang w:val="en-US" w:eastAsia="zh-CN"/>
        </w:rPr>
        <w:t/>
      </w:r>
    </w:p>
    <w:p>
      <w:pPr>
        <w:widowControl w:val="0"/>
        <w:suppressAutoHyphens/>
        <w:bidi w:val="0"/>
        <w:spacing w:before="0" w:after="0"/>
        <w:ind w:left="227" w:right="0" w:firstLine="220" w:firstLineChars="100"/>
        <w:jc w:val="both"/>
        <w:rPr>
          <w:rFonts w:hint="eastAsia" w:ascii="仿宋" w:hAnsi="仿宋" w:eastAsia="仿宋" w:cs="仿宋"/>
          <w:b w:val="0"/>
          <w:bCs w:val="0"/>
          <w:sz w:val="22"/>
          <w:szCs w:val="22"/>
        </w:rPr>
        <w:sectPr>
          <w:footerReference r:id="rId16" w:type="default"/>
          <w:pgSz w:w="16838" w:h="11906" w:orient="landscape"/>
          <w:pgMar w:top="720" w:right="153" w:bottom="720" w:left="15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政府性基金预算支出决算表</w:t>
            </w:r>
          </w:p>
        </w:tc>
      </w:tr>
      <w:tr>
        <w:tblPrEx>
          <w:tblCellMar>
            <w:top w:w="55" w:type="dxa"/>
            <w:left w:w="55" w:type="dxa"/>
            <w:bottom w:w="55" w:type="dxa"/>
            <w:right w:w="55" w:type="dxa"/>
          </w:tblCellMar>
        </w:tblPrEx>
        <w:trPr>
          <w:trHeight w:val="323" w:hRule="atLeast"/>
        </w:trPr>
        <w:tc>
          <w:tcPr>
            <w:tcW w:w="8426" w:type="dxa"/>
            <w:gridSpan w:val="2"/>
          </w:tcPr>
          <w:p>
            <w:pPr>
              <w:pStyle w:val="22"/>
              <w:widowControl w:val="0"/>
              <w:rPr>
                <w:rFonts w:hint="eastAsia" w:ascii="仿宋" w:hAnsi="仿宋" w:eastAsia="仿宋" w:cs="仿宋"/>
                <w:sz w:val="20"/>
              </w:rPr>
            </w:pPr>
          </w:p>
        </w:tc>
        <w:tc>
          <w:tcPr>
            <w:tcW w:w="2684" w:type="dxa"/>
          </w:tcPr>
          <w:p>
            <w:pPr>
              <w:pStyle w:val="22"/>
              <w:widowControl w:val="0"/>
              <w:rPr>
                <w:rFonts w:hint="eastAsia" w:ascii="仿宋" w:hAnsi="仿宋" w:eastAsia="仿宋" w:cs="仿宋"/>
                <w:sz w:val="27"/>
              </w:rPr>
            </w:pPr>
          </w:p>
        </w:tc>
        <w:tc>
          <w:tcPr>
            <w:tcW w:w="2432" w:type="dxa"/>
          </w:tcPr>
          <w:p>
            <w:pPr>
              <w:pStyle w:val="22"/>
              <w:widowControl w:val="0"/>
              <w:rPr>
                <w:rFonts w:hint="eastAsia" w:ascii="仿宋" w:hAnsi="仿宋" w:eastAsia="仿宋" w:cs="仿宋"/>
                <w:sz w:val="20"/>
              </w:rPr>
            </w:pP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公开10表</w:t>
            </w:r>
          </w:p>
        </w:tc>
      </w:tr>
      <w:tr>
        <w:tblPrEx>
          <w:tblCellMar>
            <w:top w:w="55" w:type="dxa"/>
            <w:left w:w="55" w:type="dxa"/>
            <w:bottom w:w="55" w:type="dxa"/>
            <w:right w:w="55" w:type="dxa"/>
          </w:tblCellMar>
        </w:tblPrEx>
        <w:trPr>
          <w:trHeight w:val="152" w:hRule="atLeast"/>
        </w:trPr>
        <w:tc>
          <w:tcPr>
            <w:tcW w:w="13542"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江阴市业余体育学校</w:t>
            </w: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43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2</w:t>
            </w:r>
          </w:p>
        </w:tc>
      </w:tr>
      <w:tr>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88.50</w:t>
            </w:r>
          </w:p>
        </w:tc>
        <w:tc>
          <w:tcPr>
            <w:tcW w:w="243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88.50</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229</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88.50</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88.50</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22960</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彩票公益金安排的支出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88.50</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88.50</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2296003</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用于体育事业的彩票公益金支出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88.50</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88.50</w:t>
            </w:r>
          </w:p>
        </w:tc>
      </w:tr>
    </w:tbl>
    <w:p>
      <w:pPr>
        <w:spacing w:before="25" w:after="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注：本表反映本年度政府性基金预算财政拨款支出情况。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default" w:ascii="仿宋" w:hAnsi="仿宋" w:eastAsia="仿宋" w:cs="仿宋"/>
          <w:b w:val="0"/>
          <w:bCs w:val="0"/>
          <w:sz w:val="22"/>
          <w:szCs w:val="22"/>
          <w:lang w:val="en-US" w:eastAsia="zh-CN"/>
        </w:rPr>
        <w:sectPr>
          <w:footerReference r:id="rId17"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国有资本经营预算支出决算表</w:t>
            </w:r>
          </w:p>
        </w:tc>
      </w:tr>
      <w:tr>
        <w:tblPrEx>
          <w:tblCellMar>
            <w:top w:w="55" w:type="dxa"/>
            <w:left w:w="55" w:type="dxa"/>
            <w:bottom w:w="55" w:type="dxa"/>
            <w:right w:w="55" w:type="dxa"/>
          </w:tblCellMar>
        </w:tblPrEx>
        <w:trPr>
          <w:trHeight w:val="323" w:hRule="atLeast"/>
        </w:trPr>
        <w:tc>
          <w:tcPr>
            <w:tcW w:w="8520" w:type="dxa"/>
            <w:gridSpan w:val="2"/>
          </w:tcPr>
          <w:p>
            <w:pPr>
              <w:pStyle w:val="22"/>
              <w:widowControl w:val="0"/>
              <w:rPr>
                <w:rFonts w:hint="eastAsia" w:ascii="仿宋" w:hAnsi="仿宋" w:eastAsia="仿宋" w:cs="仿宋"/>
                <w:sz w:val="20"/>
              </w:rPr>
            </w:pPr>
          </w:p>
        </w:tc>
        <w:tc>
          <w:tcPr>
            <w:tcW w:w="2510" w:type="dxa"/>
          </w:tcPr>
          <w:p>
            <w:pPr>
              <w:pStyle w:val="22"/>
              <w:widowControl w:val="0"/>
              <w:rPr>
                <w:rFonts w:hint="eastAsia" w:ascii="仿宋" w:hAnsi="仿宋" w:eastAsia="仿宋" w:cs="仿宋"/>
                <w:sz w:val="27"/>
              </w:rPr>
            </w:pPr>
          </w:p>
        </w:tc>
        <w:tc>
          <w:tcPr>
            <w:tcW w:w="2309" w:type="dxa"/>
          </w:tcPr>
          <w:p>
            <w:pPr>
              <w:pStyle w:val="22"/>
              <w:widowControl w:val="0"/>
              <w:rPr>
                <w:rFonts w:hint="eastAsia" w:ascii="仿宋" w:hAnsi="仿宋" w:eastAsia="仿宋" w:cs="仿宋"/>
                <w:sz w:val="20"/>
              </w:rPr>
            </w:pP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eastAsia="zh-CN"/>
              </w:rPr>
              <w:t>1</w:t>
            </w:r>
            <w:r>
              <w:rPr>
                <w:rFonts w:hint="eastAsia" w:ascii="仿宋" w:hAnsi="仿宋" w:eastAsia="仿宋" w:cs="仿宋"/>
              </w:rPr>
              <w:t>表</w:t>
            </w:r>
          </w:p>
        </w:tc>
      </w:tr>
      <w:tr>
        <w:tblPrEx>
          <w:tblCellMar>
            <w:top w:w="55" w:type="dxa"/>
            <w:left w:w="55" w:type="dxa"/>
            <w:bottom w:w="55" w:type="dxa"/>
            <w:right w:w="55" w:type="dxa"/>
          </w:tblCellMar>
        </w:tblPrEx>
        <w:trPr>
          <w:trHeight w:val="152" w:hRule="atLeast"/>
        </w:trPr>
        <w:tc>
          <w:tcPr>
            <w:tcW w:w="13339"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江阴市业余体育学校</w:t>
            </w: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30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2</w:t>
            </w:r>
          </w:p>
        </w:tc>
      </w:tr>
      <w:tr>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30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61"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bl>
    <w:p>
      <w:pPr>
        <w:bidi w:val="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
      </w:r>
      <w:r>
        <w:rPr>
          <w:rFonts w:ascii="仿宋" w:hAnsi="仿宋" w:cs="仿宋" w:eastAsia="仿宋"/>
          <w:sz w:val="22"/>
        </w:rPr>
        <w:t>本</w:t>
      </w:r>
      <w:r>
        <w:rPr>
          <w:rFonts w:ascii="仿宋" w:hAnsi="仿宋" w:cs="仿宋" w:eastAsia="仿宋"/>
          <w:sz w:val="22"/>
        </w:rPr>
        <w:t>单位</w:t>
      </w:r>
      <w:r>
        <w:rPr>
          <w:rFonts w:ascii="仿宋" w:hAnsi="仿宋" w:cs="仿宋" w:eastAsia="仿宋"/>
          <w:sz w:val="22"/>
        </w:rPr>
        <w:t>无</w:t>
      </w:r>
      <w:r>
        <w:rPr>
          <w:rFonts w:hint="eastAsia" w:ascii="仿宋" w:hAnsi="仿宋" w:eastAsia="仿宋" w:cs="仿宋"/>
          <w:b w:val="0"/>
          <w:bCs w:val="0"/>
          <w:sz w:val="22"/>
          <w:szCs w:val="22"/>
        </w:rPr>
        <w:t>国有资本经营预算支出</w:t>
      </w:r>
      <w:r>
        <w:rPr>
          <w:rFonts w:hint="eastAsia" w:ascii="仿宋" w:hAnsi="仿宋" w:eastAsia="仿宋" w:cs="仿宋"/>
          <w:b w:val="0"/>
          <w:bCs w:val="0"/>
          <w:sz w:val="22"/>
          <w:szCs w:val="22"/>
          <w:lang w:val="en-US" w:eastAsia="zh-CN"/>
        </w:rPr>
        <w:t>决算，故本表为空。</w:t>
      </w:r>
      <w:r>
        <w:rPr>
          <w:rFonts w:ascii="仿宋" w:hAnsi="仿宋" w:cs="仿宋" w:eastAsia="仿宋"/>
          <w:sz w:val="22"/>
        </w:rPr>
        <w:t/>
      </w:r>
    </w:p>
    <w:p>
      <w:pPr>
        <w:spacing w:before="25" w:after="0"/>
        <w:ind w:left="-220" w:leftChars="-100" w:firstLine="0" w:firstLineChars="0"/>
        <w:jc w:val="both"/>
        <w:rPr>
          <w:rFonts w:hint="default" w:ascii="仿宋" w:hAnsi="仿宋" w:eastAsia="仿宋" w:cs="仿宋"/>
          <w:b w:val="0"/>
          <w:bCs w:val="0"/>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tblPrEx>
          <w:tblCellMar>
            <w:top w:w="55" w:type="dxa"/>
            <w:left w:w="55" w:type="dxa"/>
            <w:bottom w:w="55" w:type="dxa"/>
            <w:right w:w="55" w:type="dxa"/>
          </w:tblCellMar>
        </w:tblPrEx>
        <w:trPr>
          <w:trHeight w:val="319" w:hRule="atLeast"/>
        </w:trPr>
        <w:tc>
          <w:tcPr>
            <w:tcW w:w="10466" w:type="dxa"/>
            <w:gridSpan w:val="3"/>
          </w:tcPr>
          <w:p>
            <w:pPr>
              <w:pStyle w:val="22"/>
              <w:widowControl w:val="0"/>
              <w:tabs>
                <w:tab w:val="left" w:pos="610"/>
              </w:tabs>
              <w:spacing w:before="28" w:after="0"/>
              <w:ind w:left="8" w:firstLine="0"/>
              <w:jc w:val="center"/>
              <w:rPr>
                <w:rFonts w:hint="eastAsia" w:ascii="仿宋" w:hAnsi="仿宋" w:eastAsia="仿宋" w:cs="仿宋"/>
                <w:b/>
                <w:bCs/>
                <w:sz w:val="44"/>
                <w:szCs w:val="44"/>
              </w:rPr>
            </w:pPr>
            <w:r>
              <w:rPr>
                <w:rFonts w:hint="eastAsia" w:cs="宋体"/>
                <w:b/>
                <w:bCs/>
                <w:color w:val="000000"/>
                <w:kern w:val="0"/>
                <w:sz w:val="36"/>
                <w:szCs w:val="36"/>
                <w:lang w:val="en-US" w:eastAsia="ar-SA" w:bidi="zh-CN"/>
              </w:rPr>
              <w:t>财政拨款</w:t>
            </w:r>
            <w:r>
              <w:rPr>
                <w:rFonts w:hint="eastAsia" w:ascii="宋体" w:hAnsi="宋体" w:eastAsia="宋体" w:cs="宋体"/>
                <w:b/>
                <w:bCs/>
                <w:color w:val="000000"/>
                <w:kern w:val="0"/>
                <w:sz w:val="36"/>
                <w:szCs w:val="36"/>
                <w:lang w:val="zh-CN" w:eastAsia="ar-SA" w:bidi="zh-CN"/>
              </w:rPr>
              <w:t>机关运行经费支出决算表</w:t>
            </w:r>
          </w:p>
        </w:tc>
      </w:tr>
      <w:tr>
        <w:tblPrEx>
          <w:tblCellMar>
            <w:top w:w="55" w:type="dxa"/>
            <w:left w:w="55" w:type="dxa"/>
            <w:bottom w:w="55" w:type="dxa"/>
            <w:right w:w="55" w:type="dxa"/>
          </w:tblCellMar>
        </w:tblPrEx>
        <w:trPr>
          <w:trHeight w:val="90" w:hRule="atLeast"/>
        </w:trPr>
        <w:tc>
          <w:tcPr>
            <w:tcW w:w="6632" w:type="dxa"/>
            <w:gridSpan w:val="2"/>
          </w:tcPr>
          <w:p>
            <w:pPr>
              <w:pStyle w:val="22"/>
              <w:widowControl w:val="0"/>
              <w:rPr>
                <w:rFonts w:hint="eastAsia" w:ascii="仿宋" w:hAnsi="仿宋" w:eastAsia="仿宋" w:cs="仿宋"/>
                <w:sz w:val="20"/>
              </w:rPr>
            </w:pPr>
          </w:p>
        </w:tc>
        <w:tc>
          <w:tcPr>
            <w:tcW w:w="3834"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6632" w:type="dxa"/>
            <w:gridSpan w:val="2"/>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江阴市业余体育学校</w:t>
            </w:r>
          </w:p>
        </w:tc>
        <w:tc>
          <w:tcPr>
            <w:tcW w:w="3834"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机关运行经费支出决算</w:t>
            </w:r>
          </w:p>
        </w:tc>
      </w:tr>
      <w:tr>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834"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834"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bl>
    <w:p>
      <w:pPr>
        <w:spacing w:before="25" w:after="0"/>
        <w:ind w:left="0" w:leftChars="0" w:right="-92" w:rightChars="-42"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注：“机关运行经费” 指行政单位（含参照公务员法管理的事业单位）使用</w:t>
      </w:r>
      <w:r>
        <w:rPr>
          <w:rFonts w:hint="eastAsia" w:ascii="仿宋" w:hAnsi="仿宋" w:eastAsia="仿宋" w:cs="仿宋"/>
          <w:b w:val="0"/>
          <w:bCs w:val="0"/>
          <w:sz w:val="22"/>
          <w:szCs w:val="22"/>
          <w:lang w:val="en-US" w:eastAsia="zh-CN"/>
        </w:rPr>
        <w:t>财政拨款</w:t>
      </w:r>
      <w:r>
        <w:rPr>
          <w:rFonts w:hint="eastAsia" w:ascii="仿宋" w:hAnsi="仿宋" w:eastAsia="仿宋" w:cs="仿宋"/>
          <w:b w:val="0"/>
          <w:bCs w:val="0"/>
          <w:sz w:val="22"/>
          <w:szCs w:val="22"/>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
      </w:r>
      <w:r>
        <w:rPr>
          <w:rFonts w:hint="eastAsia" w:ascii="仿宋" w:hAnsi="仿宋" w:eastAsia="仿宋" w:cs="仿宋"/>
          <w:b w:val="0"/>
          <w:bCs w:val="0"/>
          <w:sz w:val="22"/>
          <w:szCs w:val="22"/>
          <w:lang w:eastAsia="zh-CN"/>
        </w:rPr>
        <w:t>本</w:t>
      </w:r>
      <w:r>
        <w:rPr>
          <w:rFonts w:ascii="仿宋" w:hAnsi="仿宋" w:cs="仿宋" w:eastAsia="仿宋"/>
          <w:sz w:val="22"/>
        </w:rPr>
        <w:t>单位</w:t>
      </w:r>
      <w:r>
        <w:rPr>
          <w:rFonts w:hint="eastAsia" w:ascii="仿宋" w:hAnsi="仿宋" w:eastAsia="仿宋" w:cs="仿宋"/>
          <w:b w:val="0"/>
          <w:bCs w:val="0"/>
          <w:sz w:val="22"/>
          <w:szCs w:val="22"/>
        </w:rPr>
        <w:t>无</w:t>
      </w:r>
      <w:r>
        <w:rPr>
          <w:rFonts w:hint="eastAsia" w:ascii="仿宋" w:hAnsi="仿宋" w:eastAsia="仿宋" w:cs="仿宋"/>
          <w:b w:val="0"/>
          <w:bCs w:val="0"/>
          <w:sz w:val="22"/>
          <w:szCs w:val="22"/>
          <w:lang w:val="en-US" w:eastAsia="zh-CN"/>
        </w:rPr>
        <w:t>财政拨款</w:t>
      </w:r>
      <w:r>
        <w:rPr>
          <w:rFonts w:hint="eastAsia" w:ascii="仿宋" w:hAnsi="仿宋" w:eastAsia="仿宋" w:cs="仿宋"/>
          <w:b w:val="0"/>
          <w:bCs w:val="0"/>
          <w:sz w:val="22"/>
          <w:szCs w:val="22"/>
        </w:rPr>
        <w:t>机关运行经费支出决算，故本表为空。</w:t>
      </w:r>
      <w:r>
        <w:rPr>
          <w:rFonts w:ascii="仿宋" w:hAnsi="仿宋" w:cs="仿宋" w:eastAsia="仿宋"/>
          <w:sz w:val="22"/>
        </w:rPr>
        <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lang w:val="en-US" w:eastAsia="zh-CN"/>
        </w:rPr>
        <w:sectPr>
          <w:footerReference r:id="rId18" w:type="default"/>
          <w:type w:val="continuous"/>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tblPrEx>
          <w:tblCellMar>
            <w:top w:w="55" w:type="dxa"/>
            <w:left w:w="55" w:type="dxa"/>
            <w:bottom w:w="55" w:type="dxa"/>
            <w:right w:w="55" w:type="dxa"/>
          </w:tblCellMar>
        </w:tblPrEx>
        <w:trPr>
          <w:trHeight w:val="333" w:hRule="atLeast"/>
        </w:trPr>
        <w:tc>
          <w:tcPr>
            <w:tcW w:w="10459" w:type="dxa"/>
            <w:gridSpan w:val="4"/>
            <w:vAlign w:val="center"/>
          </w:tcPr>
          <w:p>
            <w:pPr>
              <w:pStyle w:val="22"/>
              <w:widowControl w:val="0"/>
              <w:bidi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政府采购支出决算表</w:t>
            </w:r>
          </w:p>
        </w:tc>
      </w:tr>
      <w:tr>
        <w:tblPrEx>
          <w:tblCellMar>
            <w:top w:w="55" w:type="dxa"/>
            <w:left w:w="55" w:type="dxa"/>
            <w:bottom w:w="55" w:type="dxa"/>
            <w:right w:w="55" w:type="dxa"/>
          </w:tblCellMar>
        </w:tblPrEx>
        <w:trPr>
          <w:trHeight w:val="333" w:hRule="atLeast"/>
        </w:trPr>
        <w:tc>
          <w:tcPr>
            <w:tcW w:w="4472" w:type="dxa"/>
          </w:tcPr>
          <w:p>
            <w:pPr>
              <w:pStyle w:val="22"/>
              <w:widowControl w:val="0"/>
              <w:bidi w:val="0"/>
              <w:rPr>
                <w:rFonts w:hint="eastAsia" w:ascii="仿宋" w:hAnsi="仿宋" w:eastAsia="仿宋" w:cs="仿宋"/>
              </w:rPr>
            </w:pPr>
          </w:p>
        </w:tc>
        <w:tc>
          <w:tcPr>
            <w:tcW w:w="722" w:type="dxa"/>
          </w:tcPr>
          <w:p>
            <w:pPr>
              <w:pStyle w:val="22"/>
              <w:widowControl w:val="0"/>
              <w:rPr>
                <w:rFonts w:hint="eastAsia" w:ascii="仿宋" w:hAnsi="仿宋" w:eastAsia="仿宋" w:cs="仿宋"/>
              </w:rPr>
            </w:pPr>
          </w:p>
        </w:tc>
        <w:tc>
          <w:tcPr>
            <w:tcW w:w="1992" w:type="dxa"/>
          </w:tcPr>
          <w:p>
            <w:pPr>
              <w:pStyle w:val="22"/>
              <w:widowControl w:val="0"/>
              <w:rPr>
                <w:rFonts w:hint="eastAsia" w:ascii="仿宋" w:hAnsi="仿宋" w:eastAsia="仿宋" w:cs="仿宋"/>
              </w:rPr>
            </w:pP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7186" w:type="dxa"/>
            <w:gridSpan w:val="3"/>
          </w:tcPr>
          <w:p>
            <w:pPr>
              <w:pStyle w:val="22"/>
              <w:widowControl w:val="0"/>
              <w:bidi w:val="0"/>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江阴市业余体育学校</w:t>
            </w: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pPr>
              <w:pStyle w:val="22"/>
              <w:widowControl w:val="0"/>
              <w:bidi w:val="0"/>
              <w:jc w:val="center"/>
              <w:rPr>
                <w:rFonts w:hint="eastAsia" w:ascii="仿宋" w:hAnsi="仿宋" w:eastAsia="仿宋" w:cs="仿宋"/>
                <w:lang w:val="en-US" w:eastAsia="zh-CN"/>
              </w:rPr>
            </w:pPr>
            <w:r>
              <w:rPr>
                <w:rFonts w:hint="eastAsia" w:ascii="仿宋" w:hAnsi="仿宋" w:eastAsia="仿宋" w:cs="仿宋"/>
                <w:lang w:val="en-US" w:eastAsia="zh-CN"/>
              </w:rPr>
              <w:t/>
            </w:r>
            <w:r>
              <w:rPr>
                <w:rFonts w:ascii="仿宋" w:hAnsi="仿宋" w:cs="仿宋" w:eastAsia="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bidi w:val="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政府采购支出信息为单位纳入部门预算范围的各项政府采购支出情况。</w:t>
      </w:r>
      <w:r>
        <w:rPr>
          <w:rFonts w:ascii="仿宋" w:hAnsi="仿宋" w:cs="仿宋" w:eastAsia="仿宋"/>
          <w:sz w:val="22"/>
        </w:rPr>
        <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
      </w:r>
      <w:r>
        <w:rPr>
          <w:rFonts w:hint="eastAsia" w:ascii="仿宋" w:hAnsi="仿宋" w:eastAsia="仿宋" w:cs="仿宋"/>
          <w:b w:val="0"/>
          <w:bCs w:val="0"/>
          <w:sz w:val="22"/>
          <w:szCs w:val="22"/>
          <w:lang w:eastAsia="zh-CN"/>
        </w:rPr>
        <w:t>本</w:t>
      </w:r>
      <w:r>
        <w:rPr>
          <w:rFonts w:ascii="仿宋" w:hAnsi="仿宋" w:cs="仿宋" w:eastAsia="仿宋"/>
          <w:sz w:val="22"/>
        </w:rPr>
        <w:t>单位</w:t>
      </w:r>
      <w:r>
        <w:rPr>
          <w:rFonts w:hint="eastAsia" w:ascii="仿宋" w:hAnsi="仿宋" w:eastAsia="仿宋" w:cs="仿宋"/>
          <w:b w:val="0"/>
          <w:bCs w:val="0"/>
          <w:sz w:val="22"/>
          <w:szCs w:val="22"/>
        </w:rPr>
        <w:t>无政府采购支出决算，故本表为空。</w:t>
      </w:r>
      <w:r>
        <w:rPr>
          <w:rFonts w:ascii="仿宋" w:hAnsi="仿宋" w:cs="仿宋" w:eastAsia="仿宋"/>
          <w:sz w:val="22"/>
        </w:rPr>
        <w:t/>
      </w:r>
    </w:p>
    <w:p>
      <w:pPr>
        <w:numPr>
          <w:ilvl w:val="0"/>
          <w:numId w:val="0"/>
        </w:numPr>
        <w:bidi w:val="0"/>
        <w:ind w:left="440" w:leftChars="200" w:firstLine="0" w:firstLineChars="0"/>
        <w:jc w:val="both"/>
        <w:rPr>
          <w:rFonts w:hint="eastAsia" w:ascii="仿宋" w:hAnsi="仿宋" w:eastAsia="仿宋" w:cs="仿宋"/>
          <w:b w:val="0"/>
          <w:bCs w:val="0"/>
          <w:sz w:val="22"/>
          <w:szCs w:val="22"/>
        </w:rPr>
        <w:sectPr>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outlineLvl w:val="0"/>
        <w:rPr>
          <w:rFonts w:hint="eastAsia" w:ascii="宋体" w:hAnsi="宋体" w:eastAsia="宋体" w:cs="宋体"/>
          <w:b/>
          <w:bCs/>
          <w:color w:val="000000"/>
          <w:kern w:val="0"/>
          <w:sz w:val="36"/>
          <w:szCs w:val="36"/>
          <w:lang w:val="zh-CN" w:eastAsia="ar-SA" w:bidi="zh-CN"/>
        </w:rPr>
      </w:pPr>
      <w:r>
        <w:rPr>
          <w:rFonts w:hint="eastAsia" w:ascii="宋体" w:hAnsi="宋体" w:eastAsia="宋体" w:cs="宋体"/>
          <w:b/>
          <w:bCs/>
          <w:color w:val="000000"/>
          <w:kern w:val="0"/>
          <w:sz w:val="36"/>
          <w:szCs w:val="36"/>
          <w:lang w:val="zh-CN" w:eastAsia="ar-SA" w:bidi="zh-CN"/>
        </w:rPr>
        <w:t>第三部分</w:t>
      </w:r>
      <w:r>
        <w:rPr>
          <w:rFonts w:hint="eastAsia" w:ascii="宋体" w:hAnsi="宋体" w:eastAsia="宋体" w:cs="宋体"/>
          <w:b/>
          <w:bCs/>
          <w:color w:val="000000"/>
          <w:kern w:val="0"/>
          <w:sz w:val="36"/>
          <w:szCs w:val="36"/>
          <w:lang w:val="en-US" w:eastAsia="zh-CN" w:bidi="zh-CN"/>
        </w:rPr>
        <w:t xml:space="preserve"> </w:t>
      </w:r>
      <w:r>
        <w:rPr>
          <w:rFonts w:hint="eastAsia" w:ascii="宋体" w:hAnsi="宋体" w:eastAsia="宋体" w:cs="宋体"/>
          <w:b/>
          <w:bCs/>
          <w:color w:val="000000"/>
          <w:kern w:val="0"/>
          <w:sz w:val="36"/>
          <w:szCs w:val="36"/>
          <w:lang w:val="zh-CN" w:eastAsia="zh-CN" w:bidi="zh-CN"/>
        </w:rPr>
        <w:t>202</w:t>
      </w:r>
      <w:r>
        <w:rPr>
          <w:rFonts w:hint="eastAsia" w:ascii="宋体" w:hAnsi="宋体" w:eastAsia="宋体" w:cs="宋体"/>
          <w:b/>
          <w:bCs/>
          <w:color w:val="000000"/>
          <w:kern w:val="0"/>
          <w:sz w:val="36"/>
          <w:szCs w:val="36"/>
          <w:lang w:val="en-US" w:eastAsia="zh-CN" w:bidi="zh-CN"/>
        </w:rPr>
        <w:t>3</w:t>
      </w:r>
      <w:r>
        <w:rPr>
          <w:rFonts w:hint="eastAsia" w:ascii="宋体" w:hAnsi="宋体" w:eastAsia="宋体" w:cs="宋体"/>
          <w:b/>
          <w:bCs/>
          <w:color w:val="000000"/>
          <w:kern w:val="0"/>
          <w:sz w:val="36"/>
          <w:szCs w:val="36"/>
          <w:lang w:val="zh-CN" w:eastAsia="ar-SA" w:bidi="zh-CN"/>
        </w:rPr>
        <w:t>年度</w:t>
      </w:r>
      <w:r>
        <w:rPr>
          <w:rFonts w:ascii="宋体" w:hAnsi="宋体" w:cs="宋体" w:eastAsia="宋体"/>
          <w:b w:val="true"/>
          <w:color w:val="000000"/>
          <w:sz w:val="36"/>
        </w:rPr>
        <w:t>单位</w:t>
      </w:r>
      <w:r>
        <w:rPr>
          <w:rFonts w:ascii="宋体" w:hAnsi="宋体" w:cs="宋体" w:eastAsia="宋体"/>
          <w:b w:val="true"/>
          <w:color w:val="000000"/>
          <w:sz w:val="36"/>
        </w:rPr>
        <w:t>决算情况说明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2023年度收入、支出决算总计529.81万元。与上年相比，收、支总计各减少46.87万元，减少8.13%。其中：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（一）收入决算总计529.81万元。包括：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1.本年收入决算合计529.57万元。与上年相比，减少44.65万元，减少7.78%，变动原因：主要是工资福利经费收入减少。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2.使用非财政拨款结余0万元。与上年决算数相同。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3.年初结转和结余0.24万元。与上年相比，减少2.22万元，减少90.24%，变动原因：主要是当年使用上年结余。</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（二）支出决算总计529.81万元。包括：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1.本年支出决算合计529.81万元。与上年相比，减少46.63万元，减少8.09%，变动原因：主要是工资福利经费支出减少。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2.结余分配0万元。与上年决算数相同。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3.年末结转和结余0万元。与上年相比，减少0.24万元，减少100%，变动原因：主要是当年使用上年结余。</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本年收入决算合计529.57万元，其中：财政拨款收入529.57万元，占100%；上级补助收入0万元，占0%；财政专户管理教育收费0万元，占0%；事业收入（不含专户管理教育收费）0万元，占0%；经营收入0万元，占0%；附属单位上缴收入0万元，占0%；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2"/>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2023年度本年支出决算合计529.81万元，其中：基本支出432.45万元，占81.62%；项目支出97.36万元，占18.38%；上缴上级支出0万元，占0%；经营支出0万元，占0%；对附属单位补助支出0万元，占0%。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3"/>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2023年度财政拨款收入、支出决算总计529.81万元。与上年相比，收、支总计各减少46.87万元，减少8.13%，变动原因：主要是工资福利经费减少。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2023年度财政拨款支出决算529.81万元，占本年支出合计的100%。与2023年度财政拨款支出年初预算508.58万元相比，完成年初预算的104.17%。其中：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（一）文化旅游体育与传媒支出（类）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体育（款）群众体育（项）。年初预算359.12万元，支出决算288.53万元，完成年初预算的80.34%。决算数与年初预算数的差异原因：主要是人员经费支出减少。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机关事业单位基本养老保险缴费支出（项）。年初预算23.07万元，支出决算24.13万元，完成年初预算的104.59%。决算数与年初预算数的差异原因：主要是有新录用人员，养老保险缴费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职业年金缴费支出（项）。年初预算11.54万元，支出决算12.18万元，完成年初预算的105.55%。决算数与年初预算数的差异原因：主要是有新录用人员，职业年金缴费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3.其他社会保障和就业支出（款）其他社会保障和就业支出（项）。年初预算11.17万元，支出决算10.58万元，完成年初预算的94.72%。决算数与年初预算数的差异原因：主要是职工医保单位缴费费率降低。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1.住房改革支出（款）住房公积金（项）。年初预算27.18万元，支出决算27.88万元，完成年初预算的102.58%。决算数与年初预算数的差异原因：主要是有新录用人员，住房公积金支出增加。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2.住房改革支出（款）提租补贴（项）。年初预算46.38万元，支出决算46.37万元，完成年初预算的99.98%。决算数与年初预算数的差异原因：主要是经费调整。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3.住房改革支出（款）购房补贴（项）。年初预算30.12万元，支出决算31.65万元，完成年初预算的105.08%。决算数与年初预算数的差异原因：主要是有新录用人员，购房补贴支出增加。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（四）其他支出（类）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彩票公益金安排的支出（款）用于体育事业的彩票公益金支出（项）。年初预算0万元，支出决算88.5万元，（年初预算数为0万元，无法计算完成比率）决算数与年初预算数的差异原因：主要是上级补助资金增加,年初无预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2023年度财政拨款基本支出决算432.45万元，其中：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（一）人员经费397.61万元。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奖金、伙食补助费、绩效工资、机关事业单位基本养老保险缴费、职业年金缴费、职工基本医疗保险缴费、其他社会保障缴费、住房公积金、医疗费、退休费、抚恤金、生活补助、助学金、其他对个人和家庭的补助。</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（二）公用经费34.84万元。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主要包括：办公费、水费、电费、邮电费、差旅费、维修（护）费、培训费、工会经费、其他交通费用、其他商品和服务支出。</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2023年度一般公共预算财政拨款支出决算441.31万元。与上年相比，减少47.14万元，减少9.65%，变动原因：主要是工资福利经费支出减少。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2023年度一般公共预算财政拨款基本支出决算432.45万元，其中：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（一）人员经费397.61万元。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奖金、伙食补助费、绩效工资、机关事业单位基本养老保险缴费、职业年金缴费、职工基本医疗保险缴费、其他社会保障缴费、住房公积金、医疗费、退休费、抚恤金、生活补助、助学金、其他对个人和家庭的补助。</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（二）公用经费34.84万元。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主要包括：办公费、水费、电费、邮电费、差旅费、维修（护）费、培训费、工会经费、其他交通费用、其他商品和服务支出。</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九、财政拨款“三公”经费、会议费、培训费支出情况说明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（一）财政拨款“三公”经费支出总体情况说明。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2023年度财政拨款“三公”经费支出决算0万元（其中：一般公共预算支出0万元；政府性基金预算支出0万元；国有资本经营预算支出0万元）。与上年决算数相同。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（二）财政拨款“三公”经费支出具体情况说明。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（1）公务用车购置支出决算0万元。本年度使用财政拨款购置公务用车0辆。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支出决算0万元。公务用车运行维护费主要用于按规定保留的公务用车的燃料费、维修费、过桥过路费、保险费、安全奖励费用等支出。截至2023年12月31日，使用财政拨款开支的公务用车保有量为0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国内公务接待支出0万元，接待0批次，0人次；国（境）外公务接待支出0万元，接待0批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（三）财政拨款会议费支出决算情况说明。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财政拨款会议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2023年度全年召开会议0个，参加会议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（四）财政拨款培训费支出决算情况说明。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财政拨款培训费支出预算0.5万元（其中：一般公共预算支出0.5万元；政府性基金预算支出0万元；国有资本经营预算支出0万元），支出决算0.5万元（其中：一般公共预算支出0.5万元；政府性基金预算支出0万元；国有资本经营预算支出0万元），完成调整后预算的100%，决算数与预算数相同。2023年度全年组织培训0个，组织培训2人次，开支内容：主要用于教练员培训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2023年度政府性基金预算财政拨款支出决算88.5万元。与上年相比，增加0.52万元，增长0.59%，变动原因：主要是上级补助资金支出增加。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2023年度国有资本经营预算财政拨款支出决算0万元。与上年决算数相同。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十二、财政拨款机关运行经费支出决算情况说明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2023年度机关运行经费支出决算0万元（其中：一般公共预算支出0万元；政府性基金预算支出0万元；国有资本经营预算支出0万元）。与上年决算数相同。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2023年度政府采购支出总额0万元，其中：政府采购货物支出0万元、政府采购工程支出0万元、政府采购服务支出0万元。政府采购授予中小企业合同金额0万元，其中：授予小微企业合同金额0万元。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截至2023年12月31日，本单位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十五、预算绩效评价工作开展情况</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2023年度，本单位共0个项目开展了财政重点绩效评价，涉及财政性资金合计0万元；本单位未开展单位整体支出财政重点绩效评价，涉及财政性资金0万元。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本单位共对2023年度已实施完成的1个项目开展了绩效自评价，涉及财政性资金合计8.86万元；本单位共开展1项单位整体支出绩效自评价，涉及财政性资金合计529.81万元。</w:t>
      </w:r>
      <w:r>
        <w:rPr>
          <w:rFonts w:ascii="仿宋" w:hAnsi="仿宋" w:cs="仿宋" w:eastAsia="仿宋"/>
        </w:rPr>
        <w:t/>
      </w:r>
    </w:p>
    <w:p>
      <w:pPr>
        <w:pStyle w:val="5"/>
        <w:tabs>
          <w:tab w:val="left" w:pos="3077"/>
        </w:tabs>
        <w:spacing w:line="616" w:lineRule="exact"/>
        <w:jc w:val="center"/>
        <w:outlineLvl w:val="0"/>
        <w:rPr>
          <w:rFonts w:hint="eastAsia" w:ascii="宋体" w:hAnsi="宋体" w:eastAsia="宋体" w:cs="宋体"/>
          <w:b/>
          <w:bCs/>
          <w:sz w:val="36"/>
          <w:szCs w:val="36"/>
        </w:rPr>
      </w:pPr>
      <w:r>
        <w:rPr>
          <w:rFonts w:hint="eastAsia" w:ascii="宋体" w:hAnsi="宋体" w:eastAsia="宋体" w:cs="宋体"/>
          <w:b/>
          <w:bCs/>
          <w:sz w:val="36"/>
          <w:szCs w:val="36"/>
        </w:rPr>
        <w:t>第四部分 名词</w:t>
      </w:r>
      <w:r>
        <w:rPr>
          <w:rFonts w:hint="eastAsia" w:ascii="宋体" w:hAnsi="宋体" w:eastAsia="宋体" w:cs="宋体"/>
          <w:b/>
          <w:bCs/>
          <w:color w:val="000000"/>
          <w:kern w:val="0"/>
          <w:sz w:val="36"/>
          <w:szCs w:val="36"/>
          <w:lang w:val="zh-CN" w:eastAsia="ar-SA" w:bidi="zh-CN"/>
        </w:rPr>
        <w:t>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一、财政拨款收入</w:t>
      </w:r>
      <w:r>
        <w:rPr>
          <w:rFonts w:ascii="仿宋" w:hAnsi="仿宋" w:cs="仿宋" w:eastAsia="仿宋"/>
          <w:b w:val="true"/>
        </w:rPr>
        <w:t>：</w:t>
      </w:r>
      <w:r>
        <w:rPr>
          <w:rFonts w:hint="eastAsia" w:ascii="仿宋" w:hAnsi="仿宋" w:eastAsia="仿宋" w:cs="仿宋"/>
        </w:rPr>
        <w:t>指单位从同级财政部门取得的各类财政拨款，包括一般公共预算财政拨款、政府性基金预算财政拨款、国有资本经营预算财政拨款。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二、上级补助收入</w:t>
      </w:r>
      <w:r>
        <w:rPr>
          <w:rFonts w:ascii="仿宋" w:hAnsi="仿宋" w:cs="仿宋" w:eastAsia="仿宋"/>
          <w:b w:val="true"/>
        </w:rPr>
        <w:t>：</w:t>
      </w:r>
      <w:r>
        <w:rPr>
          <w:rFonts w:hint="eastAsia" w:ascii="仿宋" w:hAnsi="仿宋" w:eastAsia="仿宋" w:cs="仿宋"/>
        </w:rPr>
        <w:t>指事业单位从主管部门和上级单位取得的非财政补助收入。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三、财政专户管理教育收费</w:t>
      </w:r>
      <w:r>
        <w:rPr>
          <w:rFonts w:ascii="仿宋" w:hAnsi="仿宋" w:cs="仿宋" w:eastAsia="仿宋"/>
          <w:b w:val="true"/>
        </w:rPr>
        <w:t>：</w:t>
      </w:r>
      <w:r>
        <w:rPr>
          <w:rFonts w:hint="eastAsia" w:ascii="仿宋" w:hAnsi="仿宋" w:eastAsia="仿宋" w:cs="仿宋"/>
        </w:rPr>
        <w:t>指缴入财政专户、实行专项管理的高中以上学费、住宿费、高校委托培养费、函大、电大、夜大及短训班培训费等教育收费。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四、事业收入</w:t>
      </w:r>
      <w:r>
        <w:rPr>
          <w:rFonts w:ascii="仿宋" w:hAnsi="仿宋" w:cs="仿宋" w:eastAsia="仿宋"/>
          <w:b w:val="true"/>
        </w:rPr>
        <w:t>：</w:t>
      </w:r>
      <w:r>
        <w:rPr>
          <w:rFonts w:hint="eastAsia" w:ascii="仿宋" w:hAnsi="仿宋" w:eastAsia="仿宋" w:cs="仿宋"/>
        </w:rPr>
        <w:t>指事业单位开展专业业务活动及其辅助活动取得的收入。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五、经营收入</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六、附属单位上缴收入</w:t>
      </w:r>
      <w:r>
        <w:rPr>
          <w:rFonts w:ascii="仿宋" w:hAnsi="仿宋" w:cs="仿宋" w:eastAsia="仿宋"/>
          <w:b w:val="true"/>
        </w:rPr>
        <w:t>：</w:t>
      </w:r>
      <w:r>
        <w:rPr>
          <w:rFonts w:hint="eastAsia" w:ascii="仿宋" w:hAnsi="仿宋" w:eastAsia="仿宋" w:cs="仿宋"/>
        </w:rPr>
        <w:t>指事业单位附属独立核算单位按照有关规定上缴的收入。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七、其他收入</w:t>
      </w:r>
      <w:r>
        <w:rPr>
          <w:rFonts w:ascii="仿宋" w:hAnsi="仿宋" w:cs="仿宋" w:eastAsia="仿宋"/>
          <w:b w:val="true"/>
        </w:rPr>
        <w:t>：</w:t>
      </w:r>
      <w:r>
        <w:rPr>
          <w:rFonts w:hint="eastAsia" w:ascii="仿宋" w:hAnsi="仿宋" w:eastAsia="仿宋" w:cs="仿宋"/>
        </w:rPr>
        <w:t>指单位取得的除上述“财政拨款收入”、 “上级补助收入”、“事业收入”、“经营收入”、“附属单位上缴收入”等以外的各项收入。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八、使用非财政拨款结余</w:t>
      </w:r>
      <w:r>
        <w:rPr>
          <w:rFonts w:ascii="仿宋" w:hAnsi="仿宋" w:cs="仿宋" w:eastAsia="仿宋"/>
          <w:b w:val="true"/>
        </w:rPr>
        <w:t>：</w:t>
      </w:r>
      <w:r>
        <w:rPr>
          <w:rFonts w:hint="eastAsia" w:ascii="仿宋" w:hAnsi="仿宋" w:eastAsia="仿宋" w:cs="仿宋"/>
        </w:rPr>
        <w:t>指事业单位按照预算管理要求使用非财政拨款结余（原事业基金）弥补当年收支差额的数额。</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九、年初结转和结余</w:t>
      </w:r>
      <w:r>
        <w:rPr>
          <w:rFonts w:ascii="仿宋" w:hAnsi="仿宋" w:cs="仿宋" w:eastAsia="仿宋"/>
          <w:b w:val="true"/>
        </w:rPr>
        <w:t>：</w:t>
      </w:r>
      <w:r>
        <w:rPr>
          <w:rFonts w:hint="eastAsia" w:ascii="仿宋" w:hAnsi="仿宋" w:eastAsia="仿宋" w:cs="仿宋"/>
        </w:rPr>
        <w:t>指单位上年结转本年使用的基本支出结转、项目支出结转和结余、经营结余。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十、结余分配</w:t>
      </w:r>
      <w:r>
        <w:rPr>
          <w:rFonts w:ascii="仿宋" w:hAnsi="仿宋" w:cs="仿宋" w:eastAsia="仿宋"/>
          <w:b w:val="true"/>
        </w:rPr>
        <w:t>：</w:t>
      </w:r>
      <w:r>
        <w:rPr>
          <w:rFonts w:hint="eastAsia" w:ascii="仿宋" w:hAnsi="仿宋" w:eastAsia="仿宋" w:cs="仿宋"/>
        </w:rPr>
        <w:t>指事业单位按规定缴纳的所得税以及从非财政拨款结余中提取各类结余的情况。</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十一、年末结转和结余资金</w:t>
      </w:r>
      <w:r>
        <w:rPr>
          <w:rFonts w:ascii="仿宋" w:hAnsi="仿宋" w:cs="仿宋" w:eastAsia="仿宋"/>
          <w:b w:val="true"/>
        </w:rPr>
        <w:t>：</w:t>
      </w:r>
      <w:r>
        <w:rPr>
          <w:rFonts w:hint="eastAsia" w:ascii="仿宋" w:hAnsi="仿宋" w:eastAsia="仿宋" w:cs="仿宋"/>
        </w:rPr>
        <w:t>指单位结转下年的基本支出结转、项目支出结转和结余、经营结余。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十二、基本支出</w:t>
      </w:r>
      <w:r>
        <w:rPr>
          <w:rFonts w:ascii="仿宋" w:hAnsi="仿宋" w:cs="仿宋" w:eastAsia="仿宋"/>
          <w:b w:val="true"/>
        </w:rPr>
        <w:t>：</w:t>
      </w:r>
      <w:r>
        <w:rPr>
          <w:rFonts w:hint="eastAsia" w:ascii="仿宋" w:hAnsi="仿宋" w:eastAsia="仿宋" w:cs="仿宋"/>
        </w:rPr>
        <w:t>指为保障机构正常运转、完成日常工作任务所发生的支出，包括人员经费和公用经费。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十三、项目支出</w:t>
      </w:r>
      <w:r>
        <w:rPr>
          <w:rFonts w:ascii="仿宋" w:hAnsi="仿宋" w:cs="仿宋" w:eastAsia="仿宋"/>
          <w:b w:val="true"/>
        </w:rPr>
        <w:t>：</w:t>
      </w:r>
      <w:r>
        <w:rPr>
          <w:rFonts w:hint="eastAsia" w:ascii="仿宋" w:hAnsi="仿宋" w:eastAsia="仿宋" w:cs="仿宋"/>
        </w:rPr>
        <w:t>指在为完成特定的工作任务和事业发展目标所发生的支出。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十四、上缴上级支出</w:t>
      </w:r>
      <w:r>
        <w:rPr>
          <w:rFonts w:ascii="仿宋" w:hAnsi="仿宋" w:cs="仿宋" w:eastAsia="仿宋"/>
          <w:b w:val="true"/>
        </w:rPr>
        <w:t>：</w:t>
      </w:r>
      <w:r>
        <w:rPr>
          <w:rFonts w:hint="eastAsia" w:ascii="仿宋" w:hAnsi="仿宋" w:eastAsia="仿宋" w:cs="仿宋"/>
        </w:rPr>
        <w:t>指事业单位按照财政部门和主管部门的规定上缴上级单位的支出。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十五、经营支出</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十六、对附属单位补助支出</w:t>
      </w:r>
      <w:r>
        <w:rPr>
          <w:rFonts w:ascii="仿宋" w:hAnsi="仿宋" w:cs="仿宋" w:eastAsia="仿宋"/>
          <w:b w:val="true"/>
        </w:rPr>
        <w:t>：</w:t>
      </w:r>
      <w:r>
        <w:rPr>
          <w:rFonts w:hint="eastAsia" w:ascii="仿宋" w:hAnsi="仿宋" w:eastAsia="仿宋" w:cs="仿宋"/>
        </w:rPr>
        <w:t>指事业单位用财政拨款收入之外的收入对附属单位补助发生的支出。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十七、“三公”经费</w:t>
      </w:r>
      <w:r>
        <w:rPr>
          <w:rFonts w:ascii="仿宋" w:hAnsi="仿宋" w:cs="仿宋" w:eastAsia="仿宋"/>
          <w:b w:val="true"/>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十八、机关运行经费</w:t>
      </w:r>
      <w:r>
        <w:rPr>
          <w:rFonts w:ascii="仿宋" w:hAnsi="仿宋" w:cs="仿宋" w:eastAsia="仿宋"/>
          <w:b w:val="true"/>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十九、文化旅游体育与传媒支出(类)体育(款)群众体育(项)</w:t>
      </w:r>
      <w:r>
        <w:rPr>
          <w:rFonts w:ascii="仿宋" w:hAnsi="仿宋" w:cs="仿宋" w:eastAsia="仿宋"/>
          <w:b w:val="true"/>
        </w:rPr>
        <w:t>：</w:t>
      </w:r>
      <w:r>
        <w:rPr>
          <w:rFonts w:hint="eastAsia" w:ascii="仿宋" w:hAnsi="仿宋" w:eastAsia="仿宋" w:cs="仿宋"/>
        </w:rPr>
        <w:t>反映业余体校和全民健身等群众体育活动方面的支出。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二十二、社会保障和就业支出(类)其他社会保障和就业支出(款)其他社会保障和就业支出(项)</w:t>
      </w:r>
      <w:r>
        <w:rPr>
          <w:rFonts w:ascii="仿宋" w:hAnsi="仿宋" w:cs="仿宋" w:eastAsia="仿宋"/>
          <w:b w:val="true"/>
        </w:rPr>
        <w:t>：</w:t>
      </w:r>
      <w:r>
        <w:rPr>
          <w:rFonts w:hint="eastAsia" w:ascii="仿宋" w:hAnsi="仿宋" w:eastAsia="仿宋" w:cs="仿宋"/>
        </w:rPr>
        <w:t>反映除上述项目以外其他用于社会保障和就业方面的支出。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二十三、住房保障支出(类)住房改革支出(款)住房公积金(项)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二十四、住房保障支出(类)住房改革支出(款)提租补贴(项)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二十五、住房保障支出(类)住房改革支出(款)购房补贴(项)</w:t>
      </w:r>
      <w:r>
        <w:rPr>
          <w:rFonts w:ascii="仿宋" w:hAnsi="仿宋" w:cs="仿宋" w:eastAsia="仿宋"/>
          <w:b w:val="true"/>
        </w:rPr>
        <w:t>：</w:t>
      </w:r>
      <w:r>
        <w:rPr>
          <w:rFonts w:hint="eastAsia" w:ascii="仿宋" w:hAnsi="仿宋" w:eastAsia="仿宋" w:cs="仿宋"/>
        </w:rPr>
        <w:t>反映按房改政策规定，行政事业单位向符合条件职工（含离退休人员）、军队(含武警)向转役复员离退休人员发放的用于购买住房的补贴。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二十六、其他支出(类)彩票公益金安排的支出(款)用于体育事业的彩票公益金支出(项)</w:t>
      </w:r>
      <w:r>
        <w:rPr>
          <w:rFonts w:ascii="仿宋" w:hAnsi="仿宋" w:cs="仿宋" w:eastAsia="仿宋"/>
          <w:b w:val="true"/>
        </w:rPr>
        <w:t>：</w:t>
      </w:r>
      <w:r>
        <w:rPr>
          <w:rFonts w:hint="eastAsia" w:ascii="仿宋" w:hAnsi="仿宋" w:eastAsia="仿宋" w:cs="仿宋"/>
        </w:rPr>
        <w:t>反映用于体育事业的彩票公益金支出。</w:t>
      </w:r>
    </w:p>
    <w:sectPr>
      <w:pgSz w:w="11906" w:h="16838"/>
      <w:pgMar w:top="1440" w:right="1080" w:bottom="1440" w:left="108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20B0604020202020204"/>
    <w:charset w:val="86"/>
    <w:family w:val="roman"/>
    <w:pitch w:val="default"/>
    <w:sig w:usb0="00000000" w:usb1="00000000" w:usb2="00000021" w:usb3="00000000" w:csb0="600001BF" w:csb1="DFF70000"/>
  </w:font>
  <w:font w:name="Liberation Mono">
    <w:altName w:val="宋体"/>
    <w:panose1 w:val="02070409020205020404"/>
    <w:charset w:val="86"/>
    <w:family w:val="roman"/>
    <w:pitch w:val="default"/>
    <w:sig w:usb0="00000000" w:usb1="00000000"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roman"/>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江阴市业余体育学校</w:t>
    </w:r>
    <w:bookmarkStart w:id="0" w:name="_GoBack"/>
    <w:bookmarkEnd w:id="0"/>
    <w:r>
      <w:t>2023</w:t>
    </w:r>
    <w:r>
      <w:rPr>
        <w:rFonts w:hint="eastAsia"/>
        <w:lang w:val="en-US" w:eastAsia="zh-CN"/>
      </w:rPr>
      <w:t>年度</w:t>
    </w:r>
    <w:r>
      <w:t>单位</w:t>
    </w:r>
    <w:r>
      <w:t>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OTZhZDYyZDRkNjBlM2JhZTAwNWZjYTM1ZGFmNGQwMjEifQ=="/>
  </w:docVars>
  <w:rsids>
    <w:rsidRoot w:val="00000000"/>
    <w:rsid w:val="00064984"/>
    <w:rsid w:val="00071789"/>
    <w:rsid w:val="000C024B"/>
    <w:rsid w:val="000F12AB"/>
    <w:rsid w:val="001C31F9"/>
    <w:rsid w:val="002E63B1"/>
    <w:rsid w:val="00407CA7"/>
    <w:rsid w:val="00413AD8"/>
    <w:rsid w:val="004C0647"/>
    <w:rsid w:val="00671ED7"/>
    <w:rsid w:val="00672164"/>
    <w:rsid w:val="006732F1"/>
    <w:rsid w:val="007C0F2D"/>
    <w:rsid w:val="008322BB"/>
    <w:rsid w:val="00867423"/>
    <w:rsid w:val="008B5B05"/>
    <w:rsid w:val="009965EA"/>
    <w:rsid w:val="00A6752E"/>
    <w:rsid w:val="00B92181"/>
    <w:rsid w:val="00BD7F33"/>
    <w:rsid w:val="00C15920"/>
    <w:rsid w:val="00C82582"/>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theme/theme1.xml" Type="http://schemas.openxmlformats.org/officeDocument/2006/relationships/theme"/><Relationship Id="rId2" Target="settings.xml" Type="http://schemas.openxmlformats.org/officeDocument/2006/relationships/settings"/><Relationship Id="rId20" Target="../customXml/item1.xml" Type="http://schemas.openxmlformats.org/officeDocument/2006/relationships/customXml"/><Relationship Id="rId21" Target="fontTable.xml" Type="http://schemas.openxmlformats.org/officeDocument/2006/relationships/fontTable"/><Relationship Id="rId22" Target="media/image1.jpeg" Type="http://schemas.openxmlformats.org/officeDocument/2006/relationships/image"/><Relationship Id="rId23"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2732</Words>
  <Characters>7627</Characters>
  <Paragraphs>501</Paragraphs>
  <TotalTime>7</TotalTime>
  <ScaleCrop>false</ScaleCrop>
  <LinksUpToDate>false</LinksUpToDate>
  <CharactersWithSpaces>7648</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CC.</cp:lastModifiedBy>
  <dcterms:modified xsi:type="dcterms:W3CDTF">2024-06-18T07:55:31Z</dcterms:modified>
  <cp:revision>175</cp:revision>
  <dc:title>部门决算公开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2052-12.1.0.16929</vt:lpwstr>
  </property>
  <property fmtid="{D5CDD505-2E9C-101B-9397-08002B2CF9AE}" pid="6" name="LastSaved">
    <vt:filetime>2021-04-15T00:00:00Z</vt:filetime>
  </property>
</Properties>
</file>