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footer+xml" PartName="/word/footer14.xml"/>
  <Override ContentType="application/vnd.openxmlformats-officedocument.wordprocessingml.footer+xml" PartName="/word/footer15.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r>
              <w:rPr>
                <w:rFonts w:hint="eastAsia" w:ascii="仿宋" w:hAnsi="仿宋" w:eastAsia="仿宋" w:cs="仿宋"/>
                <w:b/>
                <w:bCs/>
                <w:color w:val="FF0000"/>
                <w:sz w:val="22"/>
                <w:szCs w:val="22"/>
              </w:rPr>
              <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hint="eastAsia" w:ascii="宋体" w:hAnsi="宋体" w:eastAsia="宋体" w:cs="宋体"/>
                <w:b/>
                <w:bCs/>
                <w:sz w:val="52"/>
                <w:szCs w:val="52"/>
                <w:lang w:val="en-US" w:eastAsia="zh-CN"/>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xml:space="preserve">2023年度</w:t>
              <w:br w:type="textWrapping"/>
              <w:t/>
            </w:r>
            <w:r>
              <w:rPr>
                <w:rFonts w:ascii="宋体" w:hAnsi="宋体" w:cs="宋体" w:eastAsia="宋体"/>
                <w:b w:val="true"/>
                <w:sz w:val="52"/>
              </w:rPr>
              <w:t>江阴市体育事业发展服务中心</w:t>
            </w:r>
            <w:r>
              <w:rPr>
                <w:rFonts w:ascii="宋体" w:hAnsi="宋体" w:cs="宋体" w:eastAsia="宋体"/>
                <w:b w:val="true"/>
                <w:sz w:val="52"/>
              </w:rPr>
              <w:t xml:space="preserve"></w:t>
              <w:br w:type="textWrapping"/>
              <w:t>单位预算公开</w:t>
            </w:r>
            <w:r>
              <w:rPr>
                <w:rFonts w:ascii="宋体" w:hAnsi="宋体" w:cs="宋体" w:eastAsia="宋体"/>
                <w:b w:val="true"/>
                <w:sz w:val="52"/>
              </w:rPr>
              <w:t/>
            </w:r>
            <w:r>
              <w:rPr>
                <w:rFonts w:ascii="宋体" w:hAnsi="宋体" w:cs="宋体" w:eastAsia="宋体"/>
                <w:b w:val="true"/>
                <w:sz w:val="52"/>
              </w:rPr>
              <w:t/>
            </w:r>
          </w:p>
        </w:tc>
      </w:tr>
    </w:tbl>
    <w:p>
      <w:pPr>
        <w:ind w:right="284" w:rightChars="129"/>
        <w:jc w:val="both"/>
        <w:rPr>
          <w:rFonts w:hint="eastAsia" w:ascii="宋体" w:hAnsi="宋体" w:eastAsia="宋体" w:cs="宋体"/>
          <w:b/>
          <w:bCs/>
          <w:sz w:val="52"/>
          <w:szCs w:val="52"/>
        </w:rPr>
        <w:sectPr>
          <w:headerReference r:id="rId5" w:type="first"/>
          <w:headerReference r:id="rId4" w:type="default"/>
          <w:pgSz w:w="11906" w:h="16838"/>
          <w:pgMar w:top="1580" w:right="102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2023</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2023</w:t>
      </w:r>
      <w:r>
        <w:rPr>
          <w:rFonts w:hint="eastAsia" w:ascii="仿宋" w:hAnsi="仿宋" w:eastAsia="仿宋" w:cs="仿宋"/>
          <w:b/>
          <w:bCs/>
          <w:lang w:val="en-US" w:eastAsia="zh-CN"/>
        </w:rPr>
        <w:t>年度</w:t>
      </w:r>
      <w:r>
        <w:rPr>
          <w:rFonts w:ascii="仿宋" w:hAnsi="仿宋" w:cs="仿宋" w:eastAsia="仿宋"/>
          <w:b w:val="true"/>
        </w:rPr>
        <w:t>单位</w:t>
      </w:r>
      <w:r>
        <w:rPr>
          <w:rFonts w:ascii="仿宋" w:hAnsi="仿宋" w:cs="仿宋" w:eastAsia="仿宋"/>
          <w:b w:val="true"/>
        </w:rPr>
        <w:t>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w:t>
      </w:r>
      <w:r>
        <w:rPr>
          <w:rFonts w:hint="eastAsia" w:ascii="仿宋" w:hAnsi="仿宋" w:eastAsia="仿宋" w:cs="仿宋"/>
          <w:lang w:val="en-US" w:eastAsia="zh-CN"/>
        </w:rPr>
        <w:t>预算</w:t>
      </w:r>
      <w:r>
        <w:rPr>
          <w:rFonts w:hint="eastAsia" w:ascii="仿宋" w:hAnsi="仿宋" w:eastAsia="仿宋" w:cs="仿宋"/>
        </w:rPr>
        <w:t>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2023</w:t>
      </w:r>
      <w:r>
        <w:rPr>
          <w:rFonts w:hint="eastAsia" w:ascii="仿宋" w:hAnsi="仿宋" w:eastAsia="仿宋" w:cs="仿宋"/>
          <w:b/>
          <w:bCs/>
          <w:color w:val="000000"/>
          <w:sz w:val="30"/>
          <w:szCs w:val="30"/>
          <w:lang w:val="en-US" w:bidi="ar"/>
        </w:rPr>
        <w:t>年度</w:t>
      </w:r>
      <w:r>
        <w:rPr>
          <w:rFonts w:ascii="仿宋" w:hAnsi="仿宋" w:cs="仿宋" w:eastAsia="仿宋"/>
          <w:b w:val="true"/>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6"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w:t>
      </w:r>
      <w:r>
        <w:rPr>
          <w:rFonts w:hint="eastAsia" w:ascii="仿宋" w:hAnsi="仿宋" w:eastAsia="仿宋" w:cs="仿宋"/>
          <w:b/>
          <w:bCs/>
        </w:rPr>
        <w:t>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1、贯彻落实江阴市全民健身实施计划；拟定工作规划、制度机制、规则办法等；组织实施全民健身运动，推动体育社会组织发展，促进健康江阴建设。</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2、开展公共体育和赛事活动的指导服务；推动社会体育、青少年体育运动及项目的普及和提高。</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3、协助组织开展群众体育赛事和青少年体育赛事活动；协调组织群众体育队伍参加江阴市级以上比赛；协助承担全市性的体育竞赛和综合运动会等方面的工作。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4、推动体育文化建设和体育文化交流，弘扬体育主旋律，厚植社会体育文明；协调推动全民健身志愿服务工作。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5、负责全市健身气功的管理；指导和推动老年人、职工、社区、农村、学校体育健身及其他社会体育健身的发展；指导和推动其他新开展的社会（休闲）体育活动和项目发展。</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6、组织优秀传统健身运动项目以及其他科学、简易、安全、有效健身项目的培训和推广；推动实施《国家体育锻炼标准》和国民体质监测工作。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7、负责对市属体育场馆的管理；负责体育场馆免费、低收费开放等上级扶持项目资金的申报工作；协助监督检查体育市场主体的经营行为。</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8、负责体育彩票的销售和管理工作，加强责任彩票建设。</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9、落实本单位安全生产主体责任。</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10、完成市文体广电和旅游局交办的其他任务。</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cs="仿宋" w:eastAsia="仿宋"/>
          <w:b w:val="true"/>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
      </w:r>
      <w:r>
        <w:rPr>
          <w:rFonts w:ascii="仿宋" w:hAnsi="仿宋" w:cs="仿宋" w:eastAsia="仿宋"/>
        </w:rPr>
        <w:t/>
      </w: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hint="eastAsia" w:ascii="仿宋" w:hAnsi="仿宋" w:eastAsia="仿宋" w:cs="仿宋"/>
          <w:lang w:val="en-US"/>
        </w:rPr>
        <w:t/>
      </w:r>
      <w:r>
        <w:rPr>
          <w:rFonts w:ascii="仿宋" w:hAnsi="仿宋" w:cs="仿宋" w:eastAsia="仿宋"/>
        </w:rPr>
        <w:t/>
      </w:r>
      <w:r>
        <w:rPr>
          <w:rFonts w:ascii="仿宋" w:hAnsi="仿宋" w:cs="仿宋" w:eastAsia="仿宋"/>
        </w:rPr>
        <w:t>本单位无内设机构。</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本单位无下属单位。</w:t>
      </w:r>
      <w:r>
        <w:rPr>
          <w:rFonts w:ascii="仿宋" w:hAnsi="仿宋" w:cs="仿宋" w:eastAsia="仿宋"/>
        </w:rPr>
        <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2023</w:t>
      </w:r>
      <w:r>
        <w:rPr>
          <w:rFonts w:hint="eastAsia" w:ascii="仿宋" w:hAnsi="仿宋" w:eastAsia="仿宋" w:cs="仿宋"/>
          <w:b/>
          <w:bCs/>
        </w:rPr>
        <w:t>年度</w:t>
      </w:r>
      <w:r>
        <w:rPr>
          <w:rFonts w:ascii="仿宋" w:hAnsi="仿宋" w:cs="仿宋" w:eastAsia="仿宋"/>
          <w:b w:val="true"/>
        </w:rPr>
        <w:t>单位</w:t>
      </w:r>
      <w:r>
        <w:rPr>
          <w:rFonts w:ascii="仿宋" w:hAnsi="仿宋" w:cs="仿宋" w:eastAsia="仿宋"/>
          <w:b w:val="true"/>
        </w:rPr>
        <w:t>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（一）、全面健身活动着力于4个方面取得新进展。</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1.在全民健身活动的开展形式上创新实践。</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2.在激发体育社会组织的活力上创新实践。</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3.在全民健身向重点人群延伸上创新实践。</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4.在推进全民健身融合发展上创新实践。</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（二）、进一步完善学校竞赛项目计划。</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建立并完善分学段（小学、初中、高中）青少年体育赛事体系，重点办好校园足球、篮球、排球“三大球”联赛工作，推动建立体教融合的青少年联赛体系，逐步统一校园、俱乐部、社会机构，实现从注重普及到提升内涵的转型升级。同时根据省体育局、省教育厅在全省推进青少年体育“5621”计划，推动县域学校体育优势、特色项目建设，办好至少1个基础大项、1个球类运动和3个本地区特色体育运动项目。</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（三）、江阴体彩明确思路，积极应对体彩发展现状。</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1、继续加强责任彩票建设，大力弘扬“责任、诚信、团结、创新”体彩精神。</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2、争取政策支持，加强对编外人员的绩效考核，提高一线人员积极性。</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3、加大竞彩玩法的引导，继续组织竞彩培训提升销售人员的业务能力和营销服务水平，同时挖掘潜力，加强对50个小微渠道及连锁便利渠道的引导。</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4、积极参与各项体育赛事及公益活动扩大体彩品牌影响力，努力展示“体育事业生命线”和“公益事业助推器”的责任担当，进一步拓展购彩者群体。</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（四）、加强对市属体育场馆的管理，做好体育场馆免、低收费开放资金使用监管工作。</w:t>
      </w:r>
      <w:r>
        <w:rPr>
          <w:rFonts w:ascii="仿宋" w:hAnsi="仿宋" w:cs="仿宋" w:eastAsia="仿宋"/>
        </w:rPr>
        <w:t/>
      </w:r>
    </w:p>
    <w:p>
      <w:pPr>
        <w:pStyle w:val="8"/>
        <w:spacing w:line="235" w:lineRule="auto"/>
        <w:ind w:left="669" w:leftChars="300" w:right="2414" w:hanging="9" w:firstLineChars="0"/>
        <w:jc w:val="both"/>
        <w:rPr>
          <w:rFonts w:hint="eastAsia" w:ascii="仿宋" w:hAnsi="仿宋" w:eastAsia="仿宋" w:cs="仿宋"/>
        </w:rPr>
        <w:sectPr>
          <w:footerReference r:id="rId7"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2023</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江阴市体育事业发展服务中心</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cs="仿宋" w:eastAsia="仿宋"/>
          <w:b w:val="true"/>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tblPrEx>
          <w:tblCellMar>
            <w:top w:w="0" w:type="dxa"/>
            <w:left w:w="108" w:type="dxa"/>
            <w:bottom w:w="0" w:type="dxa"/>
            <w:right w:w="108" w:type="dxa"/>
          </w:tblCellMar>
        </w:tblPrEx>
        <w:trPr>
          <w:cantSplit/>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r>
      <w:tr>
        <w:tblPrEx>
          <w:tblCellMar>
            <w:top w:w="0" w:type="dxa"/>
            <w:left w:w="108" w:type="dxa"/>
            <w:bottom w:w="0" w:type="dxa"/>
            <w:right w:w="108" w:type="dxa"/>
          </w:tblCellMar>
        </w:tblPrEx>
        <w:trPr>
          <w:cantSplit/>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r>
      <w:tr>
        <w:tblPrEx>
          <w:tblCellMar>
            <w:top w:w="0" w:type="dxa"/>
            <w:left w:w="108" w:type="dxa"/>
            <w:bottom w:w="0" w:type="dxa"/>
            <w:right w:w="108" w:type="dxa"/>
          </w:tblCellMar>
        </w:tblPrEx>
        <w:trPr>
          <w:cantSplit/>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color w:val="000000"/>
                <w:sz w:val="22"/>
                <w:szCs w:val="22"/>
                <w:lang w:eastAsia="ar-SA"/>
              </w:rPr>
              <w:t>江阴市体育事业发展服务中心</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r>
      <w:tr>
        <w:tblPrEx>
          <w:tblCellMar>
            <w:top w:w="0" w:type="dxa"/>
            <w:left w:w="108" w:type="dxa"/>
            <w:bottom w:w="0" w:type="dxa"/>
            <w:right w:w="108" w:type="dxa"/>
          </w:tblCellMar>
        </w:tblPrEx>
        <w:trPr>
          <w:cantSplit/>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r>
      <w:tr>
        <w:tblPrEx>
          <w:tblCellMar>
            <w:top w:w="0" w:type="dxa"/>
            <w:left w:w="108" w:type="dxa"/>
            <w:bottom w:w="0" w:type="dxa"/>
            <w:right w:w="108" w:type="dxa"/>
          </w:tblCellMar>
        </w:tblPrEx>
        <w:trPr>
          <w:cantSplit/>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w: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551.76</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611.70</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347.04</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56.80</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147.92</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611.70</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1,163.46</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1,163.46</w:t>
            </w:r>
          </w:p>
        </w:tc>
      </w:tr>
      <w:tr>
        <w:tblPrEx>
          <w:tblCellMar>
            <w:top w:w="0" w:type="dxa"/>
            <w:left w:w="108" w:type="dxa"/>
            <w:bottom w:w="0" w:type="dxa"/>
            <w:right w:w="108" w:type="dxa"/>
          </w:tblCellMar>
        </w:tblPrEx>
        <w:trPr>
          <w:cantSplit/>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zh-CN" w:eastAsia="ar-SA"/>
              </w:rPr>
            </w:pPr>
            <w:r>
              <w:rPr>
                <w:rFonts w:hint="eastAsia" w:ascii="仿宋" w:hAnsi="仿宋" w:eastAsia="仿宋" w:cs="仿宋"/>
                <w:b/>
                <w:bCs/>
                <w:color w:val="000000"/>
                <w:sz w:val="22"/>
                <w:szCs w:val="22"/>
                <w:lang w:val="zh-CN" w:eastAsia="ar-SA"/>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
            </w:r>
          </w:p>
        </w:tc>
      </w:tr>
      <w:tr>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ar-SA"/>
              </w:rPr>
            </w:pPr>
            <w:r>
              <w:rPr>
                <w:rFonts w:hint="eastAsia" w:ascii="仿宋" w:hAnsi="仿宋" w:eastAsia="仿宋" w:cs="仿宋"/>
                <w:b/>
                <w:bCs/>
                <w:color w:val="000000"/>
                <w:sz w:val="22"/>
                <w:szCs w:val="22"/>
                <w:lang w:val="en-US" w:eastAsia="zh-CN"/>
              </w:rPr>
              <w:t>1,163.46</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val="en-US" w:eastAsia="zh-CN"/>
              </w:rPr>
              <w:t>支出</w:t>
            </w:r>
            <w:r>
              <w:rPr>
                <w:rFonts w:hint="eastAsia" w:ascii="仿宋" w:hAnsi="仿宋" w:eastAsia="仿宋" w:cs="仿宋"/>
                <w:b/>
                <w:bCs/>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1,163.46</w:t>
            </w: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8" w:type="default"/>
          <w:pgSz w:w="11906" w:h="16838"/>
          <w:pgMar w:top="1580" w:right="700" w:bottom="770" w:left="69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703"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江阴市体育事业发展服务中心</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1,163.46</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1,163.46</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551.76</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611.70</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358033</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江阴市体育事业发展服务中心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1,163.46</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1,163.46</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551.76</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611.70</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bl>
    <w:p>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9"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CellMar>
            <w:top w:w="55" w:type="dxa"/>
            <w:left w:w="55" w:type="dxa"/>
            <w:bottom w:w="55" w:type="dxa"/>
            <w:right w:w="55" w:type="dxa"/>
          </w:tblCellMar>
        </w:tblPrEx>
        <w:trPr>
          <w:cantSplit/>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cantSplit/>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CellMar>
            <w:top w:w="55" w:type="dxa"/>
            <w:left w:w="55" w:type="dxa"/>
            <w:bottom w:w="55" w:type="dxa"/>
            <w:right w:w="55" w:type="dxa"/>
          </w:tblCellMar>
        </w:tblPrEx>
        <w:trPr>
          <w:cantSplit/>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江阴市体育事业发展服务中心</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cantSplit/>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cantSplit/>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ascii="仿宋" w:hAnsi="仿宋" w:cs="仿宋" w:eastAsia="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1,163.46</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551.76</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611.70</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207</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347.04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347.04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体育</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347.04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347.04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2070308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群众体育</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347.04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347.04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56.80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56.80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42.96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42.96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28.64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28.64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14.32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14.32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13.84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13.84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13.84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13.84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147.92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147.92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147.92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147.92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38.34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38.34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79.74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79.74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购房补贴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29.84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29.84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611.70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611.70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22908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彩票发行销售机构业务费安排的支出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129.70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129.70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2290805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体育彩票销售机构的业务费支出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129.70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129.70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22960</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彩票公益金安排的支出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482.00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482.00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2296003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用于体育事业的彩票公益金支出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482.00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482.00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5" w:type="dxa"/>
        <w:tblLayout w:type="fixed"/>
        <w:tblCellMar>
          <w:top w:w="55" w:type="dxa"/>
          <w:left w:w="55" w:type="dxa"/>
          <w:bottom w:w="55" w:type="dxa"/>
          <w:right w:w="55" w:type="dxa"/>
        </w:tblCellMar>
      </w:tblPr>
      <w:tblGrid>
        <w:gridCol w:w="3987"/>
        <w:gridCol w:w="3960"/>
        <w:gridCol w:w="3943"/>
        <w:gridCol w:w="3899"/>
      </w:tblGrid>
      <w:tr>
        <w:tblPrEx>
          <w:tblCellMar>
            <w:top w:w="55" w:type="dxa"/>
            <w:left w:w="55" w:type="dxa"/>
            <w:bottom w:w="55" w:type="dxa"/>
            <w:right w:w="55" w:type="dxa"/>
          </w:tblCellMar>
        </w:tblPrEx>
        <w:trPr>
          <w:cantSplit/>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cantSplit/>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CellMar>
            <w:top w:w="55" w:type="dxa"/>
            <w:left w:w="55" w:type="dxa"/>
            <w:bottom w:w="55" w:type="dxa"/>
            <w:right w:w="55" w:type="dxa"/>
          </w:tblCellMar>
        </w:tblPrEx>
        <w:trPr>
          <w:cantSplit/>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江阴市体育事业发展服务中心</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cantSplit/>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CellMar>
            <w:top w:w="55" w:type="dxa"/>
            <w:left w:w="55" w:type="dxa"/>
            <w:bottom w:w="55" w:type="dxa"/>
            <w:right w:w="55" w:type="dxa"/>
          </w:tblCellMar>
        </w:tblPrEx>
        <w:trPr>
          <w:cantSplit/>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
            </w:r>
            <w:r>
              <w:rPr>
                <w:rFonts w:ascii="仿宋" w:hAnsi="仿宋" w:cs="仿宋" w:eastAsia="仿宋"/>
                <w:b w:val="true"/>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1,163.46</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1,163.46</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551.76</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611.70</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347.04</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56.80</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147.92</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611.70</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1,163.46</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1,163.46</w:t>
            </w:r>
          </w:p>
        </w:tc>
      </w:tr>
    </w:tbl>
    <w:p>
      <w:pPr>
        <w:ind w:left="-220" w:leftChars="-100" w:firstLine="0" w:firstLineChars="0"/>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CellMar>
            <w:top w:w="55" w:type="dxa"/>
            <w:left w:w="55" w:type="dxa"/>
            <w:bottom w:w="55" w:type="dxa"/>
            <w:right w:w="55" w:type="dxa"/>
          </w:tblCellMar>
        </w:tblPrEx>
        <w:trPr>
          <w:cantSplit/>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CellMar>
            <w:top w:w="55" w:type="dxa"/>
            <w:left w:w="55" w:type="dxa"/>
            <w:bottom w:w="55" w:type="dxa"/>
            <w:right w:w="55" w:type="dxa"/>
          </w:tblCellMar>
        </w:tblPrEx>
        <w:trPr>
          <w:cantSplit/>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CellMar>
            <w:top w:w="55" w:type="dxa"/>
            <w:left w:w="55" w:type="dxa"/>
            <w:bottom w:w="55" w:type="dxa"/>
            <w:right w:w="55" w:type="dxa"/>
          </w:tblCellMar>
        </w:tblPrEx>
        <w:trPr>
          <w:cantSplit/>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江阴市体育事业发展服务中心</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cantSplit/>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1,163.46</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551.76</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528.41</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23.35</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611.70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207</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347.04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347.04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323.69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23.35</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体育</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347.04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347.04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323.69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23.35</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2070308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群众体育</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347.04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347.04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323.69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23.35</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56.80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56.80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56.80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42.96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42.96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42.96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28.64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28.64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28.64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14.32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14.32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14.32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13.84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13.84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13.84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13.84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13.84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13.84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147.92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147.92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147.92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147.92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147.92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147.92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38.34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38.34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38.34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79.74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79.74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79.74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29.84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29.84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29.84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611.70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611.70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22908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彩票发行销售机构业务费安排的支出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129.70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129.70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2290805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体育彩票销售机构的业务费支出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129.70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129.70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22960</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彩票公益金安排的支出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482.00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482.00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2296003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用于体育事业的彩票公益金支出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482.00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482.00</w:t>
            </w: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2"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CellMar>
            <w:top w:w="55" w:type="dxa"/>
            <w:left w:w="55" w:type="dxa"/>
            <w:bottom w:w="55" w:type="dxa"/>
            <w:right w:w="55" w:type="dxa"/>
          </w:tblCellMar>
        </w:tblPrEx>
        <w:trPr>
          <w:cantSplit/>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CellMar>
            <w:top w:w="55" w:type="dxa"/>
            <w:left w:w="55" w:type="dxa"/>
            <w:bottom w:w="55" w:type="dxa"/>
            <w:right w:w="55" w:type="dxa"/>
          </w:tblCellMar>
        </w:tblPrEx>
        <w:trPr>
          <w:cantSplit/>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CellMar>
            <w:top w:w="55" w:type="dxa"/>
            <w:left w:w="55" w:type="dxa"/>
            <w:bottom w:w="55" w:type="dxa"/>
            <w:right w:w="55" w:type="dxa"/>
          </w:tblCellMar>
        </w:tblPrEx>
        <w:trPr>
          <w:cantSplit/>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江阴市体育事业发展服务中心</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CellMar>
            <w:top w:w="55" w:type="dxa"/>
            <w:left w:w="55" w:type="dxa"/>
            <w:bottom w:w="55" w:type="dxa"/>
            <w:right w:w="55" w:type="dxa"/>
          </w:tblCellMar>
        </w:tblPrEx>
        <w:trPr>
          <w:cantSplit/>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cantSplit/>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551.76</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528.41</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23.35</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486.61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486.61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68.58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68.58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87.95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87.95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40.00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110.43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110.43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28.64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28.64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14.32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14.32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11.94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11.94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38.34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38.34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71.50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71.50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23.35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23.35</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5.78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5.78</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0.21</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0.70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0.70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3.52</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公务用车运行维护费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3.84</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41.80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41.80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41.43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41.43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0.37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0.37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3"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CellMar>
            <w:top w:w="55" w:type="dxa"/>
            <w:left w:w="55" w:type="dxa"/>
            <w:bottom w:w="55" w:type="dxa"/>
            <w:right w:w="55" w:type="dxa"/>
          </w:tblCellMar>
        </w:tblPrEx>
        <w:trPr>
          <w:cantSplit/>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CellMar>
            <w:top w:w="55" w:type="dxa"/>
            <w:left w:w="55" w:type="dxa"/>
            <w:bottom w:w="55" w:type="dxa"/>
            <w:right w:w="55" w:type="dxa"/>
          </w:tblCellMar>
        </w:tblPrEx>
        <w:trPr>
          <w:cantSplit/>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CellMar>
            <w:top w:w="55" w:type="dxa"/>
            <w:left w:w="55" w:type="dxa"/>
            <w:bottom w:w="55" w:type="dxa"/>
            <w:right w:w="55" w:type="dxa"/>
          </w:tblCellMar>
        </w:tblPrEx>
        <w:trPr>
          <w:cantSplit/>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江阴市体育事业发展服务中心</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cantSplit/>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551.76</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551.76</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528.41</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23.35</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347.04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347.04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323.69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23.35</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体育</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347.04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347.04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323.69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23.35</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2070308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群众体育</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347.04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347.04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323.69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23.35</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56.80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56.80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56.80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42.96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42.96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42.96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28.64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28.64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28.64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14.32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14.32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14.32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13.84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13.84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13.84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13.84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13.84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13.84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147.92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147.92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147.92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147.92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147.92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147.92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38.34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38.34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38.34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79.74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79.74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79.74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29.84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29.84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29.84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4" w:type="dxa"/>
        <w:tblLayout w:type="fixed"/>
        <w:tblCellMar>
          <w:top w:w="55" w:type="dxa"/>
          <w:left w:w="55" w:type="dxa"/>
          <w:bottom w:w="55" w:type="dxa"/>
          <w:right w:w="55" w:type="dxa"/>
        </w:tblCellMar>
      </w:tblPr>
      <w:tblGrid>
        <w:gridCol w:w="1227"/>
        <w:gridCol w:w="3667"/>
        <w:gridCol w:w="2413"/>
        <w:gridCol w:w="1974"/>
        <w:gridCol w:w="1673"/>
      </w:tblGrid>
      <w:tr>
        <w:tblPrEx>
          <w:tblCellMar>
            <w:top w:w="55" w:type="dxa"/>
            <w:left w:w="55" w:type="dxa"/>
            <w:bottom w:w="55" w:type="dxa"/>
            <w:right w:w="55" w:type="dxa"/>
          </w:tblCellMar>
        </w:tblPrEx>
        <w:trPr>
          <w:cantSplit/>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CellMar>
            <w:top w:w="55" w:type="dxa"/>
            <w:left w:w="55" w:type="dxa"/>
            <w:bottom w:w="55" w:type="dxa"/>
            <w:right w:w="55" w:type="dxa"/>
          </w:tblCellMar>
        </w:tblPrEx>
        <w:trPr>
          <w:cantSplit/>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CellMar>
            <w:top w:w="55" w:type="dxa"/>
            <w:left w:w="55" w:type="dxa"/>
            <w:bottom w:w="55" w:type="dxa"/>
            <w:right w:w="55" w:type="dxa"/>
          </w:tblCellMar>
        </w:tblPrEx>
        <w:trPr>
          <w:cantSplit/>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江阴市体育事业发展服务中心</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CellMar>
            <w:top w:w="55" w:type="dxa"/>
            <w:left w:w="55" w:type="dxa"/>
            <w:bottom w:w="55" w:type="dxa"/>
            <w:right w:w="55" w:type="dxa"/>
          </w:tblCellMar>
        </w:tblPrEx>
        <w:trPr>
          <w:cantSplit/>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cantSplit/>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551.76</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528.41</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23.35</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486.61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486.61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68.58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68.58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87.95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87.95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40.00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110.43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110.43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28.64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28.64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14.32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14.32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11.94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11.94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38.34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38.34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71.50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71.50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23.35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23.35</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5.78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5.78</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0.21</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0.70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0.70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3.52</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公务用车运行维护费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3.84</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41.80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41.80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41.43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41.43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0.37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0.37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5"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CellMar>
            <w:top w:w="55" w:type="dxa"/>
            <w:left w:w="55" w:type="dxa"/>
            <w:bottom w:w="55" w:type="dxa"/>
            <w:right w:w="55" w:type="dxa"/>
          </w:tblCellMar>
        </w:tblPrEx>
        <w:trPr>
          <w:cantSplit/>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CellMar>
            <w:top w:w="55" w:type="dxa"/>
            <w:left w:w="55" w:type="dxa"/>
            <w:bottom w:w="55" w:type="dxa"/>
            <w:right w:w="55" w:type="dxa"/>
          </w:tblCellMar>
        </w:tblPrEx>
        <w:trPr>
          <w:cantSplit/>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CellMar>
            <w:top w:w="55" w:type="dxa"/>
            <w:left w:w="55" w:type="dxa"/>
            <w:bottom w:w="55" w:type="dxa"/>
            <w:right w:w="55" w:type="dxa"/>
          </w:tblCellMar>
        </w:tblPrEx>
        <w:trPr>
          <w:cantSplit/>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江阴市体育事业发展服务中心</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CellMar>
            <w:top w:w="55" w:type="dxa"/>
            <w:left w:w="55" w:type="dxa"/>
            <w:bottom w:w="55" w:type="dxa"/>
            <w:right w:w="55" w:type="dxa"/>
          </w:tblCellMar>
        </w:tblPrEx>
        <w:trPr>
          <w:cantSplit/>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3.40</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0.70</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0.21</w:t>
            </w:r>
          </w:p>
        </w:tc>
      </w:tr>
    </w:tbl>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6"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8" w:type="dxa"/>
        <w:tblLayout w:type="fixed"/>
        <w:tblCellMar>
          <w:top w:w="55" w:type="dxa"/>
          <w:left w:w="55" w:type="dxa"/>
          <w:bottom w:w="55" w:type="dxa"/>
          <w:right w:w="55" w:type="dxa"/>
        </w:tblCellMar>
      </w:tblPr>
      <w:tblGrid>
        <w:gridCol w:w="1618"/>
        <w:gridCol w:w="2834"/>
        <w:gridCol w:w="1783"/>
        <w:gridCol w:w="2092"/>
        <w:gridCol w:w="2485"/>
      </w:tblGrid>
      <w:tr>
        <w:tblPrEx>
          <w:tblCellMar>
            <w:top w:w="55" w:type="dxa"/>
            <w:left w:w="55" w:type="dxa"/>
            <w:bottom w:w="55" w:type="dxa"/>
            <w:right w:w="55" w:type="dxa"/>
          </w:tblCellMar>
        </w:tblPrEx>
        <w:trPr>
          <w:cantSplit/>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CellMar>
            <w:top w:w="55" w:type="dxa"/>
            <w:left w:w="55" w:type="dxa"/>
            <w:bottom w:w="55" w:type="dxa"/>
            <w:right w:w="55" w:type="dxa"/>
          </w:tblCellMar>
        </w:tblPrEx>
        <w:trPr>
          <w:cantSplit/>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CellMar>
            <w:top w:w="55" w:type="dxa"/>
            <w:left w:w="55" w:type="dxa"/>
            <w:bottom w:w="55" w:type="dxa"/>
            <w:right w:w="55" w:type="dxa"/>
          </w:tblCellMar>
        </w:tblPrEx>
        <w:trPr>
          <w:cantSplit/>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江阴市体育事业发展服务中心</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cantSplit/>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CellMar>
            <w:top w:w="55" w:type="dxa"/>
            <w:left w:w="55" w:type="dxa"/>
            <w:bottom w:w="55" w:type="dxa"/>
            <w:right w:w="55" w:type="dxa"/>
          </w:tblCellMar>
        </w:tblPrEx>
        <w:trPr>
          <w:cantSplit/>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cantSplit/>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611.70</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611.70</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229</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其他支出</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611.70</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611.70</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  22908</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彩票发行销售机构业务费安排的支出</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129.70</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129.70</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    2290805</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体育彩票销售机构的业务费支出</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129.70</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129.70</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  22960</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彩票公益金安排的支出</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482.00</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482.00</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    2296003</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用于体育事业的彩票公益金支出</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482.00</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482.00</w:t>
            </w:r>
          </w:p>
        </w:tc>
      </w:tr>
    </w:tbl>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7"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tblPrEx>
          <w:tblCellMar>
            <w:top w:w="0" w:type="dxa"/>
            <w:left w:w="108" w:type="dxa"/>
            <w:bottom w:w="0" w:type="dxa"/>
            <w:right w:w="108" w:type="dxa"/>
          </w:tblCellMar>
        </w:tblPrEx>
        <w:trPr>
          <w:cantSplit/>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CellMar>
            <w:top w:w="0" w:type="dxa"/>
            <w:left w:w="108" w:type="dxa"/>
            <w:bottom w:w="0" w:type="dxa"/>
            <w:right w:w="108" w:type="dxa"/>
          </w:tblCellMar>
        </w:tblPrEx>
        <w:trPr>
          <w:cantSplit/>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CellMar>
            <w:top w:w="0" w:type="dxa"/>
            <w:left w:w="108" w:type="dxa"/>
            <w:bottom w:w="0" w:type="dxa"/>
            <w:right w:w="108" w:type="dxa"/>
          </w:tblCellMar>
        </w:tblPrEx>
        <w:trPr>
          <w:cantSplit/>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江阴市体育事业发展服务中心</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CellMar>
            <w:top w:w="0" w:type="dxa"/>
            <w:left w:w="108" w:type="dxa"/>
            <w:bottom w:w="0" w:type="dxa"/>
            <w:right w:w="108" w:type="dxa"/>
          </w:tblCellMar>
        </w:tblPrEx>
        <w:trPr>
          <w:cantSplit/>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CellMar>
            <w:top w:w="0" w:type="dxa"/>
            <w:left w:w="108" w:type="dxa"/>
            <w:bottom w:w="0" w:type="dxa"/>
            <w:right w:w="108" w:type="dxa"/>
          </w:tblCellMar>
        </w:tblPrEx>
        <w:trPr>
          <w:cantSplit/>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cantSplit/>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CellMar>
            <w:top w:w="0" w:type="dxa"/>
            <w:left w:w="108" w:type="dxa"/>
            <w:bottom w:w="0" w:type="dxa"/>
            <w:right w:w="108" w:type="dxa"/>
          </w:tblCellMar>
        </w:tblPrEx>
        <w:trPr>
          <w:cantSplit/>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r>
      <w:tr>
        <w:tblPrEx>
          <w:tblCellMar>
            <w:top w:w="0" w:type="dxa"/>
            <w:left w:w="108" w:type="dxa"/>
            <w:bottom w:w="0" w:type="dxa"/>
            <w:right w:w="108" w:type="dxa"/>
          </w:tblCellMar>
        </w:tblPrEx>
        <w:trPr>
          <w:cantSplit/>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0" w:type="dxa"/>
            <w:left w:w="108" w:type="dxa"/>
            <w:bottom w:w="0" w:type="dxa"/>
            <w:right w:w="108" w:type="dxa"/>
          </w:tblCellMar>
        </w:tblPrEx>
        <w:trPr>
          <w:cantSplit/>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ascii="仿宋" w:hAnsi="仿宋" w:cs="仿宋" w:eastAsia="仿宋"/>
          <w:b w:val="true"/>
          <w:sz w:val="22"/>
        </w:rPr>
        <w:t>注：本</w:t>
      </w:r>
      <w:r>
        <w:rPr>
          <w:rFonts w:ascii="仿宋" w:hAnsi="仿宋" w:cs="仿宋" w:eastAsia="仿宋"/>
          <w:b w:val="true"/>
          <w:sz w:val="22"/>
        </w:rPr>
        <w:t>单位</w:t>
      </w:r>
      <w:r>
        <w:rPr>
          <w:rFonts w:ascii="仿宋" w:hAnsi="仿宋" w:cs="仿宋" w:eastAsia="仿宋"/>
          <w:b w:val="true"/>
          <w:sz w:val="22"/>
        </w:rPr>
        <w:t>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CellMar>
            <w:top w:w="55" w:type="dxa"/>
            <w:left w:w="55" w:type="dxa"/>
            <w:bottom w:w="55" w:type="dxa"/>
            <w:right w:w="55" w:type="dxa"/>
          </w:tblCellMar>
        </w:tblPrEx>
        <w:trPr>
          <w:cantSplit/>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cantSplit/>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CellMar>
            <w:top w:w="55" w:type="dxa"/>
            <w:left w:w="55" w:type="dxa"/>
            <w:bottom w:w="55" w:type="dxa"/>
            <w:right w:w="55" w:type="dxa"/>
          </w:tblCellMar>
        </w:tblPrEx>
        <w:trPr>
          <w:cantSplit/>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江阴市体育事业发展服务中心</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1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CellMar>
            <w:top w:w="55" w:type="dxa"/>
            <w:left w:w="55" w:type="dxa"/>
            <w:bottom w:w="55" w:type="dxa"/>
            <w:right w:w="55" w:type="dxa"/>
          </w:tblCellMar>
        </w:tblPrEx>
        <w:trPr>
          <w:cantSplit/>
          <w:trHeight w:val="90"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rPr>
              <w:t/>
            </w: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numPr>
          <w:ilvl w:val="0"/>
          <w:numId w:val="0"/>
        </w:numPr>
        <w:tabs>
          <w:tab w:val="left" w:pos="-440"/>
        </w:tabs>
        <w:spacing w:before="25" w:after="0"/>
        <w:ind w:left="-440" w:leftChars="0" w:right="-220" w:rightChars="-100" w:firstLine="0" w:firstLine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numPr>
          <w:ilvl w:val="0"/>
          <w:numId w:val="0"/>
        </w:numPr>
        <w:tabs>
          <w:tab w:val="left" w:pos="-440"/>
        </w:tabs>
        <w:spacing w:before="25" w:after="0"/>
        <w:ind w:left="-440" w:leftChars="0" w:firstLine="0" w:firstLineChars="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lang w:val="en-US" w:eastAsia="zh-CN"/>
        </w:rPr>
        <w:t>2.</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无一般公共预算机关运行经费支出，故本表无数据。</w:t>
      </w:r>
      <w:r>
        <w:rPr>
          <w:rFonts w:ascii="仿宋" w:hAnsi="仿宋" w:cs="仿宋" w:eastAsia="仿宋"/>
          <w:b w:val="true"/>
          <w:sz w:val="22"/>
        </w:rPr>
        <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8" w:type="default"/>
          <w:pgSz w:w="11906" w:h="16838"/>
          <w:pgMar w:top="1100" w:right="906"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67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1192"/>
        <w:gridCol w:w="1200"/>
        <w:gridCol w:w="15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rPr>
          <w:cantSplit/>
        </w:trPr>
        <w:tc>
          <w:tcPr>
            <w:tcW w:w="15676"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15676"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江阴市体育事业发展服务中心</w:t>
            </w:r>
          </w:p>
        </w:tc>
        <w:tc>
          <w:tcPr>
            <w:tcW w:w="4618"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left"/>
              <w:rPr>
                <w:rFonts w:hint="eastAsia" w:ascii="仿宋" w:hAnsi="仿宋" w:eastAsia="仿宋" w:cs="仿宋"/>
                <w:lang w:val="en-US" w:eastAsia="zh-CN"/>
              </w:rPr>
            </w:pPr>
          </w:p>
        </w:tc>
        <w:tc>
          <w:tcPr>
            <w:tcW w:w="1548"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618"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548"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548"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r>
              <w:rPr>
                <w:rFonts w:hint="eastAsia" w:ascii="仿宋" w:hAnsi="仿宋" w:eastAsia="仿宋" w:cs="仿宋"/>
                <w:sz w:val="22"/>
                <w:szCs w:val="22"/>
              </w:rPr>
              <w:t/>
            </w: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bl>
    <w:p>
      <w:pPr>
        <w:numPr>
          <w:ilvl w:val="0"/>
          <w:numId w:val="0"/>
        </w:numPr>
        <w:bidi w:val="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无政府采购支出，故本表无数据。</w:t>
      </w:r>
      <w:r>
        <w:rPr>
          <w:rFonts w:hint="eastAsia" w:ascii="仿宋" w:hAnsi="仿宋" w:eastAsia="仿宋" w:cs="仿宋"/>
          <w:b/>
          <w:bCs/>
          <w:sz w:val="22"/>
          <w:szCs w:val="22"/>
        </w:rPr>
        <w:t/>
      </w:r>
    </w:p>
    <w:p>
      <w:pPr>
        <w:bidi w:val="0"/>
        <w:rPr>
          <w:rFonts w:hint="eastAsia" w:ascii="仿宋" w:hAnsi="仿宋" w:eastAsia="仿宋" w:cs="仿宋"/>
          <w:b/>
          <w:bCs/>
          <w:sz w:val="22"/>
          <w:szCs w:val="22"/>
        </w:rPr>
        <w:sectPr>
          <w:footerReference r:id="rId19" w:type="default"/>
          <w:pgSz w:w="16838" w:h="11906" w:orient="landscape"/>
          <w:pgMar w:top="1320" w:right="567" w:bottom="1320" w:left="56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2023</w:t>
      </w:r>
      <w:r>
        <w:rPr>
          <w:rFonts w:hint="eastAsia" w:ascii="仿宋" w:hAnsi="仿宋" w:eastAsia="仿宋" w:cs="仿宋"/>
          <w:b/>
          <w:bCs/>
          <w:sz w:val="44"/>
          <w:szCs w:val="44"/>
        </w:rPr>
        <w:t>年度</w:t>
      </w:r>
      <w:r>
        <w:rPr>
          <w:rFonts w:ascii="仿宋" w:hAnsi="仿宋" w:cs="仿宋" w:eastAsia="仿宋"/>
          <w:b w:val="true"/>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江阴市体育事业发展服务中心2023年度收入、支出预算总计1,163.46万元，与上年相比收、支预算总计各增加55.02万元，增长4.96%。</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（一）收入预算总计1,163.46万元。包括：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1．本年收入合计1,163.46万元。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（1）一般公共预算拨款收入551.76万元，与上年相比减少131.98万元，减少19.3%。主要原因是预算拨款收入减少，工资福利支出减少。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（2）政府性基金预算拨款收入611.7万元，与上年相比增加187万元，增长44.03%。主要原因是项目支出体育场馆免、低收费配套补助（上级）增加。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（3）国有资本经营预算拨款收入0万元，与上年预算数相同。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（4）财政专户管理资金收入0万元，与上年预算数相同。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（5）事业收入0万元，与上年预算数相同。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（6）事业单位经营收入0万元，与上年预算数相同。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（7）上级补助收入0万元，与上年预算数相同。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（8）附属单位上缴收入0万元，与上年预算数相同。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（9）其他收入0万元，与上年预算数相同。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2．上年结转结余为0万元。与上年预算数相同。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（二）支出预算总计1,163.46万元。包括：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1．本年支出合计1,163.46万元。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（1）文化旅游体育与传媒支出（类）支出347.04万元，主要用于工资福利支出、商品和服务支出、对个人和家庭补助支出。与上年相比减少129.82万元，减少27.22%。主要原因是工资福利支出减少。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（2）社会保障和就业支出（类）支出56.8万元，主要用于机关事业单位基本养老保险缴费支出、职业年金缴费支出、社保缴费支出。与上年相比减少4.52万元，减少7.37%。主要原因是基数调整。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（3）住房保障支出（类）支出147.92万元，主要用于住房公积金支出、提租补贴支出、购房补贴支出。与上年相比增加2.36万元，增长1.62%。主要原因是增加人员。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（4）其他支出（类）支出611.7万元，主要用于体育彩票销售机构的业务费支出和用于体育事业的彩票公益金支出。与上年相比增加187万元，增长44.03%。主要原因是体育场馆免、低收费配套补助（上级）增加。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2．年终结转结余为0万元。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二、收入预算情况说明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江阴市体育事业发展服务中心2023年收入预算合计1,163.46万元，包括本年收入1,163.46万元，上年结转结余0万元。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本年一般公共预算收入551.76万元，占47.42%；</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本年政府性基金预算收入611.7万元，占52.58%；</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本年事业单位经营收入0万元，占0%；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本年上级补助收入0万元，占0%；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本年附属单位上缴收入0万元，占0%；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本年其他收入0万元，占0%；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上年结转结余的一般公共预算收入0万元，占0%；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上年结转结余的单位资金0万元，占0%。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1" name="Drawing 1" descr="Generated"/>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true"/>
                    </pic:cNvPicPr>
                  </pic:nvPicPr>
                  <pic:blipFill>
                    <a:blip r:embed="rId24"/>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三、支出预算情况说明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江阴市体育事业发展服务中心2023年支出预算合计1,163.46万元，其中：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基本支出551.76万元，占47.42%；</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项目支出611.7万元，占52.58%；</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事业单位经营支出0万元，占0%；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上缴上级支出0万元，占0%；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对附属单位补助支出0万元，占0%。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2" name="Drawing 2" descr="Generated"/>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true"/>
                    </pic:cNvPicPr>
                  </pic:nvPicPr>
                  <pic:blipFill>
                    <a:blip r:embed="rId25"/>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四、财政拨款收支预算总体情况说明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江阴市体育事业发展服务中心2023年度财政拨款收、支总预算1,163.46万元。与上年相比，财政拨款收、支总计各增加55.02万元，增长4.96%。主要原因是政府性基金预算拨款收入、支出增加。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五、财政拨款支出预算情况说明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江阴市体育事业发展服务中心2023年财政拨款预算支出1,163.46万元，占本年支出合计的100%。与上年相比，财政拨款支出增加55.02万元，增长4.96%。主要原因是项目支出增加。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（一）文化旅游体育与传媒支出（类）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体育（款）群众体育（项）支出347.04万元，与上年相比减少129.82万元，减少27.22%。主要原因是工资福利支出减少。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（二）社会保障和就业支出（类）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1.行政事业单位养老支出（款）机关事业单位基本养老保险缴费支出（项）支出28.64万元，与上年相比减少3.97万元，减少12.17%。主要原因是基数调整。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2.行政事业单位养老支出（款）机关事业单位职业年金缴费支出（项）支出14.32万元，与上年相比减少1.99万元，减少12.2%。主要原因是基数调整。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3.其他社会保障和就业支出（款）其他社会保障和就业支出（项）支出13.84万元，与上年相比增加1.44万元，增长11.61%。主要原因是增加人员。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（三）住房保障支出（类）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1.住房改革支出（款）住房公积金（项）支出38.34万元，与上年相比增加0.75万元，增长2%。主要原因是增加人员。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2.住房改革支出（款）提租补贴（项）支出79.74万元，与上年预算数相同。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3.住房改革支出（款）购房补贴（项）支出29.84万元，与上年相比增加1.61万元，增长5.7%。主要原因是增加人员。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（四）其他支出（类）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1.彩票发行销售机构业务费安排的支出（款）体育彩票销售机构的业务费支出（项）支出129.7万元，与上年相比减少30万元，减少18.79%。主要原因是项目支出减少。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2.彩票公益金安排的支出（款）用于体育事业的彩票公益金支出（项）支出482万元，与上年相比增加217万元，增长81.89%。主要原因是项目支出增加。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六、财政拨款基本支出预算情况说明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江阴市体育事业发展服务中心2023年度财政拨款基本支出预算551.76万元，其中：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528.41万元。主要包括：基本工资、津贴补贴、奖金、伙食补助费、绩效工资、机关事业单位基本养老保险缴费、职业年金缴费、职工基本医疗保险缴费、其他社会保障缴费、住房公积金、医疗费、其他工资福利支出、退休费、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（二）公用经费23.35万元。主要包括：办公费、水费、电费、培训费、公务接待费、工会经费、公务用车运行维护费、其他交通费用、其他商品和服务支出。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七、一般公共预算支出预算情况说明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江阴市体育事业发展服务中心2023年一般公共预算财政拨款支出预算551.76万元，与上年相比减少131.98万元，减少19.3%。主要原因是工资福利支出减少。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八、一般公共预算基本支出预算情况说明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江阴市体育事业发展服务中心2023年度一般公共预算财政拨款基本支出预算551.76万元，其中：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528.41万元。主要包括：基本工资、津贴补贴、奖金、伙食补助费、绩效工资、机关事业单位基本养老保险缴费、职业年金缴费、职工基本医疗保险缴费、其他社会保障缴费、住房公积金、医疗费、其他工资福利支出、退休费、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（二）公用经费23.35万元。主要包括：办公费、水费、电费、培训费、公务接待费、工会经费、公务用车运行维护费、其他交通费用、其他商品和服务支出。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九、一般公共预算“三公”经费、会议费、培训费支出预算情况说明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体育事业发展服务中心2023年度一般公共预算拨款安排的“三公”经费预算支出中，因公出国（境）费支出0万元，占“三公”经费的0%；公务用车购置及运行维护费支出2.7万元，占“三公”经费的79.41%；公务接待费支出0.7万元，占“三公”经费的20.59%。具体情况如下：</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1．因公出国（境）费预算支出0万元，与上年预算数相同。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2．公务用车购置及运行维护费预算支出2.7万元。其中：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（1）公务用车购置预算支出0万元，与上年预算数相同。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（2）公务用车运行维护费预算支出2.7万元，与上年预算数相同。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3．公务接待费预算支出0.7万元，比上年预算减少0.3万元，主要原因是疫情原因，减少公务接待。</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江阴市体育事业发展服务中心2023年度一般公共预算拨款安排的会议费预算支出0万元，与上年预算数相同。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江阴市体育事业发展服务中心2023年度一般公共预算拨款安排的培训费预算支出0.21万元，比上年预算减少0.09万元，主要原因是疫情原因，减少培训。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十、政府性基金预算支出预算情况说明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江阴市体育事业发展服务中心2023年政府性基金支出预算支出611.7万元。与上年相比增加187万元，增长44.03%。主要原因是项目支出增加。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1.其他支出（类）彩票发行销售机构业务费安排的支出（款）体育彩票销售机构的业务费支出（项）支出129.7万元，主要是用于体彩项目业务费支出等。</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2.其他支出（类）彩票公益金安排的支出（款）用于体育事业的彩票公益金支出（项）支出482万元，主要是用于市属体育场馆免费和低收费配套补助等专项支出。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十一、国有资本经营预算支出预算情况说明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江阴市体育事业发展服务中心2023年国有资本经营预算支出0万元。与上年预算数相同。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十二、一般公共预算机关运行经费支出预算情况说明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2023年本单位一般公共预算机关运行经费预算支出0万元。与上年预算数相同。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十三、政府采购支出预算情况说明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2023年度政府采购支出预算总额0万元，其中：拟采购货物支出0万元、拟采购工程支出0万元、拟采购服务支出0万元。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十四、国有资产占用情况说明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单位共有车辆1辆，其中，副部（省）级及以上领导用车0辆、主要领导干部用车0辆、机要通信用车0辆、应急保障用车0辆、执法执勤用车0辆、特种专业技术用车0辆、离退休干部用车0辆，其他用车1辆；单价50万元（含）以上的通用设备0台（套），单价100万元（含）以上的专用设备0台（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十五、预算绩效目标设置情况说明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2023年度，本单位整体支出纳入绩效目标管理，涉及财政性资金1,163.46万元；本单位共5个项目纳入绩效目标管理，涉及财政性资金合计611.7万元，占财政性资金(基本支出除外)总额的比例为100%。</w:t>
      </w:r>
      <w:r>
        <w:rPr>
          <w:rFonts w:ascii="仿宋" w:hAnsi="仿宋" w:cs="仿宋" w:eastAsia="仿宋"/>
        </w:rPr>
        <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cs="仿宋" w:eastAsia="仿宋"/>
          <w:b w:val="true"/>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cs="仿宋" w:eastAsia="仿宋"/>
          <w:b w:val="true"/>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cs="仿宋" w:eastAsia="仿宋"/>
          <w:b w:val="true"/>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cs="仿宋" w:eastAsia="仿宋"/>
          <w:b w:val="true"/>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cs="仿宋" w:eastAsia="仿宋"/>
          <w:b w:val="true"/>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cs="仿宋" w:eastAsia="仿宋"/>
          <w:b w:val="true"/>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cs="仿宋" w:eastAsia="仿宋"/>
          <w:b w:val="true"/>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八、文化旅游体育与传媒支出(类)体育(款)群众体育(项)</w:t>
      </w:r>
      <w:r>
        <w:rPr>
          <w:rFonts w:ascii="仿宋" w:hAnsi="仿宋" w:cs="仿宋" w:eastAsia="仿宋"/>
          <w:b w:val="true"/>
        </w:rPr>
        <w:t>：</w:t>
      </w:r>
      <w:r>
        <w:rPr>
          <w:rFonts w:hint="eastAsia" w:ascii="仿宋" w:hAnsi="仿宋" w:eastAsia="仿宋" w:cs="仿宋"/>
        </w:rPr>
        <w:t>反映业余体校和全民健身等群众体育活动方面的支出。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九、社会保障和就业支出(类)行政事业单位养老支出(款)机关事业单位基本养老保险缴费支出(项)</w:t>
      </w:r>
      <w:r>
        <w:rPr>
          <w:rFonts w:ascii="仿宋" w:hAnsi="仿宋" w:cs="仿宋" w:eastAsia="仿宋"/>
          <w:b w:val="true"/>
        </w:rPr>
        <w:t>：</w:t>
      </w:r>
      <w:r>
        <w:rPr>
          <w:rFonts w:hint="eastAsia" w:ascii="仿宋" w:hAnsi="仿宋" w:eastAsia="仿宋" w:cs="仿宋"/>
        </w:rPr>
        <w:t>反映机关事业单位实施养老保险制度由单位缴纳的基本养老保险费支出。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十、社会保障和就业支出(类)行政事业单位养老支出(款)机关事业单位职业年金缴费支出(项)</w:t>
      </w:r>
      <w:r>
        <w:rPr>
          <w:rFonts w:ascii="仿宋" w:hAnsi="仿宋" w:cs="仿宋" w:eastAsia="仿宋"/>
          <w:b w:val="true"/>
        </w:rPr>
        <w:t>：</w:t>
      </w:r>
      <w:r>
        <w:rPr>
          <w:rFonts w:hint="eastAsia" w:ascii="仿宋" w:hAnsi="仿宋" w:eastAsia="仿宋" w:cs="仿宋"/>
        </w:rPr>
        <w:t>反映机关事业单位实施养老保险制度由单位实际缴纳的职业年金支出。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十一、社会保障和就业支出(类)其他社会保障和就业支出(款)其他社会保障和就业支出(项)</w:t>
      </w:r>
      <w:r>
        <w:rPr>
          <w:rFonts w:ascii="仿宋" w:hAnsi="仿宋" w:cs="仿宋" w:eastAsia="仿宋"/>
          <w:b w:val="true"/>
        </w:rPr>
        <w:t>：</w:t>
      </w:r>
      <w:r>
        <w:rPr>
          <w:rFonts w:hint="eastAsia" w:ascii="仿宋" w:hAnsi="仿宋" w:eastAsia="仿宋" w:cs="仿宋"/>
        </w:rPr>
        <w:t>反映除上述项目以外其他用于社会保障和就业方面的支出。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十二、住房保障支出(类)住房改革支出(款)住房公积金(项)</w:t>
      </w:r>
      <w:r>
        <w:rPr>
          <w:rFonts w:ascii="仿宋" w:hAnsi="仿宋" w:cs="仿宋" w:eastAsia="仿宋"/>
          <w:b w:val="true"/>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十三、住房保障支出(类)住房改革支出(款)提租补贴(项)</w:t>
      </w:r>
      <w:r>
        <w:rPr>
          <w:rFonts w:ascii="仿宋" w:hAnsi="仿宋" w:cs="仿宋" w:eastAsia="仿宋"/>
          <w:b w:val="true"/>
        </w:rPr>
        <w:t>：</w:t>
      </w:r>
      <w:r>
        <w:rPr>
          <w:rFonts w:hint="eastAsia" w:ascii="仿宋" w:hAnsi="仿宋" w:eastAsia="仿宋" w:cs="仿宋"/>
        </w:rPr>
        <w:t>反映按房改政策规定的标准，行政事业单位向职工（含离退休人员）发放的租金补贴。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十四、住房保障支出(类)住房改革支出(款)购房补贴(项)</w:t>
      </w:r>
      <w:r>
        <w:rPr>
          <w:rFonts w:ascii="仿宋" w:hAnsi="仿宋" w:cs="仿宋" w:eastAsia="仿宋"/>
          <w:b w:val="true"/>
        </w:rPr>
        <w:t>：</w:t>
      </w:r>
      <w:r>
        <w:rPr>
          <w:rFonts w:hint="eastAsia" w:ascii="仿宋" w:hAnsi="仿宋" w:eastAsia="仿宋" w:cs="仿宋"/>
        </w:rPr>
        <w:t>反映按房改政策规定，行政事业单位向符合条件职工（含离退休人员）、军队(含武警)向转役复员离退休人员发放的用于购买住房的补贴。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十五、其他支出(类)彩票发行销售机构业务费安排的支出(款)体育彩票销售机构的业务费支出(项)</w:t>
      </w:r>
      <w:r>
        <w:rPr>
          <w:rFonts w:ascii="仿宋" w:hAnsi="仿宋" w:cs="仿宋" w:eastAsia="仿宋"/>
          <w:b w:val="true"/>
        </w:rPr>
        <w:t>：</w:t>
      </w:r>
      <w:r>
        <w:rPr>
          <w:rFonts w:hint="eastAsia" w:ascii="仿宋" w:hAnsi="仿宋" w:eastAsia="仿宋" w:cs="仿宋"/>
        </w:rPr>
        <w:t>反映体育彩票销售机构的业务费用支出。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十六、其他支出(类)彩票公益金安排的支出(款)用于体育事业的彩票公益金支出(项)</w:t>
      </w:r>
      <w:r>
        <w:rPr>
          <w:rFonts w:ascii="仿宋" w:hAnsi="仿宋" w:cs="仿宋" w:eastAsia="仿宋"/>
          <w:b w:val="true"/>
        </w:rPr>
        <w:t>：</w:t>
      </w:r>
      <w:r>
        <w:rPr>
          <w:rFonts w:hint="eastAsia" w:ascii="仿宋" w:hAnsi="仿宋" w:eastAsia="仿宋" w:cs="仿宋"/>
        </w:rPr>
        <w:t>反映用于体育事业的彩票公益金支出。</w:t>
      </w:r>
    </w:p>
    <w:sectPr>
      <w:pgSz w:w="11906" w:h="16838"/>
      <w:pgMar w:top="1580" w:right="820" w:bottom="770" w:left="822"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panose1 w:val="020B0604020202020204"/>
    <w:charset w:val="86"/>
    <w:family w:val="roman"/>
    <w:pitch w:val="default"/>
    <w:sig w:usb0="E0000AFF" w:usb1="500078FF" w:usb2="00000021" w:usb3="00000000" w:csb0="600001BF" w:csb1="DFF70000"/>
  </w:font>
  <w:font w:name="Liberation Mono">
    <w:panose1 w:val="02070409020205020404"/>
    <w:charset w:val="86"/>
    <w:family w:val="roman"/>
    <w:pitch w:val="default"/>
    <w:sig w:usb0="E0000AFF" w:usb1="400078FF" w:usb2="00000001" w:usb3="00000000" w:csb0="600001BF" w:csb1="DFF7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4" o:spid="_x0000_s4104"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5" o:spid="_x0000_s4105"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6" o:spid="_x0000_s4106"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7" o:spid="_x0000_s4107"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8" o:spid="_x0000_s4108"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0" o:spid="_x0000_s4110"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16</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113" o:spid="_x0000_s411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1" o:spid="_x0000_s411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2" o:spid="_x0000_s411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3" o:spid="_x0000_s410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江阴市体育事业发展服务中心</w:t>
    </w:r>
    <w:r>
      <w:t>2023</w:t>
    </w:r>
    <w:r>
      <w:t>年度</w:t>
    </w:r>
    <w:r>
      <w:t>单位</w:t>
    </w:r>
    <w:r>
      <w:t>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MGUwNWYwNGFmYzNiMTMwMzI4MzFhMzI2ZWRjOTFjMmMifQ=="/>
  </w:docVars>
  <w:rsids>
    <w:rsidRoot w:val="00000000"/>
    <w:rsid w:val="00064984"/>
    <w:rsid w:val="00071288"/>
    <w:rsid w:val="00071789"/>
    <w:rsid w:val="000F12AB"/>
    <w:rsid w:val="001C31F9"/>
    <w:rsid w:val="00407CA7"/>
    <w:rsid w:val="00413AD8"/>
    <w:rsid w:val="004460AE"/>
    <w:rsid w:val="005F037B"/>
    <w:rsid w:val="00671ED7"/>
    <w:rsid w:val="00672164"/>
    <w:rsid w:val="00867423"/>
    <w:rsid w:val="008B5B05"/>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A7C48"/>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931509"/>
    <w:rsid w:val="08A333FC"/>
    <w:rsid w:val="08B16290"/>
    <w:rsid w:val="08BD1AAD"/>
    <w:rsid w:val="08D342E7"/>
    <w:rsid w:val="08E134F8"/>
    <w:rsid w:val="08FC0605"/>
    <w:rsid w:val="08FE52B0"/>
    <w:rsid w:val="090F5FB7"/>
    <w:rsid w:val="09165D85"/>
    <w:rsid w:val="092660BA"/>
    <w:rsid w:val="0932487E"/>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6747AF"/>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C6242A"/>
    <w:rsid w:val="0DD06A00"/>
    <w:rsid w:val="0DE15F97"/>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405BCB"/>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1037A82"/>
    <w:rsid w:val="1106739D"/>
    <w:rsid w:val="11082369"/>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290F74"/>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61AB0"/>
    <w:rsid w:val="167F1A6B"/>
    <w:rsid w:val="16971C37"/>
    <w:rsid w:val="16BC7A59"/>
    <w:rsid w:val="16BE14E7"/>
    <w:rsid w:val="16BE34FA"/>
    <w:rsid w:val="16E22E32"/>
    <w:rsid w:val="16ED632E"/>
    <w:rsid w:val="170E72F7"/>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936F0"/>
    <w:rsid w:val="1D0E4D1B"/>
    <w:rsid w:val="1D0F64B4"/>
    <w:rsid w:val="1D103F06"/>
    <w:rsid w:val="1D201166"/>
    <w:rsid w:val="1D3214B5"/>
    <w:rsid w:val="1D383DB3"/>
    <w:rsid w:val="1D387361"/>
    <w:rsid w:val="1D387D1B"/>
    <w:rsid w:val="1D552DD9"/>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D2622D"/>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37CF"/>
    <w:rsid w:val="1F724421"/>
    <w:rsid w:val="1F8122F8"/>
    <w:rsid w:val="1F8B39C7"/>
    <w:rsid w:val="1F8C1569"/>
    <w:rsid w:val="1FA17CC2"/>
    <w:rsid w:val="1FB1012B"/>
    <w:rsid w:val="1FD5645B"/>
    <w:rsid w:val="1FD866E0"/>
    <w:rsid w:val="1FE16BA6"/>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650D4A"/>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C56A83"/>
    <w:rsid w:val="23CC14AA"/>
    <w:rsid w:val="23D87A5D"/>
    <w:rsid w:val="23F81D1C"/>
    <w:rsid w:val="23F87AE8"/>
    <w:rsid w:val="24004EF0"/>
    <w:rsid w:val="241C168B"/>
    <w:rsid w:val="242403FF"/>
    <w:rsid w:val="242B2707"/>
    <w:rsid w:val="24361C71"/>
    <w:rsid w:val="2443382C"/>
    <w:rsid w:val="244706D0"/>
    <w:rsid w:val="244E4876"/>
    <w:rsid w:val="2455798C"/>
    <w:rsid w:val="246E4FE1"/>
    <w:rsid w:val="247771B1"/>
    <w:rsid w:val="24797436"/>
    <w:rsid w:val="24893698"/>
    <w:rsid w:val="248A0DA1"/>
    <w:rsid w:val="248B0DC9"/>
    <w:rsid w:val="24EF440E"/>
    <w:rsid w:val="25175618"/>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36C3A"/>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269B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660CEE"/>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75736"/>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9B06AC"/>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0C25"/>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EA0FD5"/>
    <w:rsid w:val="35F036ED"/>
    <w:rsid w:val="35F11C61"/>
    <w:rsid w:val="35F50D12"/>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A04C6E"/>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55B41"/>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4C3E35"/>
    <w:rsid w:val="3E535C24"/>
    <w:rsid w:val="3E570308"/>
    <w:rsid w:val="3E600BB4"/>
    <w:rsid w:val="3E8A2129"/>
    <w:rsid w:val="3E8C3990"/>
    <w:rsid w:val="3E917B3F"/>
    <w:rsid w:val="3EB37670"/>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2D2B6A"/>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F047E0"/>
    <w:rsid w:val="43FD6F00"/>
    <w:rsid w:val="440B02B4"/>
    <w:rsid w:val="44123DA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42A3E"/>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5E4F5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52F0C"/>
    <w:rsid w:val="4E0911A0"/>
    <w:rsid w:val="4E0D72D8"/>
    <w:rsid w:val="4E1F24C4"/>
    <w:rsid w:val="4E2F0959"/>
    <w:rsid w:val="4E383ED6"/>
    <w:rsid w:val="4E5172B9"/>
    <w:rsid w:val="4E560D60"/>
    <w:rsid w:val="4E564593"/>
    <w:rsid w:val="4E5A2684"/>
    <w:rsid w:val="4E66521C"/>
    <w:rsid w:val="4E703F51"/>
    <w:rsid w:val="4E905710"/>
    <w:rsid w:val="4E942C0A"/>
    <w:rsid w:val="4E98220D"/>
    <w:rsid w:val="4EA02FF7"/>
    <w:rsid w:val="4EB7399D"/>
    <w:rsid w:val="4ECD2716"/>
    <w:rsid w:val="4EDA695D"/>
    <w:rsid w:val="4EE05B39"/>
    <w:rsid w:val="4EE54AFA"/>
    <w:rsid w:val="4EE73AF5"/>
    <w:rsid w:val="4EE84EA5"/>
    <w:rsid w:val="4EEE4AF5"/>
    <w:rsid w:val="4EF82E0F"/>
    <w:rsid w:val="4F0B544D"/>
    <w:rsid w:val="4F0E4A13"/>
    <w:rsid w:val="4F1E4B12"/>
    <w:rsid w:val="4F301FB1"/>
    <w:rsid w:val="4F3A2B02"/>
    <w:rsid w:val="4F4F7329"/>
    <w:rsid w:val="4F5260B5"/>
    <w:rsid w:val="4F560168"/>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21CB3"/>
    <w:rsid w:val="50E74C38"/>
    <w:rsid w:val="50E76F7B"/>
    <w:rsid w:val="50EB303A"/>
    <w:rsid w:val="51025571"/>
    <w:rsid w:val="510819A0"/>
    <w:rsid w:val="510C31D4"/>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5837C3"/>
    <w:rsid w:val="5371534A"/>
    <w:rsid w:val="53720C63"/>
    <w:rsid w:val="53760DD8"/>
    <w:rsid w:val="537700D3"/>
    <w:rsid w:val="53811681"/>
    <w:rsid w:val="538A520F"/>
    <w:rsid w:val="538C6CFB"/>
    <w:rsid w:val="53933E3F"/>
    <w:rsid w:val="53A45110"/>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A48F8"/>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45BC9"/>
    <w:rsid w:val="56CF2CD9"/>
    <w:rsid w:val="56CF2CF8"/>
    <w:rsid w:val="56D50BC3"/>
    <w:rsid w:val="56E34EAC"/>
    <w:rsid w:val="570203D1"/>
    <w:rsid w:val="571159E3"/>
    <w:rsid w:val="571D3ABE"/>
    <w:rsid w:val="571F6B78"/>
    <w:rsid w:val="57477BC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D261A6"/>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564CD"/>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30A1C"/>
    <w:rsid w:val="5DAB4981"/>
    <w:rsid w:val="5DAF2ED6"/>
    <w:rsid w:val="5DCD5EDE"/>
    <w:rsid w:val="5DDD01B0"/>
    <w:rsid w:val="5DE31BF8"/>
    <w:rsid w:val="5DEE4FE1"/>
    <w:rsid w:val="5DEE7E4B"/>
    <w:rsid w:val="5DF434DB"/>
    <w:rsid w:val="5E040F9B"/>
    <w:rsid w:val="5E163DAD"/>
    <w:rsid w:val="5E18199F"/>
    <w:rsid w:val="5E276BBA"/>
    <w:rsid w:val="5E4A3124"/>
    <w:rsid w:val="5E4A34BA"/>
    <w:rsid w:val="5E525F9E"/>
    <w:rsid w:val="5E555E36"/>
    <w:rsid w:val="5E572B7B"/>
    <w:rsid w:val="5E715DE0"/>
    <w:rsid w:val="5E817F26"/>
    <w:rsid w:val="5E993BCD"/>
    <w:rsid w:val="5EA248D0"/>
    <w:rsid w:val="5EC875D4"/>
    <w:rsid w:val="5ED929BD"/>
    <w:rsid w:val="5EDD61AF"/>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B4C28"/>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3FA6EBC"/>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CD22CB"/>
    <w:rsid w:val="64D17A33"/>
    <w:rsid w:val="64DB0DE6"/>
    <w:rsid w:val="65192F42"/>
    <w:rsid w:val="651C413F"/>
    <w:rsid w:val="651F176C"/>
    <w:rsid w:val="652354FE"/>
    <w:rsid w:val="65243799"/>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A57E71"/>
    <w:rsid w:val="66A76320"/>
    <w:rsid w:val="66BD4460"/>
    <w:rsid w:val="66BD4681"/>
    <w:rsid w:val="66D37DBF"/>
    <w:rsid w:val="66D47A94"/>
    <w:rsid w:val="66D82ABA"/>
    <w:rsid w:val="66E4759D"/>
    <w:rsid w:val="66E75B92"/>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A07B7"/>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017C6D"/>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95A80"/>
    <w:rsid w:val="6F7E2770"/>
    <w:rsid w:val="6F8776A7"/>
    <w:rsid w:val="6F957D21"/>
    <w:rsid w:val="6F9A1B5B"/>
    <w:rsid w:val="6FA57C2A"/>
    <w:rsid w:val="6FC22E70"/>
    <w:rsid w:val="6FD175F7"/>
    <w:rsid w:val="6FD95378"/>
    <w:rsid w:val="6FF47B92"/>
    <w:rsid w:val="6FFD1488"/>
    <w:rsid w:val="70027824"/>
    <w:rsid w:val="700B44C9"/>
    <w:rsid w:val="70173431"/>
    <w:rsid w:val="703C1CAA"/>
    <w:rsid w:val="703E1108"/>
    <w:rsid w:val="70460ECD"/>
    <w:rsid w:val="704B7EBD"/>
    <w:rsid w:val="7051053C"/>
    <w:rsid w:val="707F7FC1"/>
    <w:rsid w:val="70830694"/>
    <w:rsid w:val="7092075C"/>
    <w:rsid w:val="70A16710"/>
    <w:rsid w:val="70AF49AD"/>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56131D"/>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0E161B"/>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306EF8"/>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83576"/>
    <w:rsid w:val="7D9B3D45"/>
    <w:rsid w:val="7D9C553A"/>
    <w:rsid w:val="7DBB346B"/>
    <w:rsid w:val="7DD0508B"/>
    <w:rsid w:val="7DE4119D"/>
    <w:rsid w:val="7DEE5B58"/>
    <w:rsid w:val="7DEF4E30"/>
    <w:rsid w:val="7E0B1390"/>
    <w:rsid w:val="7E2B13AE"/>
    <w:rsid w:val="7E676A56"/>
    <w:rsid w:val="7E690FF4"/>
    <w:rsid w:val="7E947A7E"/>
    <w:rsid w:val="7EA36676"/>
    <w:rsid w:val="7ED03245"/>
    <w:rsid w:val="7ED25E9B"/>
    <w:rsid w:val="7ED37D6E"/>
    <w:rsid w:val="7F0A2251"/>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5.xml" Type="http://schemas.openxmlformats.org/officeDocument/2006/relationships/footer"/><Relationship Id="rId11" Target="footer6.xml" Type="http://schemas.openxmlformats.org/officeDocument/2006/relationships/footer"/><Relationship Id="rId12" Target="footer7.xml" Type="http://schemas.openxmlformats.org/officeDocument/2006/relationships/footer"/><Relationship Id="rId13" Target="footer8.xml" Type="http://schemas.openxmlformats.org/officeDocument/2006/relationships/footer"/><Relationship Id="rId14" Target="footer9.xml" Type="http://schemas.openxmlformats.org/officeDocument/2006/relationships/footer"/><Relationship Id="rId15" Target="footer10.xml" Type="http://schemas.openxmlformats.org/officeDocument/2006/relationships/footer"/><Relationship Id="rId16" Target="footer11.xml" Type="http://schemas.openxmlformats.org/officeDocument/2006/relationships/footer"/><Relationship Id="rId17" Target="footer12.xml" Type="http://schemas.openxmlformats.org/officeDocument/2006/relationships/footer"/><Relationship Id="rId18" Target="footer13.xml" Type="http://schemas.openxmlformats.org/officeDocument/2006/relationships/footer"/><Relationship Id="rId19" Target="footer14.xml" Type="http://schemas.openxmlformats.org/officeDocument/2006/relationships/footer"/><Relationship Id="rId2" Target="settings.xml" Type="http://schemas.openxmlformats.org/officeDocument/2006/relationships/settings"/><Relationship Id="rId20" Target="footer15.xml" Type="http://schemas.openxmlformats.org/officeDocument/2006/relationships/footer"/><Relationship Id="rId21" Target="theme/theme1.xml" Type="http://schemas.openxmlformats.org/officeDocument/2006/relationships/theme"/><Relationship Id="rId22" Target="../customXml/item1.xml" Type="http://schemas.openxmlformats.org/officeDocument/2006/relationships/customXml"/><Relationship Id="rId23" Target="fontTable.xml" Type="http://schemas.openxmlformats.org/officeDocument/2006/relationships/fontTable"/><Relationship Id="rId24" Target="media/image1.jpeg" Type="http://schemas.openxmlformats.org/officeDocument/2006/relationships/image"/><Relationship Id="rId25" Target="media/image2.jpeg" Type="http://schemas.openxmlformats.org/officeDocument/2006/relationships/image"/><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footer4.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1913</Words>
  <Characters>6541</Characters>
  <Paragraphs>501</Paragraphs>
  <TotalTime>0</TotalTime>
  <ScaleCrop>false</ScaleCrop>
  <LinksUpToDate>false</LinksUpToDate>
  <CharactersWithSpaces>6558</CharactersWithSpaces>
  <Application>WPS Office_11.1.0.12763_F1E327BC-269C-435d-A152-05C5408002CA</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XC</cp:lastModifiedBy>
  <dcterms:modified xsi:type="dcterms:W3CDTF">2023-01-07T05:20:42Z</dcterms:modified>
  <cp:revision>175</cp:revision>
  <dc:title>部门预算公开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2052-11.1.0.12763</vt:lpwstr>
  </property>
  <property fmtid="{D5CDD505-2E9C-101B-9397-08002B2CF9AE}" pid="6" name="LastSaved">
    <vt:filetime>2021-04-15T00:00:00Z</vt:filetime>
  </property>
</Properties>
</file>