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xml:space="preserve">2022年度</w:t>
              <w:br w:type="textWrapping"/>
              <w:t/>
            </w:r>
            <w:r>
              <w:rPr>
                <w:rFonts w:ascii="宋体" w:hAnsi="宋体" w:cs="宋体" w:eastAsia="宋体"/>
                <w:b w:val="true"/>
                <w:sz w:val="52"/>
              </w:rPr>
              <w:t>江阴市文体旅游事业人员托管中心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做好人员托管、人事代理及相关服务保障工作。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bookmarkStart w:id="0" w:name="_GoBack"/>
      <w:bookmarkEnd w:id="0"/>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常态化疫情防控期间托管中心全体人员认真执行各项规定，积极做好防疫工作;做好原管辖二个4A景区“智慧旅游”平台建设后续相关工作，完善景区监控及门禁系统，做好深化国家文明城市建设工作;配合主管局各部门完成各项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江阴市文体旅游事业人员托管中心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31" w:type="dxa"/>
        <w:jc w:val="center"/>
        <w:tblLayout w:type="fixed"/>
        <w:tblCellMar>
          <w:top w:w="0" w:type="dxa"/>
          <w:left w:w="108" w:type="dxa"/>
          <w:bottom w:w="0" w:type="dxa"/>
          <w:right w:w="108" w:type="dxa"/>
        </w:tblCellMar>
      </w:tblPr>
      <w:tblGrid>
        <w:gridCol w:w="3908"/>
        <w:gridCol w:w="1869"/>
        <w:gridCol w:w="3704"/>
        <w:gridCol w:w="67"/>
        <w:gridCol w:w="1781"/>
        <w:gridCol w:w="2"/>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江阴市文体旅游事业人员托管中心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555.10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308.39</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43.79</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202.92</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val="0"/>
                <w:bCs w:val="0"/>
                <w:color w:val="000000"/>
                <w:sz w:val="22"/>
                <w:szCs w:val="22"/>
                <w:lang w:eastAsia="ar-SA"/>
              </w:rPr>
              <w:t/>
            </w: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555.10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555.10</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r>
              <w:rPr>
                <w:rFonts w:hint="eastAsia" w:ascii="仿宋" w:hAnsi="仿宋" w:eastAsia="仿宋" w:cs="仿宋"/>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555.10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555.10</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67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68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68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555.10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555.10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555.10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358020</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江阴市文体旅游事业人员托管中心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555.10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555.10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555.10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43.79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43.79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33.48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33.48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173.08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173.08</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555.10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308.39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43.79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202.92</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555.10</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555.10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527.96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27.14</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308.39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281.25</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27.14</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43.79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43.79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43.79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33.48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22.32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11.16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10.31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202.92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29.84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173.08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173.08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173.08</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江阴市文体旅游事业人员托管中心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555.10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527.96</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411.85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411.85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50.23</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50.23</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72.51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72.51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89.28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89.28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22.32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22.32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租赁费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116.11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116.11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116.01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116.01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555.10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527.96</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27.14</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308.39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281.25</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27.14</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43.79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43.79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43.79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33.48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33.48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33.48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22.32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11.16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10.31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202.92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29.84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173.08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173.08</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173.08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555.10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527.96</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411.85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411.85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50.23</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50.23</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72.51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72.51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4.76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89.28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89.28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22.32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22.32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11.16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8.90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29.84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27.14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3.69</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印刷费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租赁费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3.21</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13.44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116.11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116.11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116.01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116.01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0.10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00" w:leftChars="0" w:right="0" w:rightChars="0"/>
        <w:jc w:val="left"/>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无一般公共预算“三公”经费、会议费、培训费支出，故本表无数据。</w:t>
      </w:r>
      <w:r>
        <w:rPr>
          <w:rFonts w:ascii="仿宋" w:hAnsi="仿宋" w:cs="仿宋" w:eastAsia="仿宋"/>
          <w:b w:val="true"/>
          <w:sz w:val="22"/>
        </w:rPr>
        <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江阴市文体旅游事业人员托管中心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江阴市文体旅游事业人员托管中心2022年度收入、支出预算总计555.1万元，与上年相比收、支预算总计各减少67.57万元，减少10.85%。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（一）收入预算总计555.1万元。包括：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1．本年收入合计555.1万元。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（1）一般公共预算拨款收入555.1万元，与上年相比减少67.57万元，减少10.85%。主要原因是因为1名在职人员转退休，2名退休人员去世，所以预算数减少。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（二）支出预算总计555.1万元。包括：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1．本年支出合计555.1万元。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308.39万元，主要用于人员经费281.25万元，公用经费27.14万元。与上年相比减少23.98万元，减少7.21%。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（2）社会保障和就业支出（类）支出43.79万元，主要用于养老金22.32万元，职业年金11.16万元，医保金10.31万元。与上年相比减少20.8万元，减少32.2%。主要原因是体检费功能分类调整到人员经费中，导致减少。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（3）住房保障支出（类）支出202.92万元，主要用于住房公积金29.84万元，提租补贴173.08万元。与上年相比减少22.79万元，减少10.1%。主要原因是因为1名在职人员转退休，2名退休人员去世，所以预算数减少。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江阴市文体旅游事业人员托管中心2022年收入预算合计555.1万元，包括本年收入555.1万元，上年结转结余0万元。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本年一般公共预算收入555.1万元，占100%；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3"/>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江阴市文体旅游事业人员托管中心2022年支出预算合计555.1万元，其中：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基本支出555.1万元，占100%；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财政拨款收、支总预算555.1万元。与上年相比，财政拨款收、支总计各减少67.57万元，减少10.85%。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财政拨款预算支出555.1万元，占本年支出合计的100%。与上年相比，财政拨款支出减少67.57万元，减少10.85%。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文化和旅游（款）文化和旅游管理事务（项）支出308.39万元，与上年相比减少23.98万元，减少7.21%。主要原因是因为1名在职人员转退休，2名退休人员去世，所以预算数减少。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1.行政事业单位养老支出（款）机关事业单位基本养老保险缴费支出（项）支出22.32万元，与上年相比减少1.78万元，减少7.39%。主要原因是人员减少。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2.行政事业单位养老支出（款）机关事业单位职业年金缴费支出（项）支出11.16万元，与上年相比减少16.63万元，减少59.84%。主要原因是去年补缴了职业年金贴息。</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10.31万元，与上年相比减少2.39万元，减少18.82%。主要原因是人员减少及体检费的功能分类由其他社会保障和就业支出，调整到旅游行业业务管理，所以减少了。。</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1.住房改革支出（款）住房公积金（项）支出29.84万元，与上年相比减少2.45万元，减少7.59%。主要原因是人员减少。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2.住房改革支出（款）提租补贴（项）支出173.08万元，与上年相比减少20.34万元，减少10.52%。主要原因是人员减少。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江阴市文体旅游事业人员托管中心2022年度财政拨款基本支出预算555.1万元，其中：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527.96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（二）公用经费27.14万元。主要包括：办公费、印刷费、水费、电费、差旅费、租赁费、工会经费、其他交通费用、其他商品和服务支出。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江阴市文体旅游事业人员托管中心2022年一般公共预算财政拨款支出预算555.1万元，与上年相比减少67.57万元，减少10.85%。主要原因是因为1名在职人员转退休，2名退休人员去世，所以预算数减少。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江阴市文体旅游事业人员托管中心2022年度一般公共预算财政拨款基本支出预算555.1万元，其中：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527.96万元。主要包括：基本工资、津贴补贴、奖金、伙食补助费、绩效工资、机关事业单位基本养老保险缴费、职业年金缴费、职工基本医疗保险缴费、其他社会保障缴费、住房公积金、医疗费、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（二）公用经费27.14万元。主要包括：办公费、印刷费、水费、电费、差旅费、租赁费、工会经费、其他交通费用、其他商品和服务支出。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一般公共预算拨款安排的“三公”经费预算支出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3．公务接待费预算支出0万元，比上年预算减少1万元，主要原因是因去年因疫情原因，没有发生公务接待，今年疫情原因仍未消除，故今年未做公务接待费预算。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江阴市文体旅游事业人员托管中心2022年度一般公共预算拨款安排的培训费预算支出0万元，与上年预算数相同。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江阴市文体旅游事业人员托管中心2022年政府性基金支出预算支出0万元。与上年预算数相同。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江阴市文体旅游事业人员托管中心2022年国有资本经营预算支出0万元。与上年预算数相同。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2022年度政府采购支出预算总额0万元，其中：拟采购货物支出0万元、拟采购工程支出0万元、拟购买服务支出0万元。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一般公务用车0辆、执法执勤用车0辆、特种专业技术用车0辆、业务用车0辆、其他用车0辆等。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2022年度，本单位整体支出纳入绩效目标管理，涉及四本预算资金555.1万元；本单位共0个项目纳入绩效目标管理，涉及四本预算资金合计0万元，占四本预算资金(基本支出除外)总额的比例为0%。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cs="仿宋" w:eastAsia="仿宋"/>
          <w:b w:val="true"/>
        </w:rPr>
        <w:t>：</w:t>
      </w:r>
      <w:r>
        <w:rPr>
          <w:rFonts w:hint="eastAsia" w:ascii="仿宋" w:hAnsi="仿宋" w:eastAsia="仿宋" w:cs="仿宋"/>
        </w:rPr>
        <w:t>反映文化和旅游管理事务支出。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江阴市文体旅游事业人员托管中心</w:t>
    </w:r>
    <w:r>
      <w:t>2022</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footer14.xml" Type="http://schemas.openxmlformats.org/officeDocument/2006/relationships/footer"/><Relationship Id="rId19" Target="footer15.xml" Type="http://schemas.openxmlformats.org/officeDocument/2006/relationships/footer"/><Relationship Id="rId2" Target="settings.xml" Type="http://schemas.openxmlformats.org/officeDocument/2006/relationships/settings"/><Relationship Id="rId20" Target="theme/theme1.xml" Type="http://schemas.openxmlformats.org/officeDocument/2006/relationships/theme"/><Relationship Id="rId21" Target="../customXml/item1.xml" Type="http://schemas.openxmlformats.org/officeDocument/2006/relationships/customXml"/><Relationship Id="rId22" Target="fontTable.xml" Type="http://schemas.openxmlformats.org/officeDocument/2006/relationships/fontTable"/><Relationship Id="rId23" Target="media/image1.jpeg" Type="http://schemas.openxmlformats.org/officeDocument/2006/relationships/image"/><Relationship Id="rId24"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0</TotalTime>
  <ScaleCrop>false</ScaleCrop>
  <LinksUpToDate>false</LinksUpToDate>
  <CharactersWithSpaces>7399</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2022-02-25T04:14:31Z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