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2024年度</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江阴市市场监督管理局</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部门预算公开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eastAsia="仿宋" w:cs="仿宋"/>
          <w:b/>
        </w:rPr>
        <w:t>部门预算表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负责市场综合监督管理。贯彻执行国家有关市场监督管理的方针政策和法律法规，拟订市场监督管理有关规范性文件。组织实施知识产权战略、质量强市战略、食品安全战略和标准化战略，拟订并组织实施有关规划，规范和维护市场秩序，营造诚实守信、公平竞争的市场环境。</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2、负责参与反垄断统一执法工作。统筹推进竞争政策实施，组织指导实施公平竞争审查制度。依据授权参与本市和指定区域的反垄断执法工作。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负责监督管理市场秩序。依法监督管理市场交易、网络商品交易及有关服务的行为。组织指导查处价格收费违法违规、不正当竞争、违法直销、传销、侵犯商标专利知识产权和制售假冒伪劣行为。指导广告业发展，监督管理广告活动。组织指导查处无照生产经营和相关无证生产经营行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负责宏观质量管理。拟订实施全市质量发展的制度措施。组织实施质量奖励制度，推进品牌发展战略。按照权限会同有关部门组织实施重大工程设备质量监理、服务质量监测、重大质量事故调查制度。根据上级有关规定要求组织实施缺陷产品召回制度，监督管理产品防伪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5、负责产品质量安全监督管理。负责组织全市生产、流通领域产品质量监督检查工作。组织实施质量分级、质量安全追溯制度。实施工业产品生产许可管理。</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6、负责特种设备安全监督管理。综合管理特种设备安全监察、监督工作，监督检查高耗能特种设备节能标准和锅炉环境保护标准执行情况。按规定权限组织调查特种设备事故。组织开展特种设备安全宣传教育。</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7、负责食品安全监督管理。负责食品安全监督管理的综合协调，组织实施食品安全战略，组织制定并实施全市食品安全重大政策，建立健全食品安全重要信息直报制度。建立并组织实施覆盖食品生产、流通、消费全过程的监督检查制度和隐患排查治理机制，防范区域性、系统性食品安全风险。推动建立食品生产经营者主体责任落实机制，健全食品安全追溯体系。组织开展食品安全监督抽检、风险监测、核查处置和风险预警、风险交流工作。负责食品安全应急体系建设，组织指导食品安全事件应急处置工作。组织实施和监督管理食品生产经营企业许可、特殊食品备案工作。推动落实食品安全工作责任制。承担市食品安全委员会办公室的日常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8、负责统一管理全市计量工作。贯彻实施国家计量制度，推行法定计量单位，管理计量器具及量值传递和比对工作，负责规范、监督商品量和市场计量行为。</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9、负责统一管理全市标准化工作。组织制定并实施全市标准化战略和规划，组织实施标准以及对标准制定、实施进行监督。推动参与国际标准化活动。</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10、负责统一管理全市检验检测工作。推进全市检验检测体系发展，完善全市检验检测体系。规范检验检测市场，指导协调全市检验检测行业发展。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11、负责统一管理全市认证认可工作。组织实施国家统一的认证认可和合格评定监督管理制度，落实认证认可工作规划，指导和监督检查全市产品认证、体系认证、服务认证工作。指导促进全市认证行业发展。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12、负责药品、医疗器械和化妆品的质量管理。组织实施药品零售、使用，医疗器械经营、使用，化妆品经营的行政监督和技术监督工作。组织开展监管对象药品、化妆品不良反应和医疗器械不良事件监测；建立健全药品安全应急体系；配合有关部门实施国家基本药物制度。</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13、负责统筹协调全市知识产权工作，落实国家、省市知识产权战略，拟订并组织实施我市知识产权战略和知识产权强市建设规划、计划；指导、协调重要经济科技活动知识产权评议；贯彻执行商标、专利、地理标志等知识产权保护制度；促进知识产权创造和运用；统筹推进知识产权公共服务体系建设；开展知识产权宣传、培训工作，推动知识产权人才队伍建设。</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14、负责法律、法规规定由市场监督管理部门承担的市场主体登记注册以及各类行政许可工作。建立市场主体信息公示和共享机制，依法公示和共享有关信息。加强信用监管，推动市场主体信用体系建设。按规定承担技术性贸易措施有关工作。负责全市市场监督管理系统科技和信息化建设、应急和新闻宣传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15、负责组织和指导市场监管综合执法工作，加强市场监管综合执法队伍建设。组织查处违反市场监督管理法律、法规、规章的行为。贯彻落实市综合行政执法体制改革相关工作任务，依据划转职权依法履行知识产权、物价、文化、粮油、商务、旅游、盐务行政处罚权。</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16、负责赋予镇街园区经济社会管理权限有关事项的法律法规宣传、政策制定、协调指导、业务培训等工作。牵头负责江苏政务服务网上有关赋权事项的动态调整和日常维护工作。承担公共安全体系建设的相关任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17、完成市委、市政府交办的其他任务。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1.</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ascii="仿宋" w:hAnsi="仿宋" w:eastAsia="仿宋" w:cs="仿宋"/>
        </w:rPr>
        <w:t>本部门无内设机构。本部门下属单位包括：江阴市市场监管综合行政执法大队，江阴市食品安全检测中心，江阴市市场监管综合服务中心。</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2024</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ascii="仿宋" w:hAnsi="仿宋" w:eastAsia="仿宋" w:cs="仿宋"/>
        </w:rPr>
        <w:t>4</w:t>
      </w:r>
      <w:r>
        <w:rPr>
          <w:rFonts w:hint="eastAsia" w:ascii="仿宋" w:hAnsi="仿宋" w:eastAsia="仿宋" w:cs="仿宋"/>
        </w:rPr>
        <w:t>家，具体包括：</w:t>
      </w:r>
      <w:r>
        <w:rPr>
          <w:rFonts w:ascii="仿宋" w:hAnsi="仿宋" w:eastAsia="仿宋" w:cs="仿宋"/>
        </w:rPr>
        <w:t>江阴市市场监督管理局（机关），江阴市市场监管综合行政执法大队，江阴市食品安全检测中心，江阴市市场监管综合服务中心。</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eastAsia="仿宋" w:cs="仿宋"/>
          <w:b/>
        </w:rPr>
        <w:t>部门主要工作任务及目标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全面加强党的领导。在主题教育的正确指引下，深入学习贯彻习近平新时代中国特色社会主义思想。坚持大抓基层的鲜明导向，发挥党建引领作用，推动党建与业务工作深度融合。深入探索新业态新就业群体党建工作，优化升级暨阳红骑士党建数字平台，打造省级先行先试项目。统筹推进内部管理五项制度，做细做实基层分局等级评定工作，构建“一分局一品牌”，推动“盆景”走向“风景”，力争省内走在前列。深化“三转一提”行动，扎实推进行风建设攻坚行动，涵养江阴市场监管“政治过硬、秉公执法、服务为民、作风清廉”的职业品格。</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聚力服务中心大局。部署开展江阴市场监管“三心三航”主题活动，扎实推进“大走访”活动，打造攻坚型、先锋型服务团队。主动跨前一步，深入了解市场主体的需求，适时升级优化营商环境5.0，持续擦亮市场监管服务品牌。探索企业“一站式”管理服务模式，创新“新设类企业回访制”“许可类企业联访制”“需求类企业探访制”三项服务机制，实施食品药品经营“零见面、即申即核”线上核查发证，以高效便捷的服务为市场主体发展添动力。主动融入服务发展理念，筹建省级数字化广告产业园，争取省级仪器仪表产业园项目，助推企业集聚发展和转型升级。聚焦生物医药产业发展需求，以“一站一中心”为载体，打造生物医药产品全生命周期服务平台，推动提高产业发展韧性。制定出台《江阴市食品产业高质量发展三年行动计划》，加快食品企业转型升级，提高产业质效水平。</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加快建设“两个强市”。找准创新项目、示范试点与产业发展的结合点，在不断破题中加速培育发展动能。争取省级长三角特殊钢及钢制品标准质量提升示范试点验收，高质量完成在建标准化试点项目，建设江阴市知识产权保护综合体，争创省级知识产权服务业集聚区。进一步强化知识产权政策支撑，出台《关于推进知识产权强市建设的若干政策意见》，明确知识产权专项资金支持方向和各类项目支持额度，推动知识产权创造、运用、保护、管理和服务全链条协同发力。推进商业秘密保护强基提质工程，计划新增高质量示范点30家、保护基地2个，打造以贝卡尔特为标杆的“企业创新孵化载体”。依托“公平竞争联盟”平台，提供质量、标准、知识产权和商业秘密保护等“一揽子”综合服务，努力建设更多创新实践“示范区”、市场监管经验“策源地”。</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提高监管执法效能。继续深化包容审慎监管和柔性执法，纵深推进涉案企业合规审查机制和企业合规“行刑衔接”制度建设，高质量完成省级试点验收。在公平竞争、知识产权保护、医疗广告、电子商务等领域精准实施涉企行政合规全过程指导，助力企业守法诚信经营、健康可持续发展。更加突出智慧监管的作用，升级“江阴市网络交易数据搜索系统”2.0版，系统推进“澄网智监”综合监测，全面助力科学监管、高效监管。做好“简案快办”辅助系统试点工作，为在全无锡推广探索经验。推动部门间协同协作，与司法局、法院强化会商机制，与公安、海关等部门加强执法联动，实现信息共享和执法互助。聚焦能力短板，强化工作指导，制定行政执法规范指引、投诉举报处理实务手册，提升工作精细化、流程化、规范化水平。加强重点领域专项执法，注重打宣结合，着力打造市场监管系统执法为民的“铁拳”品牌。</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全力保障改善民生。聚焦民生关切，依法强化全链条监管，促进隐患治理常态化、风险管控科学化，坚决守牢不发生系统性风险的底线。以江南大学在落地为契机，打造食品安全“部门监管+机构支撑+企业落地”三位一体共建模式。全面压实“两个责任”，在食药安全中纳入社会共治主题，开展“最美食安卫士”“十佳食堂”评选活动，升级“食安小屋”“药事驿站”等惠民项目，创新“食安总监大PK”“食品安全从娃娃抓起”“药安小卫士”等系列活动，让群众认可度、满意度、赞誉度不断攀升。打造食品小作坊2.0版，在全省率先实现食品小作坊集中加工区区域性全覆盖的基础上，加快推进实现“六统一”，开设首家社区品牌店。加强药品、医疗器械安全监管，严查重处违法行为，构筑安全放心用药环境。开展燃气具及配件产品、“一老一小”等重要消费品质量安全守护行动，严厉打击各类产品质量违法违规行为。深入开展特种设备隐患排查治理和分级分类监管，把特种设备监管的本质安全落到实处。</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万里征程风正劲，千钧重任再前行。江阴局将紧紧围绕无锡市局最新部署要求，以更加务实的精神、更加积极的行动，进一步解放思想、转变作风、加压奋进，努力在新的一年展现新风貌、干出新作为！</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江阴市市场监督管理局</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eastAsia="仿宋" w:cs="仿宋"/>
          <w:b/>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color w:val="000000"/>
                <w:sz w:val="22"/>
                <w:szCs w:val="22"/>
                <w:lang w:eastAsia="ar-SA"/>
              </w:rPr>
              <w:t>江阴市市场监督管理局</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20,300.24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14,851.80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1,950.78</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213.38</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3,284.28</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20,300.24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20,300.24</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20,300.24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20,300.24</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江阴市市场监督管理局</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20,300.24</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20,300.24</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20,300.24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415</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江阴市市场监督管理局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20,300.24</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20,300.24</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20,300.24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415002</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江阴市市场监督管理局（机关）</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15,200.53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15,200.53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15,200.53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415004</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江阴市市场监管综合行政执法大队</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3,543.41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3,543.41</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3,543.41</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415005</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江阴市食品安全检测中心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1,085.75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1,085.75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1,085.75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415006</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江阴市市场监管综合服务中心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470.55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470.55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470.55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江阴市市场监督管理局</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20,300.24</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16,879.86</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3,420.38</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14,851.80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11,644.80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3,207.00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20114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知识产权事务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2011499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其他知识产权事务支出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市场监督管理事务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13,851.80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11,644.80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2,207.00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2013801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10,660.42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10,660.42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2013802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2013850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984.38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984.38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其他市场监督管理事务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1,950.78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1,950.78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1,596.05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1,596.05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1,064.02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1,064.02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532.03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532.03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354.73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354.73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354.73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354.73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3,284.28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3,284.28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3,284.28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3,284.28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784.63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784.63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1,687.99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1,687.99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811.66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811.66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sz w:val="22"/>
                <w:szCs w:val="22"/>
              </w:rPr>
              <w:t>江阴市市场监督管理局</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20,300.24</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20,300.24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20,300.24</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14,851.80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1,950.78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213.38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3,284.28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20,300.24</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20,300.24</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江阴市市场监督管理局</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20,300.24</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16,879.86</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15,852.48</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1,027.38</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3,420.38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14,851.80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11,644.80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10,617.42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1,027.38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3,207.00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20114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知识产权事务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2011499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其他知识产权事务支出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市场监督管理事务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13,851.80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11,644.80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10,617.42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1,027.38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2,207.00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2013801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10,660.42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10,660.42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9,731.56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928.86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2013802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2013850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984.38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984.38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885.86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98.52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其他市场监督管理事务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1,950.78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1,950.78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1,950.78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1,596.05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1,596.05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1,596.05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1,064.02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1,064.02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1,064.02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532.03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532.03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532.03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354.73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354.73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354.73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354.73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354.73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354.73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213.38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213.38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213.38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213.38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213.38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213.38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3,284.28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3,284.28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3,284.28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3,284.28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3,284.28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3,284.28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784.63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784.63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784.63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1,687.99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1,687.99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1,687.99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811.66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811.66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811.66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sz w:val="22"/>
                <w:szCs w:val="22"/>
              </w:rPr>
              <w:t>江阴市市场监督管理局</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16,879.86</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15,852.48</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1,027.38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14,867.20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14,867.20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1,535.05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1,535.05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4,879.48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4,879.48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4,019.86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4,019.86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201.58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201.58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347.20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347.20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1,064.02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1,064.02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532.03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532.03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319.23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319.23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35.50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784.63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784.63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43.32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1,105.30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1,105.30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989.60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989.60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317.01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317.01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197.55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143.10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70.28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985.28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985.28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882.32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882.32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65.71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65.71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24.58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37.78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37.78</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江阴市市场监督管理局</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20,300.24</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16,879.86</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15,852.48</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1,027.38</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3,420.38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14,851.80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11,644.80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10,617.42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1,027.38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3,207.00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20114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知识产权事务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2011499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其他知识产权事务支出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市场监督管理事务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13,851.80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11,644.80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10,617.42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1,027.38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2,207.00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2013801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10,660.42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10,660.42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9,731.56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928.86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2013802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2013850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984.38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984.38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885.86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98.52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其他市场监督管理事务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1,950.78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1,950.78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1,950.78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1,596.05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1,596.05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1,596.05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1,064.02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1,064.02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1,064.02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532.03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532.03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532.03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354.73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354.73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354.73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354.73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354.73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354.73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213.38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3,284.28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3,284.28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3,284.28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3,284.28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3,284.28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3,284.28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784.63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784.63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784.63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1,687.99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1,687.99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1,687.99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811.66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811.66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811.66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江阴市市场监督管理局</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16,879.86</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15,852.48</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1,027.38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14,867.20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14,867.20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1,535.05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1,535.05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4,879.48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4,879.48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4,019.86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4,019.86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201.58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201.58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347.20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347.20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1,064.02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1,064.02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532.03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532.03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319.23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319.23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35.50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784.63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784.63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43.32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43.32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1,105.30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1,105.30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989.60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989.60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317.01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317.01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197.55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197.55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被装购置费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14.18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143.10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70.28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70.28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985.28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985.28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882.32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882.32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抚恤金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65.71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65.71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24.58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24.58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37.78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37.78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37.78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37.78</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江阴市市场监督管理局</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227.76</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221.02</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77.92</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143.10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6.74</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2.84</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江阴市市场监督管理局</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eastAsia="仿宋" w:cs="仿宋"/>
          <w:b/>
          <w:sz w:val="22"/>
        </w:rPr>
        <w:t>部门无政府性基金预算，也没有使用政府性基金安排的支出，故本表无数据。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江阴市市场监督管理局</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注：本部门无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江阴市市场监督管理局</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892.83</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892.83</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303.62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印刷费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水费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12.15</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157.50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2.74</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5.88</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30224</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被装购置费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14.18</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公务用车运行维护费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143.10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63.56</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eastAsia="仿宋" w:cs="仿宋"/>
                <w:color w:val="000000"/>
                <w:sz w:val="22"/>
              </w:rPr>
              <w:t>：</w:t>
            </w:r>
            <w:r>
              <w:rPr>
                <w:rFonts w:hint="eastAsia" w:ascii="仿宋" w:hAnsi="仿宋" w:eastAsia="仿宋" w:cs="仿宋"/>
              </w:rPr>
              <w:t>江阴市市场监督管理局</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79.92</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79.92</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江阴市市场监督管理局（机关）</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79.92</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车辆购置经费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公务用车购置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轿车</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77.92</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A3黑白打印机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0.80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A4彩色打印机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eastAsia="仿宋" w:cs="仿宋"/>
          <w:b/>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江阴市市场监督管理局2024年度收入、支出预算总计20,300.24万元，与上年相比收、支预算总计各增加1,479.59万元，增长7.86%。其中：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（一）收入预算总计20,300.24万元。包括：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1．本年收入合计20,300.24万元。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（1）一般公共预算拨款收入20,300.24万元，与上年相比增加1,479.59万元，增长7.86%。主要原因是知识产权专项资金及食品小作坊集中加工区补助资金等专项经费增加。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（二）支出预算总计20,300.24万元。包括：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1．本年支出合计20,300.24万元。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（1）一般公共服务支出（类）支出14,851.8万元，主要用于市场监督管理事务。与上年相比增加1,778.85万元，增长13.61%。主要原因是知识产权专项资金及食品小作坊集中加工区补助资金等专项经费增加。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（2）社会保障和就业支出（类）支出1,950.78万元，主要用于机关事业单位养老保险缴费支出，职业年金缴费支出和其他社会保障</w:t>
      </w:r>
      <w:r>
        <w:rPr>
          <w:rFonts w:hint="eastAsia" w:ascii="仿宋" w:hAnsi="仿宋" w:eastAsia="仿宋" w:cs="仿宋"/>
          <w:lang w:val="en-US" w:eastAsia="zh-CN"/>
        </w:rPr>
        <w:t>和</w:t>
      </w:r>
      <w:bookmarkStart w:id="0" w:name="_GoBack"/>
      <w:bookmarkEnd w:id="0"/>
      <w:r>
        <w:rPr>
          <w:rFonts w:ascii="仿宋" w:hAnsi="仿宋" w:eastAsia="仿宋" w:cs="仿宋"/>
        </w:rPr>
        <w:t>就业支出。与上年相比增加406.54万元，增长26.33%。主要原因是政策性调整。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（3）城乡社区支出（类）支出213.38万元，主要用于物业管理费。与上年预算数相同。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（4）住房保障支出（类）支出3,284.28万元，主要用于为职工缴纳住房公积金，发放提租补贴和购房补贴。与上年相比减少705.8万元，减少17.69%。主要原因是政策性调整。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江阴市市场监督管理局2024年收入预算合计20,300.24万元，包括本年收入20,300.24万元，上年结转结余0万元。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本年一般公共预算收入20,300.24万元，占100%；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江阴市市场监督管理局2024年支出预算合计20,300.24万元，其中：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基本支出16,879.86万元，占83.15%；</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项目支出3,420.38万元，占16.85%；</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2024年度财政拨款收、支总预算20,300.24万元。与上年相比，财政拨款收、支总计各增加1,479.59万元，增长7.86%。主要原因是知识产权专项资金及食品小作坊集中加工区补助资金等专项经费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2024年财政拨款预算支出20,300.24万元，占本年支出合计的100%。与上年相比，财政拨款支出增加1,479.59万元，增长7.86%。主要原因是知识产权专项资金及食品小作坊集中加工区补助资金等专项经费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（一）一般公共服务支出（类）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1.知识产权事务（款）其他知识产权事务支出（项）支出1,000万元，与上年相比增加900万元，增长900%。主要原因是为推进知识产权发展，增加知识产权专项经费。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2.市场监督管理事务（款）行政运行（项）支出10,660.42万元，与上年相比减少234.14万元，减少2.15%。主要原因是人员减少导致人员经费及公用经费减少；盐务执法托管到期，该项经费减少。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3.市场监督管理事务（款）一般行政管理事务（项）支出7万元，与上年预算数相同。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4.市场监督管理事务（款）事业运行（项）支出984.38万元，与上年相比增加188.12万元，增长23.63%。主要原因是食品小作坊集中加工区补助资金增加。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5.市场监督管理事务（款）其他市场监督管理事务（项）支出2,200万元，与上年相比增加924.87万元，增长72.53%。主要原因是为推动知识产权发展，知识产权经费增加。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（二）社会保障和就业支出（类）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1.行政事业单位养老支出（款）机关事业单位基本养老保险缴费支出（项）支出1,064.02万元，与上年相比增加278.64万元，增长35.48%。主要原因是政策性调整。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2.行政事业单位养老支出（款）机关事业单位职业年金缴费支出（项）支出532.03万元，与上年相比增加139.32万元，增长35.48%。主要原因是政策性调整。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3.其他社会保障和就业支出（款）其他社会保障和就业支出（项）支出354.73万元，与上年相比减少11.42万元，减少3.12%。主要原因是政策性调整。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（三）城乡社区支出（类）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其他城乡社区支出（款）其他城乡社区支出（项）支出213.38万元，与上年预算数相同。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（四）住房保障支出（类）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1.住房改革支出（款）住房公积金（项）支出784.63万元，与上年相比减少238.46万元，减少23.31%。主要原因是政策性调整。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2.住房改革支出（款）提租补贴（项）支出1,687.99万元，与上年相比减少293.66万元，减少14.82%。主要原因是政策性调整。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3.住房改革支出（款）购房补贴（项）支出811.66万元，与上年相比减少173.68万元，减少17.63%。主要原因是政策性调整。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江阴市市场监督管理局2024年度财政拨款基本支出预算16,879.86万元，其中：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15,852.48万元。主要包括：基本工资、津贴补贴、奖金、伙食补助费、绩效工资、机关事业单位基本养老保险缴费、职业年金缴费、职工基本医疗保险缴费、其他社会保障缴费、住房公积金、医疗费、其他工资福利支出、退休费、抚恤金、生活补助、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1,027.38万元。主要包括：办公费、印刷费、水费、电费、邮电费、差旅费、会议费、培训费、公务接待费、被装购置费、工会经费、公务用车运行维护费、其他交通费用、其他商品和服务支出、其他资本性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江阴市市场监督管理局2024年一般公共预算财政拨款支出预算20,300.24万元，与上年相比增加1,479.59万元，增长7.86%。主要原因是知识产权专项资金及食品小作坊集中加工区补助资金等专项经费增加。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江阴市市场监督管理局2024年度一般公共预算财政拨款基本支出预算16,879.86万元，其中：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15,852.48万元。主要包括：基本工资、津贴补贴、奖金、伙食补助费、绩效工资、机关事业单位基本养老保险缴费、职业年金缴费、职工基本医疗保险缴费、其他社会保障缴费、住房公积金、医疗费、其他工资福利支出、退休费、抚恤金、生活补助、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1,027.38万元。主要包括：办公费、印刷费、水费、电费、邮电费、差旅费、会议费、培训费、公务接待费、被装购置费、工会经费、公务用车运行维护费、其他交通费用、其他商品和服务支出、其他资本性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2024年度一般公共预算拨款安排的“三公”经费支出预算227.76万元，比上年预算增加78.22万元，变动原因新增4辆公务用车购置费用77.92万元，公务接待费用0.3万元。其中，因公出国（境）费支出0万元，占“三公”经费的0%；公务用车购置及运行维护费支出221.02万元，占“三公”经费的97.04%；公务接待费支出6.74万元，占“三公”经费的2.96%。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2．公务用车购置及运行维护费预算支出221.02万元。其中：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（1）公务用车购置预算支出77.92万元，比上年预算增加77.92万元，主要原因是新增4辆公务用车购置费用。</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（2）公务用车运行维护费预算支出143.1万元，与上年预算数相同。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3．公务接待费预算支出6.74万元，比上年预算增加0.3万元，主要原因是省局、无锡局等来人来访增加。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江阴市市场监督管理局2024年度一般公共预算拨款安排的会议费预算支出2.84万元，比上年预算增加0.7万元，主要原因是疫情结束后线下会议增加。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江阴市市场监督管理局2024年度一般公共预算拨款安排的培训费预算支出9.8万元，比上年预算增加1.92万元，主要原因是为提高干部执法业务水平，疫情结束后线下培训增加。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江阴市市场监督管理局2024年政府性基金支出预算支出0万元。与上年预算数相同。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江阴市市场监督管理局2024年国有资本经营预算支出0万元。与上年预算数相同。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2024年本部门一般公共预算机关运行经费预算支出892.83万元，与上年相比减少24.27万元，减少2.65%。主要原因是人员减少导致公用核对人员经费下降。</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2024年度政府采购支出预算总额79.92万元，其中：拟采购货物支出79.92万元、拟采购工程支出0万元、拟采购服务支出0万元。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部门共有车辆70辆，其中，副部（省）级及以上领导用车0辆、主要领导干部用车0辆、机要通信用车0辆、应急保障用车0辆、执法执勤用车59辆、特种专业技术用车5辆、离退休干部用车0辆，其他用车6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本部门整体支出纳入绩效目标管理，涉及财政性资金20,300.24万元；本部门共13个项目纳入绩效目标管理，涉及财政性资金合计3,420.38万元，占财政性资金(人员类和运转类中的公用经费项目支出除外)总额的比例为100%。</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八、一般公共服务支出(类)知识产权事务(款)其他知识产权事务支出(项)</w:t>
      </w:r>
      <w:r>
        <w:rPr>
          <w:rFonts w:ascii="仿宋" w:hAnsi="仿宋" w:eastAsia="仿宋" w:cs="仿宋"/>
          <w:b/>
        </w:rPr>
        <w:t>：</w:t>
      </w:r>
      <w:r>
        <w:rPr>
          <w:rFonts w:hint="eastAsia" w:ascii="仿宋" w:hAnsi="仿宋" w:eastAsia="仿宋" w:cs="仿宋"/>
        </w:rPr>
        <w:t>反映除上述项目以外其他用于知识产权事务方面的支出。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九、一般公共服务支出(类)市场监督管理事务(款)行政运行(项)</w:t>
      </w:r>
      <w:r>
        <w:rPr>
          <w:rFonts w:ascii="仿宋" w:hAnsi="仿宋" w:eastAsia="仿宋" w:cs="仿宋"/>
          <w:b/>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十、一般公共服务支出(类)市场监督管理事务(款)一般行政管理事务(项)</w:t>
      </w:r>
      <w:r>
        <w:rPr>
          <w:rFonts w:ascii="仿宋" w:hAnsi="仿宋" w:eastAsia="仿宋" w:cs="仿宋"/>
          <w:b/>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十一、一般公共服务支出(类)市场监督管理事务(款)事业运行(项)</w:t>
      </w:r>
      <w:r>
        <w:rPr>
          <w:rFonts w:ascii="仿宋" w:hAnsi="仿宋" w:eastAsia="仿宋" w:cs="仿宋"/>
          <w:b/>
        </w:rPr>
        <w:t>：</w:t>
      </w:r>
      <w:r>
        <w:rPr>
          <w:rFonts w:hint="eastAsia" w:ascii="仿宋" w:hAnsi="仿宋" w:eastAsia="仿宋" w:cs="仿宋"/>
        </w:rPr>
        <w:t>反映事业单位的基本支出，不包括行政单位（包括实行公务员管理的事业单位）后勤服务中心、医务室等附属事业单位。</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十二、一般公共服务支出(类)市场监督管理事务(款)其他市场监督管理事务(项)</w:t>
      </w:r>
      <w:r>
        <w:rPr>
          <w:rFonts w:ascii="仿宋" w:hAnsi="仿宋" w:eastAsia="仿宋" w:cs="仿宋"/>
          <w:b/>
        </w:rPr>
        <w:t>：</w:t>
      </w:r>
      <w:r>
        <w:rPr>
          <w:rFonts w:hint="eastAsia" w:ascii="仿宋" w:hAnsi="仿宋" w:eastAsia="仿宋" w:cs="仿宋"/>
        </w:rPr>
        <w:t>反映用于除上述项目以外其他市场监督管理事务方面的支出。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十五、社会保障和就业支出(类)其他社会保障和就业支出(款)其他社会保障和就业支出(项)</w:t>
      </w:r>
      <w:r>
        <w:rPr>
          <w:rFonts w:ascii="仿宋" w:hAnsi="仿宋" w:eastAsia="仿宋" w:cs="仿宋"/>
          <w:b/>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十六、城乡社区支出(类)其他城乡社区支出(款)其他城乡社区支出(项)</w:t>
      </w:r>
      <w:r>
        <w:rPr>
          <w:rFonts w:ascii="仿宋" w:hAnsi="仿宋" w:eastAsia="仿宋" w:cs="仿宋"/>
          <w:b/>
        </w:rPr>
        <w:t>：</w:t>
      </w:r>
      <w:r>
        <w:rPr>
          <w:rFonts w:hint="eastAsia" w:ascii="仿宋" w:hAnsi="仿宋" w:eastAsia="仿宋" w:cs="仿宋"/>
        </w:rPr>
        <w:t>反映除上述项目以外其他用于城乡社区方面的支出。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十九、住房保障支出(类)住房改革支出(款)购房补贴(项)</w:t>
      </w:r>
      <w:r>
        <w:rPr>
          <w:rFonts w:ascii="仿宋" w:hAnsi="仿宋" w:eastAsia="仿宋" w:cs="仿宋"/>
          <w:b/>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江阴市市场监督管理局</w:t>
    </w:r>
    <w:r>
      <w:t>2024年度部门预算公开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jU5NWJlM2YyZWY2Y2Y5MTJlYTVlOWJkNmY3OGFmYzE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A0C52"/>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autoRedefine/>
    <w:qFormat/>
    <w:uiPriority w:val="1"/>
    <w:pPr>
      <w:ind w:left="112" w:firstLine="0"/>
      <w:outlineLvl w:val="4"/>
    </w:pPr>
    <w:rPr>
      <w:sz w:val="33"/>
      <w:szCs w:val="33"/>
    </w:rPr>
  </w:style>
  <w:style w:type="character" w:default="1" w:styleId="14">
    <w:name w:val="Default Paragraph Font"/>
    <w:autoRedefine/>
    <w:unhideWhenUsed/>
    <w:qFormat/>
    <w:uiPriority w:val="1"/>
  </w:style>
  <w:style w:type="table" w:default="1" w:styleId="12">
    <w:name w:val="Normal Table"/>
    <w:autoRedefine/>
    <w:unhideWhenUsed/>
    <w:qFormat/>
    <w:uiPriority w:val="99"/>
    <w:tblPr>
      <w:tblCellMar>
        <w:top w:w="0" w:type="dxa"/>
        <w:left w:w="108" w:type="dxa"/>
        <w:bottom w:w="0" w:type="dxa"/>
        <w:right w:w="108" w:type="dxa"/>
      </w:tblCellMar>
    </w:tblPr>
  </w:style>
  <w:style w:type="paragraph" w:styleId="7">
    <w:name w:val="caption"/>
    <w:basedOn w:val="1"/>
    <w:next w:val="1"/>
    <w:autoRedefine/>
    <w:qFormat/>
    <w:uiPriority w:val="0"/>
    <w:pPr>
      <w:suppressLineNumbers/>
      <w:spacing w:before="120" w:after="120"/>
    </w:pPr>
    <w:rPr>
      <w:i/>
      <w:iCs/>
      <w:sz w:val="24"/>
      <w:szCs w:val="24"/>
    </w:rPr>
  </w:style>
  <w:style w:type="paragraph" w:styleId="8">
    <w:name w:val="Body Text"/>
    <w:basedOn w:val="1"/>
    <w:autoRedefine/>
    <w:qFormat/>
    <w:uiPriority w:val="1"/>
    <w:rPr>
      <w:sz w:val="32"/>
      <w:szCs w:val="32"/>
    </w:rPr>
  </w:style>
  <w:style w:type="paragraph" w:styleId="9">
    <w:name w:val="footer"/>
    <w:basedOn w:val="1"/>
    <w:autoRedefine/>
    <w:qFormat/>
    <w:uiPriority w:val="0"/>
    <w:pPr>
      <w:tabs>
        <w:tab w:val="center" w:pos="4153"/>
        <w:tab w:val="right" w:pos="8306"/>
      </w:tabs>
      <w:snapToGrid w:val="0"/>
    </w:pPr>
    <w:rPr>
      <w:sz w:val="18"/>
      <w:szCs w:val="18"/>
    </w:rPr>
  </w:style>
  <w:style w:type="paragraph" w:styleId="10">
    <w:name w:val="header"/>
    <w:basedOn w:val="1"/>
    <w:autoRedefine/>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autoRedefine/>
    <w:qFormat/>
    <w:uiPriority w:val="0"/>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autoRedefine/>
    <w:qFormat/>
    <w:uiPriority w:val="0"/>
  </w:style>
  <w:style w:type="character" w:customStyle="1" w:styleId="16">
    <w:name w:val="页眉 字符"/>
    <w:basedOn w:val="14"/>
    <w:autoRedefine/>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autoRedefine/>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autoRedefine/>
    <w:qFormat/>
    <w:uiPriority w:val="0"/>
    <w:pPr>
      <w:keepNext/>
      <w:spacing w:before="240" w:after="120"/>
    </w:pPr>
    <w:rPr>
      <w:rFonts w:ascii="Liberation Sans" w:hAnsi="Liberation Sans"/>
      <w:sz w:val="28"/>
      <w:szCs w:val="28"/>
    </w:rPr>
  </w:style>
  <w:style w:type="paragraph" w:customStyle="1" w:styleId="19">
    <w:name w:val="索引"/>
    <w:basedOn w:val="1"/>
    <w:autoRedefine/>
    <w:qFormat/>
    <w:uiPriority w:val="0"/>
    <w:pPr>
      <w:suppressLineNumbers/>
    </w:pPr>
  </w:style>
  <w:style w:type="paragraph" w:customStyle="1" w:styleId="20">
    <w:name w:val="页眉与页脚"/>
    <w:basedOn w:val="1"/>
    <w:autoRedefine/>
    <w:qFormat/>
    <w:uiPriority w:val="0"/>
  </w:style>
  <w:style w:type="paragraph" w:customStyle="1" w:styleId="21">
    <w:name w:val="List Paragraph"/>
    <w:basedOn w:val="1"/>
    <w:autoRedefine/>
    <w:qFormat/>
    <w:uiPriority w:val="1"/>
    <w:pPr>
      <w:ind w:left="2039" w:hanging="782"/>
    </w:pPr>
  </w:style>
  <w:style w:type="paragraph" w:customStyle="1" w:styleId="22">
    <w:name w:val="Table Paragraph"/>
    <w:basedOn w:val="1"/>
    <w:autoRedefine/>
    <w:qFormat/>
    <w:uiPriority w:val="1"/>
    <w:rPr>
      <w:rFonts w:ascii="宋体" w:hAnsi="宋体" w:eastAsia="宋体" w:cs="宋体"/>
    </w:rPr>
  </w:style>
  <w:style w:type="paragraph" w:customStyle="1" w:styleId="23">
    <w:name w:val="表格内容"/>
    <w:basedOn w:val="1"/>
    <w:autoRedefine/>
    <w:qFormat/>
    <w:uiPriority w:val="0"/>
    <w:pPr>
      <w:suppressLineNumbers/>
    </w:pPr>
  </w:style>
  <w:style w:type="paragraph" w:customStyle="1" w:styleId="24">
    <w:name w:val="表格标题"/>
    <w:basedOn w:val="23"/>
    <w:autoRedefine/>
    <w:qFormat/>
    <w:uiPriority w:val="0"/>
    <w:pPr>
      <w:jc w:val="center"/>
    </w:pPr>
    <w:rPr>
      <w:b/>
      <w:bCs/>
    </w:rPr>
  </w:style>
  <w:style w:type="paragraph" w:customStyle="1" w:styleId="25">
    <w:name w:val="预格式化的文本"/>
    <w:basedOn w:val="1"/>
    <w:autoRedefine/>
    <w:qFormat/>
    <w:uiPriority w:val="0"/>
    <w:rPr>
      <w:rFonts w:ascii="Liberation Mono" w:hAnsi="Liberation Mono" w:eastAsia="新宋体" w:cs="Liberation Mono"/>
      <w:sz w:val="20"/>
      <w:szCs w:val="20"/>
    </w:rPr>
  </w:style>
  <w:style w:type="table" w:customStyle="1" w:styleId="26">
    <w:name w:val="Table Normal"/>
    <w:autoRedefine/>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3</TotalTime>
  <ScaleCrop>false</ScaleCrop>
  <LinksUpToDate>false</LinksUpToDate>
  <CharactersWithSpaces>6456</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半夏</cp:lastModifiedBy>
  <dcterms:modified xsi:type="dcterms:W3CDTF">2024-03-25T02:03:14Z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2052-12.1.0.16388</vt:lpwstr>
  </property>
  <property fmtid="{D5CDD505-2E9C-101B-9397-08002B2CF9AE}" pid="6" name="LastSaved">
    <vt:filetime>2021-04-15T00:00:00Z</vt:filetime>
  </property>
</Properties>
</file>