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江阴高新技术产业开发区管理委员会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负责区内人员经费及运行管理，负责协调上级有关部门设在高新区分支机构的相关工作，负责所有下属单位的管理工作。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党政办公室、党群工作部、招商局、经济发展局、科学技术局、财政局、规划建设局、社会事业局、行政审批局、综合执法局，另按有关规定设置纪工委、监察局。</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本单位下属单位包括：江阴高新技术创业园管委会。</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以习近平新时代中国特色社会主义思想为指导，全面贯彻党的二十大精神和习近平总书记对江苏工作重要讲话重要指示精神，深入落实省市委部署要求，坚持稳中求进工作总基调，统筹推进“五位一体”总体布局、协调推进“四个全面”战略布局，完整准确全面贯彻新发展理念，全面落实“四个走在前”“四个新”重大任务，毫不动摇实施产业强区主导战略、创新驱动核心战略，着力提振信心稳定经济增长，着力加快转型提升发展质态，着力推进绿色发展优化生态环境，着力改善民生增进百姓福祉，着力守牢防线化解风险隐患，着力加强党建汇聚奋斗合力，加快推动高质量发展和现代化建设，奋力打造国内一流的创新型国际化园区，走在“南征北战、东西互搏”最前列。</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江阴高新技术产业开发区管理委员会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江阴高新技术产业开发区管理委员会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32,290.96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23,286.97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71,195.64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367.67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348.68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1,143.03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76,100.98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2,239.27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103,486.60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103,486.60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103,486.60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103,486.60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103,486.60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103,486.60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32,290.96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71,195.64</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江阴高新技术产业开发区管理委员会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21,228.98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21,228.98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21,228.98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江阴高新技术产业开发区党政办公室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88.87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88.87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88.87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江阴高新技术产业开发区党群工作部</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7,625.65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7,625.65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1,090.94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6,534.71</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中国共产党江阴高新技术产业开发区纪律检查工作委员会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244.11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244.11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244.11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江阴市人民代表大会常务委员会高新技术产业开发区工作委员会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79.43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79.43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江阴高新技术产业开发区招商局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23,438.47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23,438.47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1,908.47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21,530.00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江阴高新技术产业开发区经济发展局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23,619.51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23,619.51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400.51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23,219.00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江阴高新技术产业开发区财政局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12,079.12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12,079.12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204.12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11,875.00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江阴高新技术产业开发区规划建设局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5,870.54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5,870.54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5,870.54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江阴高新技术产业开发区科学技术局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7,609.68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7,609.68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348.68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7,261.00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江阴市公安局交通警察大队高新区交警中队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367.67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367.67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367.67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江阴市城东街道环境卫生管理所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1,061.27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1,061.27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775.93</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江阴高新区个体及零星税收委托代征工作站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103,486.60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18,444.60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85,042.00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23,286.97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14,635.46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8,651.51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人大事务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22,185.50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14,325.86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7,859.64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14,325.86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14,325.86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7,859.64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7,859.64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税收事务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纪检监察事务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公安</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科技条件与服务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76,100.98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75,999.08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69,495.64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69,495.64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68,719.71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68,719.71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江阴高新技术产业开发区管理委员会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103,486.60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103,486.60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32,290.96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23,286.97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71,195.64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367.67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348.68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1,143.03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76,100.98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2,239.27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103,486.60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103,486.60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103,486.60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18,444.60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17,103.22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1,341.38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85,042.00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23,286.97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14,635.46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13,370.92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1,264.54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8,651.51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人大事务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22,185.50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14,325.86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13,217.22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1,108.64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7,859.64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14,325.86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14,325.86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13,217.22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1,108.64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7,859.64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7,859.64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发展与改革事务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税收事务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纪检监察事务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公安</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科技条件与服务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831.93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76,100.98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75,999.08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69,495.64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69,495.64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775.93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68,719.71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68,719.71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2,239.27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2,239.27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2,239.27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2,239.27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1,063.13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1,063.13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1,063.13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589.61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589.61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589.61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江阴高新技术产业开发区管理委员会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18,444.60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17,103.22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1,341.38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16,489.03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16,489.03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1,134.66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2,917.19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2,917.19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252.87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32,290.96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18,444.60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17,103.22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1,341.38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13,846.36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23,286.97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14,635.46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13,370.92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1,264.54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8,651.51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人大事务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22,185.50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14,325.86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13,217.22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7,859.64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14,325.86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14,325.86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13,217.22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7,859.64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7,859.64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税收事务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纪检监察事务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公安</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科技条件与服务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4,905.34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4,803.44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18,444.60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17,103.22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1,341.38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16,489.03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16,489.03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1,134.66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1,134.66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2,917.19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2,917.19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9,669.04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252.87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133.81</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33.81</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38.54</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153.92</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71,195.64</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71,195.64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71,195.64</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71,195.64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69,495.64</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69,495.64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2120816</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农业农村生态环境支出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775.93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775.93</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68,719.71</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68,719.71</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2121399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225.77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755.96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153.49</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江阴高新技术产业开发区管理委员会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201.64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193.64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江阴高新技术产业开发区管理委员会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其他风机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其他电机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不间断电源</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变频器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控制器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话筒设备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消防设备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组合家具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其他化学原料及化学制品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江阴高新技术产业开发区党政办公室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组合家具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江阴高新技术产业开发区党群工作部</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数字照相机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中国共产党江阴高新技术产业开发区纪律检查工作委员会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通用照相机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录音外围设备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江阴市人民代表大会常务委员会高新技术产业开发区工作委员会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江阴高新技术产业开发区招商局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茶几</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江阴高新技术产业开发区经济发展局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江阴高新技术产业开发区财政局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装订机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江阴高新技术产业开发区规划建设局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文件(图文)传真机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江阴高新技术产业开发区科学技术局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江阴市公安局交通警察大队高新区交警中队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江阴高新技术产业开发区管理委员会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建筑物清洁服务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江阴高新技术产业开发区管理委员会2024年度收入、支出预算总计103,486.6万元，与上年相比收、支预算总计各减少38,808.8万元，减少27.27%。其中：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（一）收入预算总计103,486.6万元。包括：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1．本年收入合计103,486.6万元。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（1）一般公共预算拨款收入32,290.96万元，与上年相比增加175.93万元，增长0.55%。主要原因是一般公共预算收入预期数比2023年增加。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（2）政府性基金预算拨款收入71,195.64万元，与上年相比减少38,984.73万元，减少35.38%。主要原因是项目减少。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（二）支出预算总计103,486.6万元。包括：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1．本年支出合计103,486.6万元。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（1）一般公共服务支出（类）支出23,286.97万元，主要用于工资发放、大楼运行支出。与上年相比增加678.49万元，增长3%。主要原因是正常浮动。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（2）公共安全支出（类）支出367.67万元，主要用于交巡警人员和运行支出。与上年相比增加46.73万元，增长14.56%。主要原因是增加了单项。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（3）科学技术支出（类）支出348.68万元，主要用于科技局运行支出。与上年相比增加263.02万元，增长307.05%。主要原因是增加了单项，2024年有些专项调整至单项。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（4）社会保障和就业支出（类）支出1,143.03万元，主要用于编制人员的养老职业年金发放。与上年相比减少24.7万元，减少2.12%。主要原因是系统自动取数，正常浮动。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（5）城乡社区支出（类）支出76,100.98万元，主要用于产业扶持政策兑付。与上年相比减少39,150.83万元，减少33.97%。主要原因是压缩专项经费。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（6）住房保障支出（类）支出2,239.27万元，主要用于编制人员购房补贴、公积金的发放。与上年相比减少595.51万元，减少21.01%。主要原因是基数调低。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（7）其他支出（类）支出0万元，与上年相比减少26万元，减少100%。主要原因是项目减少。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江阴高新技术产业开发区管理委员会2024年收入预算合计103,486.6万元，包括本年收入103,486.6万元，上年结转结余0万元。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本年一般公共预算收入32,290.96万元，占31.2%；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本年政府性基金预算收入71,195.64万元，占68.8%；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江阴高新技术产业开发区管理委员会2024年支出预算合计103,486.6万元，其中：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基本支出18,444.6万元，占17.82%；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项目支出85,042万元，占82.18%；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度财政拨款收、支总预算103,486.6万元。与上年相比，财政拨款收、支总计各减少38,808.8万元，减少27.27%。主要原因是一般公共预算收入预期数比2023年预期数减少，相应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财政拨款预算支出103,486.6万元，占本年支出合计的100%。与上年相比，财政拨款支出减少38,808.8万元，减少27.27%。主要原因是一般公共预算收入预期数比2023年预期数减少，相应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1.人大事务（款）行政运行（项）支出12.71万元，与上年相比减少25.88万元，减少67.06%。主要原因是调整功能科目。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2.人大事务（款）一般行政管理事务（项）支出66.72万元，与上年相比增加66.72万元（去年预算数为0万元，无法计算增减比率）。主要原因是新增了单项。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3.政府办公厅（室）及相关机构事务（款）行政运行（项）支出14,325.86万元，与上年相比减少3,759.7万元，减少20.79%。主要原因是调整功能科目。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4.政府办公厅（室）及相关机构事务（款）一般行政管理事务（项）支出7,859.64万元，与上年相比增加6,677.29万元，增长564.75%。主要原因是调整功能科目。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5.发展与改革事务（款）行政运行（项）支出48.51万元，与上年相比减少12.31万元，减少20.24%。主要原因是压缩工作经费。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6.发展与改革事务（款）一般行政管理事务（项）支出352万元，与上年相比增加352万元（去年预算数为0万元，无法计算增减比率）。主要原因是专项调整至单项，相应增加功能科目。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7.财政事务（款）行政运行（项）支出50.82万元，与上年相比减少258.65万元，减少83.58%。主要原因是压缩工作经费并调整功能科目。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8.财政事务（款）一般行政管理事务（项）支出153.3万元，与上年相比增加153.3万元（去年预算数为0万元，无法计算增减比率）。主要原因是调整功能科目。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9.税收事务（款）行政运行（项）支出173.3万元，与上年相比减少5.11万元，减少2.86%。主要原因是压缩工作经费。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10.纪检监察事务（款）行政运行（项）支出24.26万元，与上年相比减少601.31万元，减少96.12%。主要原因是调整功能科目。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11.纪检监察事务（款）一般行政管理事务（项）支出219.85万元，与上年相比增加219.85万元（去年预算数为0万元，无法计算增减比率）。主要原因是调整功能科目，有些项目2023年已结束。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12.商贸事务（款）招商引资（项）支出0万元，与上年相比减少2,127.71万元，减少100%。主要原因是调整功能科目。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1.公安（款）行政运行（项）支出296.06万元，与上年相比减少17.08万元，减少5.45%。主要原因是定额标准调低。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2.公安（款）一般行政管理事务（项）支出71.61万元，与上年相比增加63.81万元，增长818.08%。主要原因是调整功能科目。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科技条件与服务（款）其他科技条件与服务支出（项）支出348.68万元，与上年相比增加263.02万元，增长307.05%。主要原因是增加了单项。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1.行政事业单位养老支出（款）机关事业单位基本养老保险缴费支出（项）支出554.62万元，与上年相比减少14.78万元，减少2.6%。主要原因是系统自动取数，正常浮动。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2.行政事业单位养老支出（款）机关事业单位职业年金缴费支出（项）支出277.31万元，与上年相比减少7.39万元，减少2.6%。主要原因是系统自动取数，正常浮动。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3.其他社会保障和就业支出（款）其他社会保障和就业支出（项）支出311.1万元，与上年相比减少2.53万元，减少0.81%。主要原因是系统自动取数，正常浮动。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1.城乡社区公共设施（款）其他城乡社区公共设施支出（项）支出4,300万元，与上年预算数相同。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2.城乡社区环境卫生（款）城乡社区环境卫生（项）支出285.34万元，与上年相比减少486.1万元，减少63.01%。主要原因是调整功能科目。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3.国有土地使用权出让收入安排的支出（款）农业农村生态环境支出（项）支出775.93万元，与上年相比增加775.93万元（去年预算数为0万元，无法计算增减比率）。主要原因是按文件执行。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国有土地使用权出让收入安排的支出（款）其他国有土地使用权出让收入安排的支出（项）支出68,719.71万元，与上年相比减少41,460.66万元，减少37.63%。主要原因是经济发展专项通过该项资金来源解决，根据预计财力情况安排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城市基础设施配套费安排的支出（款）其他城市基础设施配套费安排的支出（项）支出1,700万元，与上年相比增加1,700万元（去年预算数为0万元，无法计算增减比率）。主要原因是2023年初预算没有安排城市基础设施配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6.其他城乡社区支出（款）其他城乡社区支出（项）支出320万元，与上年相比增加320万元（去年预算数为0万元，无法计算增减比率）。主要原因是调整功能科目。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（六）住房保障支出（类）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1.住房改革支出（款）住房公积金（项）支出586.53万元，与上年相比减少195.71万元，减少25.02%。主要原因是基数调低。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2.住房改革支出（款）提租补贴（项）支出1,063.13万元，与上年相比减少249.3万元，减少19%。主要原因是基数调低。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3.住房改革支出（款）购房补贴（项）支出589.61万元，与上年相比减少150.5万元，减少20.33%。主要原因是基数调低。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（七）其他支出（类）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其他支出（款）其他支出（项）支出0万元，与上年相比减少26万元，减少100%。主要原因是项目减少。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江阴高新技术产业开发区管理委员会2024年度财政拨款基本支出预算18,444.6万元，其中：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17,103.22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（二）公用经费1,341.38万元。主要包括：办公费、印刷费、电费、差旅费、租赁费、会议费、培训费、公务接待费、其他交通费用、其他商品和服务支出、其他资本性支出。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江阴高新技术产业开发区管理委员会2024年一般公共预算财政拨款支出预算32,290.96万元，与上年相比增加175.93万元，增长0.55%。主要原因是一般公共预算收入预期数较2023年增加。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江阴高新技术产业开发区管理委员会2024年度一般公共预算财政拨款基本支出预算18,444.6万元，其中：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17,103.22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（二）公用经费1,341.38万元。主要包括：办公费、印刷费、电费、差旅费、租赁费、会议费、培训费、公务接待费、其他交通费用、其他商品和服务支出、其他资本性支出。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度一般公共预算拨款安排的“三公”经费支出预算133.81万元，比上年预算减少20.83万元，变动原因疫情政策调整后相关预算增加。其中，因公出国（境）费支出100万元，占“三公”经费的74.73%；公务用车购置及运行维护费支出0万元，占“三公”经费的0%；公务接待费支出33.81万元，占“三公”经费的25.27%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1．因公出国（境）费预算支出100万元，比上年预算增加46.4万元，主要原因是疫情政策调整后赴境外招商。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（1）公务用车购置预算支出0万元，比上年预算减少55万元，主要原因是今年无新购置车辆。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（2）公务用车运行维护费预算支出0万元，比上年预算减少13.5万元，主要原因是今年无新购置车辆。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3．公务接待费预算支出33.81万元，比上年预算增加1.27万元，主要原因是疫情政策调整后接待增加。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江阴高新技术产业开发区管理委员会2024年度一般公共预算拨款安排的会议费预算支出38.54万元，比上年预算减少1.57万元，主要原因是疫情政策调整后会议增加。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江阴高新技术产业开发区管理委员会2024年度一般公共预算拨款安排的培训费预算支出153.92万元，比上年预算增加22.44万元，主要原因是疫情政策调整后培训增加。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江阴高新技术产业开发区管理委员会2024年政府性基金支出预算支出71,195.64万元。与上年相比减少38,984.73万元，减少35.38%。主要原因是受市场环境和经济形势影响，土地成交预期减少。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1.城乡社区支出（类）国有土地使用权出让收入安排的支出（款）农业农村生态环境支出（项）支出775.93万元，主要是用于环卫所装潢建筑垃圾收运处置费。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2.城乡社区支出（类）国有土地使用权出让收入安排的支出（款）其他国有土地使用权出让收入安排的支出（项）支出68,719.71万元，主要是用于经济发展专项扶持政策兑现。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3.城乡社区支出（类）城市基础设施配套费安排的支出（款）其他城市基础设施配套费安排的支出（项）支出1,700万元，主要是用于支付城市基础设施配套费。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江阴高新技术产业开发区管理委员会2024年国有资本经营预算支出0万元。与上年预算数相同。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2024年本单位一般公共预算机关运行经费预算支出1,288.9万元，与上年相比增加52万元，增长4.2%。主要原因是列支办公楼房租金。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2024年度政府采购支出预算总额201.64万元，其中：拟采购货物支出193.64万元、拟采购工程支出0万元、拟采购服务支出8万元。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89个项目纳入绩效目标管理，涉及财政性资金合计85,042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八、一般公共服务支出(类)人大事务(款)行政运行(项)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九、一般公共服务支出(类)人大事务(款)一般行政管理事务(项)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十二、一般公共服务支出(类)发展与改革事务(款)行政运行(项)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十三、一般公共服务支出(类)发展与改革事务(款)一般行政管理事务(项)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十四、一般公共服务支出(类)财政事务(款)行政运行(项)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十五、一般公共服务支出(类)财政事务(款)一般行政管理事务(项)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十六、一般公共服务支出(类)税收事务(款)行政运行(项)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十七、一般公共服务支出(类)纪检监察事务(款)行政运行(项)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十八、一般公共服务支出(类)纪检监察事务(款)一般行政管理事务(项)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十九、公共安全支出(类)公安(款)行政运行(项)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二十、公共安全支出(类)公安(款)一般行政管理事务(项)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二十一、科学技术支出(类)科技条件与服务(款)其他科技条件与服务支出(项)</w:t>
      </w:r>
      <w:r>
        <w:rPr>
          <w:rFonts w:ascii="仿宋" w:hAnsi="仿宋" w:cs="仿宋" w:eastAsia="仿宋"/>
          <w:b w:val="true"/>
        </w:rPr>
        <w:t>：</w:t>
      </w:r>
      <w:r>
        <w:rPr>
          <w:rFonts w:hint="eastAsia" w:ascii="仿宋" w:hAnsi="仿宋" w:eastAsia="仿宋" w:cs="仿宋"/>
        </w:rPr>
        <w:t>反映除上述项目以外其他用于科技条件与服务方面的支出。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二十五、城乡社区支出(类)城乡社区公共设施(款)其他城乡社区公共设施支出(项)</w:t>
      </w:r>
      <w:r>
        <w:rPr>
          <w:rFonts w:ascii="仿宋" w:hAnsi="仿宋" w:cs="仿宋" w:eastAsia="仿宋"/>
          <w:b w:val="true"/>
        </w:rPr>
        <w:t>：</w:t>
      </w:r>
      <w:r>
        <w:rPr>
          <w:rFonts w:hint="eastAsia" w:ascii="仿宋" w:hAnsi="仿宋" w:eastAsia="仿宋" w:cs="仿宋"/>
        </w:rPr>
        <w:t>反映除上述项目以外其他用于城乡社区公共设施方面的支出。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二十六、城乡社区支出(类)城乡社区环境卫生(款)城乡社区环境卫生(项)</w:t>
      </w:r>
      <w:r>
        <w:rPr>
          <w:rFonts w:ascii="仿宋" w:hAnsi="仿宋" w:cs="仿宋" w:eastAsia="仿宋"/>
          <w:b w:val="true"/>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二十七、城乡社区支出(类)国有土地使用权出让收入安排的支出(款)农业农村生态环境支出(项)</w:t>
      </w:r>
      <w:r>
        <w:rPr>
          <w:rFonts w:ascii="仿宋" w:hAnsi="仿宋" w:cs="仿宋" w:eastAsia="仿宋"/>
          <w:b w:val="true"/>
        </w:rPr>
        <w:t>：</w:t>
      </w:r>
      <w:r>
        <w:rPr>
          <w:rFonts w:hint="eastAsia" w:ascii="仿宋" w:hAnsi="仿宋" w:eastAsia="仿宋" w:cs="仿宋"/>
        </w:rPr>
        <w:t>反映土地出让收入用于农村人居环境整治、与农业农村直接相关的山水林田湖草生态保护修复等方面的支出。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二十八、城乡社区支出(类)国有土地使用权出让收入安排的支出(款)其他国有土地使用权出让收入安排的支出(项)</w:t>
      </w:r>
      <w:r>
        <w:rPr>
          <w:rFonts w:ascii="仿宋" w:hAnsi="仿宋" w:cs="仿宋" w:eastAsia="仿宋"/>
          <w:b w:val="true"/>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二十九、城乡社区支出(类)城市基础设施配套费安排的支出(款)其他城市基础设施配套费安排的支出(项)</w:t>
      </w:r>
      <w:r>
        <w:rPr>
          <w:rFonts w:ascii="仿宋" w:hAnsi="仿宋" w:cs="仿宋" w:eastAsia="仿宋"/>
          <w:b w:val="true"/>
        </w:rPr>
        <w:t>：</w:t>
      </w:r>
      <w:r>
        <w:rPr>
          <w:rFonts w:hint="eastAsia" w:ascii="仿宋" w:hAnsi="仿宋" w:eastAsia="仿宋" w:cs="仿宋"/>
        </w:rPr>
        <w:t>反映上述项目以外的城市基础设施配套费支出。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江阴高新技术产业开发区管理委员会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