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江阴高新技术产业开发区财</w:t>
            </w:r>
            <w:r>
              <w:rPr>
                <w:rFonts w:ascii="宋体" w:hAnsi="宋体" w:cs="宋体" w:eastAsia="宋体"/>
                <w:b w:val="true"/>
                <w:sz w:val="52"/>
              </w:rPr>
              <w:t xml:space="preserve"></w:t>
              <w:br w:type="textWrapping"/>
              <w:t/>
            </w:r>
            <w:r>
              <w:rPr>
                <w:rFonts w:ascii="宋体" w:hAnsi="宋体" w:cs="宋体" w:eastAsia="宋体"/>
                <w:b w:val="true"/>
                <w:sz w:val="52"/>
              </w:rPr>
              <w:t>政局（总预算）</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高新区财政局主要负责高新区财政预算和财政决算的组织编制、执行工作，负责管理和监督各项财政收支活动；负责高新区财政收入的组织征收、管理和财税政策的落实工作；负责高新区财政资金的调度、筹集和资金平衡工作；负责做好与上级财政部门的解缴和结算工作；负责制定高新区财政管理制度，参与经济决策和管理；负责高新区国有资产和集体资产监督管理工作；负责高新区财政支出绩效管理工作；负责高新区行政事业单位集中支付工作；负责高新区政府采购管理工作；负责高新区政府投资项目资金管理工作；负责配合上级部门做好高新区各项审计迎检工作；承办党工委、管委会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抓好财源培植和收入征管。持续推进协护税工作，强化各部门间的协同联动，确保对重点行业、重点企业服务再优化、保障再提升，对重点税种的监控管理再细致，依法依规推进对税收和非税收入征管，做到应收尽收，全力以赴确保财政一般公共预算收入稳定增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化国企国资改革。完善国有企业经营业绩考核细则，加强考核结果应用。整合提升区属国资公司和未来功能区国资公司，进一步拓宽融资渠道，降低融资成本，加快打造江阴第二家AAA公司，为高新区长远发展夯实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推进国有资产清查利用试点改革。持续深入推进国有资产清查利用工作，多途径盘活国有资产，充分挖掘国资价值，提升资产使用效率。建立完善国有资产监管系统，提高国有资产信息化管理水平。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江阴高新技术产业开发区财政局（总预算）</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江阴高新技术产业开发区财政局（总预算）</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103,377.47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117,890.39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761.29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290.20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208,252.22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53.38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420.00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6,955.48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4,500.29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221,267.86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221,267.86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221,267.86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221,267.86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221,267.86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221,267.86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103,377.47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117,890.39</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江阴高新技术产业开发区财政局（总预算）</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221,267.86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221,267.86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103,377.47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117,890.39</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221,267.86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221,267.86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208,252.22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208,252.22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115,390.10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115,390.10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土地开发支出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115,390.10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115,390.10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2130142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乡村道路建设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公路水路运输</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2140199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预备费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23203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2320301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地方政府一般债券付息支出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23204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地方政府专项债务付息支出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2320411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国有土地使用权出让金债务付息支出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江阴高新技术产业开发区财政局（总预算）</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221,267.86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221,267.86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103,377.47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117,890.39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290.20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208,252.22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6,955.48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4,500.29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221,267.86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221,267.86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221,267.86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221,267.86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208,252.22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208,252.22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55,556.73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55,556.73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55,556.73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55,556.73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115,390.10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115,390.10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土地开发支出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115,390.10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115,390.10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37,305.39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37,305.39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37,305.39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37,305.39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2130142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乡村道路建设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公路水路运输</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2140199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预备费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6,955.48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6,955.48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23203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2320301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地方政府一般债券付息支出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23204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地方政府专项债务付息支出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2320411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国有土地使用权出让金债务付息支出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江阴高新技术产业开发区财政局（总预算）</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r>
        <w:rPr>
          <w:rFonts w:hint="eastAsia" w:ascii="仿宋" w:hAnsi="仿宋" w:eastAsia="仿宋" w:cs="仿宋"/>
          <w:b/>
          <w:bCs/>
          <w:sz w:val="22"/>
          <w:szCs w:val="22"/>
        </w:rPr>
        <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103,377.47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103,377.47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92,862.12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92,862.12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55,556.73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37,305.39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2130142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乡村道路建设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公路水路运输</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2140199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预备费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232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23203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2320301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地方政府一般债券付息支出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117,890.39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117,890.39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土地开发支出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232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债务付息支出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23204</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地方政府专项债务付息支出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2320411</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国有土地使用权出让金债务付息支出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江阴高新技术产业开发区财政局（总预算）</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江阴高新技术产业开发区财政局（总预算）2024年度收入、支出预算总计221,267.86万元，与上年相比收、支预算总计各增加19,848.57万元，增长9.85%。其中：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（一）收入预算总计221,267.86万元。包括：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1．本年收入合计221,267.86万元。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（1）一般公共预算拨款收入103,377.47万元，与上年相比增加37,661.39万元，增长57.31%。主要原因是一般公共预算收入预期比2023年公共预算数增加。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（2）政府性基金预算拨款收入117,890.39万元，与上年相比减少17,812.82万元，减少13.13%。主要原因是土地出让收入预期比2023年减少。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（二）支出预算总计221,267.86万元。包括：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1．本年支出合计221,267.86万元。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（1）公共安全支出（类）支出761.29万元，主要用于长山消防站人员及运行经费。与上年相比增加11.48万元，增长1.53%。主要原因是按上级文件文件提高经费标准。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（2）卫生健康支出（类）支出290.2万元，主要用于中医外科医院的药品加成补助等。与上年相比减少92.5万元，减少24.17%。主要原因是减少预算项目。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（3）城乡社区支出（类）支出208,252.22万元，主要用于国资公司支出、化解隐债、PPP运行。与上年相比增加22,331.44万元，增长12.01%。主要原因是PPP项目可行性服务费增加。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（4）农林水支出（类）支出53.38万元，主要用于农村公路养护。与上年预算数相同。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（5）交通运输支出（类）支出420万元，主要用于条线单位经费补助。与上年相比增加225万元，增长115.38%。主要原因是根据文件提高补贴额度。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（6）预备费（类）支出6,955.48万元，主要用于年中应急处突发事项的经费追加。与上年相比减少3,044.52万元，减少30.45%。主要原因是根据预算财力情况安排。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（7）其他支出（类）支出35万元，主要用于高新区税务分局房租。与上年相比减少82.62万元，减少70.24%。主要原因是一、长山国防项目结束；二、税务分局房租仅需支付半年。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债务付息支出（类）支出4,500.29万元，主要用于归还政府一般债券利息；以国有土地使用权出让金安排的专项债务付息支出。与上年相比增加500.29万元，增长12.51%。主要原因是根据政府专项债券余额计算应付利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江阴高新技术产业开发区财政局（总预算）2024年收入预算合计221,267.86万元，包括本年收入221,267.86万元，上年结转结余0万元。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本年一般公共预算收入103,377.47万元，占46.72%；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本年政府性基金预算收入117,890.39万元，占53.28%；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江阴高新技术产业开发区财政局（总预算）2024年支出预算合计221,267.86万元，其中：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项目支出221,267.86万元，占100%；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度财政拨款收、支总预算221,267.86万元。与上年相比，财政拨款收、支总计各增加19,848.57万元，增长9.85%。主要原因是长山消防站人员标准经费提高；PPP项目可行性服务费增加；对条线单位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财政拨款预算支出221,267.86万元，占本年支出合计的100%。与上年相比，财政拨款支出增加19,848.57万元，增长9.85%。主要原因是长山消防站人员标准经费提高；PPP项目可行性服务费增加；对条线单位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其他公共安全支出（款）其他公共安全支出（项）支出761.29万元，与上年相比增加11.48万元，增长1.53%。主要原因是长山消防站人员标准经费提高。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公共卫生（款）基本公共卫生服务（项）支出290.2万元，与上年相比减少92.5万元，减少24.17%。主要原因是减少预算项目。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1.城乡社区公共设施（款）其他城乡社区公共设施支出（项）支出55,556.73万元，与上年相比增加8,433.42万元，增长17.9%。主要原因是PPP项目可行性服务费增加。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2.国有土地使用权出让收入安排的支出（款）土地开发支出（项）支出115,390.1万元，与上年相比增加31,686.89万元，增长37.86%。主要原因是按照化债计划安排预算。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3.国有土地使用权出让收入安排的支出（款）其他国有土地使用权出让收入安排的支出（项）支出0万元，与上年相比减少25,000万元，减少100%。主要原因是2024年预期无专项债券收入。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4.国有土地使用权出让收入对应专项债务收入安排的支出（款）城市建设支出（项）支出0万元，与上年相比减少25,000万元，减少100%。主要原因是2024年预期无专项债券支出。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5.其他城乡社区支出（款）其他城乡社区支出（项）支出37,305.39万元，与上年相比增加32,211.13万元，增长632.3%。主要原因是按照化债计划安排预算。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农业农村（款）乡村道路建设（项）支出53.38万元，与上年预算数相同。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（五）交通运输支出（类）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公路水路运输（款）其他公路水路运输支出（项）支出420万元，与上年相比增加225万元，增长115.38%。主要原因是对条线单位补贴增加。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（六）预备费（类）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预备费（类）支出6,955.48万元，与上年相比减少3,044.52万元，减少30.45%。主要原因是根据预算财力情况安排。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（七）其他支出（类）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其他支出（款）其他支出（项）支出35万元，与上年相比减少82.62万元，减少70.24%。主要原因是一、长山国防项目结束；二、税务分局房租仅需支付半年。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（八）债务付息支出（类）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1.地方政府一般债务付息支出（款）地方政府一般债券付息支出（项）支出2,000万元，与上年预算数相同。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2.地方政府专项债务付息支出（款）国有土地使用权出让金债务付息支出（项）支出2,500.29万元，与上年相比增加500.29万元，增长25.01%。主要原因是按照专项债券余额计算利息。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江阴高新技术产业开发区财政局（总预算）2024年度财政拨款基本支出预算0万元，其中：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江阴高新技术产业开发区财政局（总预算）2024年一般公共预算财政拨款支出预算103,377.47万元，与上年相比增加37,661.39万元，增长57.31%。主要原因是PPP项目可行性缺口补助及化债支出增加。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江阴高新技术产业开发区财政局（总预算）2024年度一般公共预算财政拨款基本支出预算0万元，其中：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江阴高新技术产业开发区财政局（总预算）2024年政府性基金支出预算支出117,890.39万元。与上年相比减少17,812.82万元，减少13.13%。主要原因是根据预计财力对经济发展专项预算进行了压降。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1.城乡社区支出（类）国有土地使用权出让收入安排的支出（款）土地开发支出（项）支出115,390.1万元，主要是用于隐债化解和经济发展专项。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2.债务付息支出（类）地方政府专项债务付息支出（款）国有土地使用权出让金债务付息支出（项）支出2,500.29万元，主要是用于以国有土地使用权出让金安排的政府专项债券付息支出。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江阴高新技术产业开发区财政局（总预算）2024年国有资本经营预算支出0万元。与上年预算数相同。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9个项目纳入绩效目标管理，涉及财政性资金合计221,267.86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八、公共安全支出(类)其他公共安全支出(款)其他公共安全支出(项)</w:t>
      </w:r>
      <w:r>
        <w:rPr>
          <w:rFonts w:ascii="仿宋" w:hAnsi="仿宋" w:cs="仿宋" w:eastAsia="仿宋"/>
          <w:b w:val="true"/>
        </w:rPr>
        <w:t>：</w:t>
      </w:r>
      <w:r>
        <w:rPr>
          <w:rFonts w:hint="eastAsia" w:ascii="仿宋" w:hAnsi="仿宋" w:eastAsia="仿宋" w:cs="仿宋"/>
        </w:rPr>
        <w:t>反映除上述项目以外其他用于公共安全方面的支出。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十、城乡社区支出(类)城乡社区公共设施(款)其他城乡社区公共设施支出(项)</w:t>
      </w:r>
      <w:r>
        <w:rPr>
          <w:rFonts w:ascii="仿宋" w:hAnsi="仿宋" w:cs="仿宋" w:eastAsia="仿宋"/>
          <w:b w:val="true"/>
        </w:rPr>
        <w:t>：</w:t>
      </w:r>
      <w:r>
        <w:rPr>
          <w:rFonts w:hint="eastAsia" w:ascii="仿宋" w:hAnsi="仿宋" w:eastAsia="仿宋" w:cs="仿宋"/>
        </w:rPr>
        <w:t>反映除上述项目以外其他用于城乡社区公共设施方面的支出。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十一、城乡社区支出(类)国有土地使用权出让收入安排的支出(款)土地开发支出(项)</w:t>
      </w:r>
      <w:r>
        <w:rPr>
          <w:rFonts w:ascii="仿宋" w:hAnsi="仿宋" w:cs="仿宋" w:eastAsia="仿宋"/>
          <w:b w:val="true"/>
        </w:rPr>
        <w:t>：</w:t>
      </w:r>
      <w:r>
        <w:rPr>
          <w:rFonts w:hint="eastAsia" w:ascii="仿宋" w:hAnsi="仿宋" w:eastAsia="仿宋" w:cs="仿宋"/>
        </w:rPr>
        <w:t>反映新疆生产建设兵团和地方政府用于前期土地开发性支出以及与前期土地开发相关的费用等支出。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十三、农林水支出(类)农业农村(款)乡村道路建设(项)</w:t>
      </w:r>
      <w:r>
        <w:rPr>
          <w:rFonts w:ascii="仿宋" w:hAnsi="仿宋" w:cs="仿宋" w:eastAsia="仿宋"/>
          <w:b w:val="true"/>
        </w:rPr>
        <w:t>：</w:t>
      </w:r>
      <w:r>
        <w:rPr>
          <w:rFonts w:hint="eastAsia" w:ascii="仿宋" w:hAnsi="仿宋" w:eastAsia="仿宋" w:cs="仿宋"/>
        </w:rPr>
        <w:t>反映用于乡村内街巷和农田间机耕道建设等方面的支出。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十四、交通运输支出(类)公路水路运输(款)其他公路水路运输支出(项)</w:t>
      </w:r>
      <w:r>
        <w:rPr>
          <w:rFonts w:ascii="仿宋" w:hAnsi="仿宋" w:cs="仿宋" w:eastAsia="仿宋"/>
          <w:b w:val="true"/>
        </w:rPr>
        <w:t>：</w:t>
      </w:r>
      <w:r>
        <w:rPr>
          <w:rFonts w:hint="eastAsia" w:ascii="仿宋" w:hAnsi="仿宋" w:eastAsia="仿宋" w:cs="仿宋"/>
        </w:rPr>
        <w:t>反映除上述项目以外其他用于公路水路运输方面的支出。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十五、预备费(类)</w:t>
      </w:r>
      <w:r>
        <w:rPr>
          <w:rFonts w:ascii="仿宋" w:hAnsi="仿宋" w:cs="仿宋" w:eastAsia="仿宋"/>
          <w:b w:val="true"/>
        </w:rPr>
        <w:t>：</w:t>
      </w:r>
      <w:r>
        <w:rPr>
          <w:rFonts w:hint="eastAsia" w:ascii="仿宋" w:hAnsi="仿宋" w:eastAsia="仿宋" w:cs="仿宋"/>
        </w:rPr>
        <w:t>反映预算中安排的预备费。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十六、其他支出(类)其他支出(款)其他支出(项)</w:t>
      </w:r>
      <w:r>
        <w:rPr>
          <w:rFonts w:ascii="仿宋" w:hAnsi="仿宋" w:cs="仿宋" w:eastAsia="仿宋"/>
          <w:b w:val="true"/>
        </w:rPr>
        <w:t>：</w:t>
      </w:r>
      <w:r>
        <w:rPr>
          <w:rFonts w:hint="eastAsia" w:ascii="仿宋" w:hAnsi="仿宋" w:eastAsia="仿宋" w:cs="仿宋"/>
        </w:rPr>
        <w:t>反映除上述项目以外其他不能划分到具体功能科目中的支出项目。</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十七、债务付息支出(类)地方政府一般债务付息支出(款)地方政府一般债券付息支出(项)</w:t>
      </w:r>
      <w:r>
        <w:rPr>
          <w:rFonts w:ascii="仿宋" w:hAnsi="仿宋" w:cs="仿宋" w:eastAsia="仿宋"/>
          <w:b w:val="true"/>
        </w:rPr>
        <w:t>：</w:t>
      </w:r>
      <w:r>
        <w:rPr>
          <w:rFonts w:hint="eastAsia" w:ascii="仿宋" w:hAnsi="仿宋" w:eastAsia="仿宋" w:cs="仿宋"/>
        </w:rPr>
        <w:t>反映地方政府用于归还一般债券利息所发生的支出。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十八、债务付息支出(类)地方政府专项债务付息支出(款)国有土地使用权出让金债务付息支出(项)</w:t>
      </w:r>
      <w:r>
        <w:rPr>
          <w:rFonts w:ascii="仿宋" w:hAnsi="仿宋" w:cs="仿宋" w:eastAsia="仿宋"/>
          <w:b w:val="true"/>
        </w:rPr>
        <w:t>：</w:t>
      </w:r>
      <w:r>
        <w:rPr>
          <w:rFonts w:hint="eastAsia" w:ascii="仿宋" w:hAnsi="仿宋" w:eastAsia="仿宋" w:cs="仿宋"/>
        </w:rPr>
        <w:t>反映地方政府以国有土地使用权出让金安排的专项债务付息支出。土地储备专项债券付息支出不在此科目反映。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江阴高新技术产业开发区财政局（总预算）</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