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1040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xml:space="preserve">2024年度</w:t>
              <w:br w:type="textWrapping"/>
              <w:t/>
            </w:r>
            <w:r>
              <w:rPr>
                <w:rFonts w:ascii="宋体" w:hAnsi="宋体" w:cs="宋体" w:eastAsia="宋体"/>
                <w:b w:val="true"/>
                <w:sz w:val="52"/>
              </w:rPr>
              <w:t>江阴高新技术产业开发区</w:t>
            </w:r>
            <w:r>
              <w:rPr>
                <w:rFonts w:ascii="宋体" w:hAnsi="宋体" w:cs="宋体" w:eastAsia="宋体"/>
                <w:b w:val="true"/>
                <w:sz w:val="52"/>
              </w:rPr>
              <w:t xml:space="preserve"></w:t>
              <w:br w:type="textWrapping"/>
              <w:t>部门预算公开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102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2024</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lang w:val="en-US" w:eastAsia="zh-CN"/>
        </w:rPr>
        <w:t>年度</w:t>
      </w:r>
      <w:r>
        <w:rPr>
          <w:rFonts w:ascii="仿宋" w:hAnsi="仿宋" w:cs="仿宋" w:eastAsia="仿宋"/>
          <w:b w:val="true"/>
        </w:rPr>
        <w:t>部门</w:t>
      </w:r>
      <w:r>
        <w:rPr>
          <w:rFonts w:ascii="仿宋" w:hAnsi="仿宋" w:cs="仿宋" w:eastAsia="仿宋"/>
          <w:b w:val="true"/>
        </w:rPr>
        <w:t>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2024</w:t>
      </w:r>
      <w:r>
        <w:rPr>
          <w:rFonts w:hint="eastAsia" w:ascii="仿宋" w:hAnsi="仿宋" w:eastAsia="仿宋" w:cs="仿宋"/>
          <w:b/>
          <w:bCs/>
          <w:color w:val="000000"/>
          <w:sz w:val="30"/>
          <w:szCs w:val="30"/>
          <w:lang w:val="en-US" w:bidi="ar"/>
        </w:rPr>
        <w:t>年度</w:t>
      </w:r>
      <w:r>
        <w:rPr>
          <w:rFonts w:ascii="仿宋" w:hAnsi="仿宋" w:cs="仿宋" w:eastAsia="仿宋"/>
          <w:b w:val="true"/>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6"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w:t>
      </w:r>
      <w:r>
        <w:rPr>
          <w:rFonts w:hint="eastAsia" w:ascii="仿宋" w:hAnsi="仿宋" w:eastAsia="仿宋" w:cs="仿宋"/>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根据《国务院关于同意江阴高新技术产业园区升级为国家高新技术产业开发区的批复》（国函〔2011〕71号）《无锡市编办关于调整江阴高新技术产业开发区党工委、管委会内设机构的批复》(锡编办发〔2017〕99号）和《江阴市行政管理体制改革方案》(澄委发〔2017〕43号）等文件精神，中共江阴高新技术产业开发区工作委员会和江阴高新技术产业开发区管理委员会分别为江阴市委、市政府的派出机构，按规定享受相应的经济社会管理权限和机构级别。</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一、主要职责</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1、贯彻执行国家、省市法律法规和关于开发区发展的方针政策，编制高新区经济社会发展总体规划和发展计划，经批准后组织实施。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2、贯彻国家有关政策法规，制定高新区有关政策并组织实施。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3、根据有关法规和江阴市人民政府的授权，在高新区内行使相关的行政管理和经济社会管理职能。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4、负责招商引资等工作，开展各类对外招商、经济技术合作与交流等活动，依法处理高新区的涉外事务。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5、负责科技创新和高层次人才引进、培养、管理和服务等工作，协助管理区内国家和省市级高新技术企业、重点科技项目和重大创新平台。</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6、负责区内产业发展、经济贸易、统计、安全生产、环境保护、生态文明建设等工作，负责区内企业的管理服务工作，组织和指导企业深化改革、资本上市、金融服务、质量管理、品牌申报等工作。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7、负责编制高新区城市总体规划、控制性详细规划和专业规划，经批准后组织实施；负责区内的基本建设和基础设施的建设、房地产管理等工作。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8、负责区内党的建设和精神文明建设，做好组织、宣传、统战、纪检监察、机构编制和群团等工作。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9、负责区内征地补偿、拆迁安置、综治维稳、信访、人民调解、交通、文化教育、体育、卫生和计划生育、人力资源和社会保障等社会事务管理工作。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10、负责区内财政收支管理、审计监督和国有资产投资经营管理等工作。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11、负责协调上级有关部门设在高新区分支机构的相关工作；负责所有下属单位的管理工作。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12、承办江阴市委、市政府交办的其他事项。</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cs="仿宋" w:eastAsia="仿宋"/>
          <w:b w:val="true"/>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
      </w:r>
      <w:r>
        <w:rPr>
          <w:rFonts w:hint="eastAsia" w:ascii="仿宋" w:hAnsi="仿宋" w:eastAsia="仿宋" w:cs="仿宋"/>
          <w:lang w:val="en-US" w:eastAsia="zh-CN"/>
        </w:rPr>
        <w:t>1.</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本部门内设机构包括：</w:t>
      </w:r>
      <w:r>
        <w:rPr>
          <w:rFonts w:ascii="仿宋" w:hAnsi="仿宋" w:cs="仿宋" w:eastAsia="仿宋"/>
        </w:rPr>
        <w:t/>
      </w:r>
      <w:r>
        <w:rPr>
          <w:rFonts w:ascii="仿宋" w:hAnsi="仿宋" w:cs="仿宋" w:eastAsia="仿宋"/>
        </w:rPr>
        <w:t/>
      </w:r>
      <w:r>
        <w:rPr>
          <w:rFonts w:ascii="仿宋" w:hAnsi="仿宋" w:cs="仿宋" w:eastAsia="仿宋"/>
        </w:rPr>
        <w:t>根据上述主要职责，江阴高新区党工委、管委会设党政办公室、党群工作部、招商局、经济发展局（挂“安全生产监督管理局”牌子）、科学技术局、财政局（挂“国有资产监督管理办公室”、“财政国库集中收付中心”牌子）、规划建设局、社会事业局、行政审批局、综合执法局（挂“管理服务指挥中心”牌子）等10个内设机构，均为正科级建制。按有关规定设置纪工委、监察局（挂“审计局”牌子）。监察局和纪工委合署办公。</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部门下属单位包括：江阴高新技术产业开发区管理委员会，江阴高新技术产业开发区党政办公室，江阴高新技术产业开发区党群工作部，中国共产党江阴高新技术产业开发区纪律检查工作委员会，江阴市人民代表大会常务委员会高新技术产业开发区工作委员会，江阴高新技术产业开发区招商局，江阴高新技术产业开发区经济发展局，江阴高新技术产业开发区财政局，江阴高新技术产业开发区规划建设局，江阴高新技术产业开发区科学技术局，江阴高新技术产业开发区综合执法局，江阴高新技术产业开发区行政审批局，江阴高新技术产业开发区社会事业局，江阴高新技术创业园管理委员会，江阴市公安局高新区警务工作站，江阴市公安局滨江派出所，江阴市公安局城东派出所，江阴市公安局交通警察大队高新区交警中队，江阴高新区成人教育中心校，江阴高新区实验中学，江阴市长山中学，江阴高新区实验小学，江阴高新区长山中心小学，江阴高新区山观实验小学，江阴高新区金童中心小学，江阴高新区实验幼儿园，江阴高新区长山中心幼儿园，江阴高新区山观中心幼儿园，江阴市城东社区卫生服务中心，江阴市城东街道滨江社区居民委员会，江阴市城东街道锦隆社区居民委员会，江阴市城东街道长山社区居民委员会，江阴市城东街道杨市社区居民委员会，江阴市城东街道双牌社区居民委员会，江阴市城东街道石牌社区居民委员会，江阴市城东街道山观社区居民委员会，江阴市城东街道金山社区居民委员会，江阴市城东街道金童社区居民委员会，江阴市城东街道寿山社区居民委员会，江阴市城东街道蟠龙社区居民委员会，江阴市城东街道山源社区居民委员会，江阴市城东街道环境卫生管理所，江阴高新区个体及零星税收委托代征工作站，江阴市滨江科技城小学，江阴高新区南苑幼儿园。</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2024</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hint="eastAsia" w:ascii="仿宋" w:hAnsi="仿宋" w:eastAsia="仿宋" w:cs="仿宋"/>
          <w:lang w:val="en-US"/>
        </w:rPr>
        <w:t/>
      </w:r>
      <w:r>
        <w:rPr>
          <w:rFonts w:ascii="仿宋" w:hAnsi="仿宋" w:cs="仿宋" w:eastAsia="仿宋"/>
        </w:rPr>
        <w:t/>
      </w:r>
      <w:r>
        <w:rPr>
          <w:rFonts w:ascii="仿宋" w:hAnsi="仿宋" w:cs="仿宋" w:eastAsia="仿宋"/>
        </w:rPr>
        <w:t>46</w:t>
      </w:r>
      <w:r>
        <w:rPr>
          <w:rFonts w:ascii="仿宋" w:hAnsi="仿宋" w:cs="仿宋" w:eastAsia="仿宋"/>
        </w:rPr>
        <w:t/>
      </w:r>
      <w:r>
        <w:rPr>
          <w:rFonts w:ascii="仿宋" w:hAnsi="仿宋" w:cs="仿宋" w:eastAsia="仿宋"/>
        </w:rPr>
        <w:t/>
      </w:r>
      <w:r>
        <w:rPr>
          <w:rFonts w:hint="eastAsia" w:ascii="仿宋" w:hAnsi="仿宋" w:eastAsia="仿宋" w:cs="仿宋"/>
        </w:rPr>
        <w:t>家，具体包括：</w:t>
      </w:r>
      <w:r>
        <w:rPr>
          <w:rFonts w:hint="eastAsia" w:ascii="仿宋" w:hAnsi="仿宋" w:eastAsia="仿宋" w:cs="仿宋"/>
          <w:lang w:val="en-US"/>
        </w:rPr>
        <w:t/>
      </w:r>
      <w:r>
        <w:rPr>
          <w:rFonts w:ascii="仿宋" w:hAnsi="仿宋" w:cs="仿宋" w:eastAsia="仿宋"/>
        </w:rPr>
        <w:t/>
      </w:r>
      <w:r>
        <w:rPr>
          <w:rFonts w:ascii="仿宋" w:hAnsi="仿宋" w:cs="仿宋" w:eastAsia="仿宋"/>
        </w:rPr>
        <w:t>江阴高新技术产业开发区财政局（总预算），江阴高新技术产业开发区管理委员会，江阴高新技术产业开发区党政办公室，江阴高新技术产业开发区党群工作部，中国共产党江阴高新技术产业开发区纪律检查工作委员会，江阴市人民代表大会常务委员会高新技术产业开发区工作委员会，江阴高新技术产业开发区招商局，江阴高新技术产业开发区经济发展局，江阴高新技术产业开发区财政局，江阴高新技术产业开发区规划建设局，江阴高新技术产业开发区科学技术局，江阴高新技术产业开发区综合执法局，江阴高新技术产业开发区行政审批局，江阴高新技术产业开发区社会事业局，江阴高新技术创业园管理委员会，江阴市公安局高新区警务工作站，江阴市公安局滨江派出所，江阴市公安局城东派出所，江阴市公安局交通警察大队高新区交警中队，江阴高新区成人教育中心校，江阴高新区实验中学，江阴市长山中学，江阴高新区实验小学，江阴高新区长山中心小学，江阴高新区山观实验小学，江阴高新区金童中心小学，江阴高新区实验幼儿园，江阴高新区长山中心幼儿园，江阴高新区山观中心幼儿园，江阴市城东社区卫生服务中心，江阴市城东街道滨江社区居民委员会，江阴市城东街道锦隆社区居民委员会，江阴市城东街道长山社区居民委员会，江阴市城东街道杨市社区居民委员会，江阴市城东街道双牌社区居民委员会，江阴市城东街道石牌社区居民委员会，江阴市城东街道山观社区居民委员会，江阴市城东街道金山社区居民委员会，江阴市城东街道金童社区居民委员会，江阴市城东街道寿山社区居民委员会，江阴市城东街道蟠龙社区居民委员会，江阴市城东街道山源社区居民委员会，江阴市城东街道环境卫生管理所，江阴高新区个体及零星税收委托代征工作站，江阴市滨江科技城小学，江阴高新区南苑幼儿园。</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2024</w:t>
      </w:r>
      <w:r>
        <w:rPr>
          <w:rFonts w:hint="eastAsia" w:ascii="仿宋" w:hAnsi="仿宋" w:eastAsia="仿宋" w:cs="仿宋"/>
          <w:b/>
          <w:bCs/>
        </w:rPr>
        <w:t>年度</w:t>
      </w:r>
      <w:r>
        <w:rPr>
          <w:rFonts w:ascii="仿宋" w:hAnsi="仿宋" w:cs="仿宋" w:eastAsia="仿宋"/>
          <w:b w:val="true"/>
        </w:rPr>
        <w:t>部门</w:t>
      </w:r>
      <w:r>
        <w:rPr>
          <w:rFonts w:ascii="仿宋" w:hAnsi="仿宋" w:cs="仿宋" w:eastAsia="仿宋"/>
          <w:b w:val="true"/>
        </w:rPr>
        <w:t>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2024年高新区经济社会发展的主要预期目标是：地区生产总值增长5.5%左右；一般公共预算收入增长5%左右；规模以上工业增加值增长5%左右；固定资产投资150亿元，其中工业投资95亿元；限上批发业销售额增长8%左右；限上零售额增长7%左右；外贸进出口总额稳中提质；居民人均可支配收入与经济增长基本同步，节能减排和大气、水环境质量完成上级下达的目标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重点做好：1、全力稳住经济增长。2、全力加快产业转型。3、全力激活科创动能。4、全力深化改革开放。5、全力推动绿色发展。6、全力增进民生福祉。</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1020" w:bottom="770" w:left="10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江阴高新技术产业开发区</w:t>
      </w:r>
    </w:p>
    <w:p>
      <w:pPr>
        <w:pStyle w:val="21"/>
        <w:widowControl w:val="0"/>
        <w:tabs>
          <w:tab w:val="left" w:pos="1609"/>
        </w:tabs>
        <w:suppressAutoHyphens/>
        <w:bidi w:val="0"/>
        <w:spacing w:before="12" w:after="0"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eastAsia="zh-CN"/>
        </w:rPr>
        <w:t>部门</w:t>
      </w:r>
      <w:r>
        <w:rPr>
          <w:rFonts w:ascii="仿宋" w:hAnsi="仿宋" w:cs="仿宋" w:eastAsia="仿宋"/>
          <w:b w:val="true"/>
          <w:sz w:val="44"/>
        </w:rPr>
        <w:t>预算表</w:t>
      </w:r>
    </w:p>
    <w:tbl>
      <w:tblPr>
        <w:tblStyle w:val="12"/>
        <w:tblW w:w="11329" w:type="dxa"/>
        <w:jc w:val="center"/>
        <w:tblLayout w:type="fixed"/>
        <w:tblCellMar>
          <w:top w:w="0" w:type="dxa"/>
          <w:left w:w="108" w:type="dxa"/>
          <w:bottom w:w="0" w:type="dxa"/>
          <w:right w:w="108" w:type="dxa"/>
        </w:tblCellMar>
      </w:tblPr>
      <w:tblGrid>
        <w:gridCol w:w="3908"/>
        <w:gridCol w:w="1869"/>
        <w:gridCol w:w="3704"/>
        <w:gridCol w:w="67"/>
        <w:gridCol w:w="1781"/>
      </w:tblGrid>
      <w:tr>
        <w:tblPrEx>
          <w:tblCellMar>
            <w:top w:w="0" w:type="dxa"/>
            <w:left w:w="108" w:type="dxa"/>
            <w:bottom w:w="0" w:type="dxa"/>
            <w:right w:w="108" w:type="dxa"/>
          </w:tblCellMar>
        </w:tblPrEx>
        <w:trPr>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color w:val="000000"/>
                <w:sz w:val="22"/>
                <w:szCs w:val="22"/>
                <w:lang w:eastAsia="ar-SA"/>
              </w:rPr>
              <w:t>江阴高新技术产业开发区</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232,451.00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29,106.51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199,789.00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8,386.66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21,525.50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5,345.58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19,966.59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9,518.58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3,659.27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303,046.11</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11,840.06</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420.00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十八、援助其他地区支出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7,768.37</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166.00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6,955.48</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35.00</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4,500.29</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432,240.00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432,240.00</w:t>
            </w:r>
          </w:p>
        </w:tc>
      </w:tr>
      <w:tr>
        <w:tblPrEx>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r>
              <w:rPr>
                <w:rFonts w:hint="eastAsia" w:ascii="仿宋" w:hAnsi="仿宋" w:eastAsia="仿宋" w:cs="仿宋"/>
                <w:b/>
                <w:bCs/>
                <w:color w:val="000000"/>
                <w:sz w:val="22"/>
                <w:szCs w:val="22"/>
                <w:lang w:val="zh-CN" w:eastAsia="ar-SA"/>
              </w:rPr>
              <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
            </w:r>
          </w:p>
        </w:tc>
      </w:tr>
      <w:tr>
        <w:tblPrEx>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432,240.00</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432,240.00</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8" w:type="default"/>
          <w:pgSz w:w="11906" w:h="16838"/>
          <w:pgMar w:top="1580" w:right="700" w:bottom="770" w:left="69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703"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432,240.00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432,240.00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232,451.00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199,789.00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432,240.00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432,240.00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232,451.00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199,789.00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江阴高新技术产业开发区财政局（总预算）</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221,267.86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221,267.86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103,377.47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117,890.39</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江阴高新技术产业开发区管理委员会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21,228.98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21,228.98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21,228.98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江阴高新技术产业开发区党政办公室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88.87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88.87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88.87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江阴高新技术产业开发区党群工作部</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7,625.65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7,625.65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1,090.94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6,534.71</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中国共产党江阴高新技术产业开发区纪律检查工作委员会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244.11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244.11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244.11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江阴市人民代表大会常务委员会高新技术产业开发区工作委员会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79.43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79.43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79.43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江阴高新技术产业开发区招商局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23,438.47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23,438.47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1,908.47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21,530.00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江阴高新技术产业开发区经济发展局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23,619.51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23,619.51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400.51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23,219.00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001009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江阴高新技术产业开发区财政局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12,079.12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12,079.12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204.12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11,875.00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江阴高新技术产业开发区规划建设局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5,870.54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5,870.54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5,870.54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江阴高新技术产业开发区科学技术局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7,609.68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7,609.68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348.68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7,261.00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江阴高新技术产业开发区综合执法局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2,830.21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2,830.21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2,830.21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江阴高新技术产业开发区行政审批局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464.82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464.82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464.82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江阴高新技术产业开发区社会事业局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44,164.90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44,164.90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40,330.93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3,833.97</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江阴高新技术创业园管理委员会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11,865.90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11,865.90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4,996.90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6,869.00</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江阴市公安局高新区警务工作站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1,589.27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1,589.27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1,589.27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江阴市公安局滨江派出所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2,858.35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2,858.35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2,858.35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001019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江阴市公安局城东派出所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3,746.73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3,746.73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3,746.73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江阴市公安局交通警察大队高新区交警中队</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367.67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367.67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367.67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江阴高新区成人教育中心校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211.59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211.59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211.59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江阴高新区实验中学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4,611.75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4,611.75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4,611.75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江阴市长山中学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2,942.36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2,942.36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2,942.36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江阴高新区实验小学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3,254.34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3,254.34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3,254.34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江阴高新区长山中心小学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3,108.47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3,108.47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3,108.47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江阴高新区山观实验小学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5,541.51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5,541.51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5,541.51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江阴高新区金童中心小学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2,785.05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2,785.05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2,785.05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江阴高新区实验幼儿园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2,343.30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001029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江阴高新区长山中心幼儿园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968.07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968.07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968.07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江阴高新区山观中心幼儿园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1,491.67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1,491.67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1,491.67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江阴市城东社区卫生服务中心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6,902.28</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6,902.28</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6,902.28</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江阴市城东街道滨江社区居民委员会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336.70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336.70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336.70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江阴市城东街道锦隆社区居民委员会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219.84</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219.84</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219.84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江阴市城东街道长山社区居民委员会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272.21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272.21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272.21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江阴市城东街道杨市社区居民委员会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286.93</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286.93</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286.93</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001036</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江阴市城东街道双牌社区居民委员会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261.17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261.17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261.17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001037</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江阴市城东街道石牌社区居民委员会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440.89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440.89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440.89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江阴市城东街道山观社区居民委员会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274.00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274.00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274.00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001039</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江阴市城东街道金山社区居民委员会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346.30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346.30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346.30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001040</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江阴市城东街道金童社区居民委员会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521.00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521.00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521.00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江阴市城东街道寿山社区居民委员会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525.52</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525.52</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525.52</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江阴市城东街道蟠龙社区居民委员会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422.50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422.50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422.50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江阴市城东街道山源社区居民委员会</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448.06</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448.06</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448.06</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江阴市城东街道环境卫生管理所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1,061.27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1,061.27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285.34</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775.93</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001045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江阴高新区个体及零星税收委托代征工作站</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173.30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173.30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173.30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001145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江阴市滨江科技城小学</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949.85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949.85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949.85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001185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江阴高新区南苑幼儿园</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500.00</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w: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9" w:type="default"/>
          <w:pgSz w:w="16838" w:h="11906" w:orient="landscape"/>
          <w:pgMar w:top="720" w:right="57" w:bottom="720" w:left="5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CellMar>
            <w:top w:w="55" w:type="dxa"/>
            <w:left w:w="55" w:type="dxa"/>
            <w:bottom w:w="55" w:type="dxa"/>
            <w:right w:w="55" w:type="dxa"/>
          </w:tblCellMar>
        </w:tblPrEx>
        <w:trPr>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CellMar>
            <w:top w:w="55" w:type="dxa"/>
            <w:left w:w="55" w:type="dxa"/>
            <w:bottom w:w="55" w:type="dxa"/>
            <w:right w:w="55" w:type="dxa"/>
          </w:tblCellMar>
        </w:tblPrEx>
        <w:trPr>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432,240.00</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56,189.78</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376,050.22</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29,106.51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14,851.63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14,254.88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人大事务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28,005.04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14,542.03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13,463.01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14,542.03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14,542.03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13,463.01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13,463.01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税收事务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2010701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纪检监察事务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2011102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1,879.11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公安</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1,117.82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1,117.82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2049999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17,101.81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4,423.69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普通教育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17,240.60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16,975.60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学前教育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3,304.18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3,256.57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小学教育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9,378.42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9,234.15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初中教育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4,484.88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成人教育</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进修及培训</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培训支出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3,957.45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3,957.45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1,000.99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1,000.99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2059999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其他教育支出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科学技术支出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5,345.58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科技条件与服务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5,345.58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2060599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5,345.58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19,966.59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4,704.53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15,262.06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3,603.64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3,603.64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1,201.26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伤残抚恤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在乡复员、退伍军人生活补助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义务兵优待</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2080806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农村籍退役士兵老年生活补助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其他优抚支出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2080901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退役士兵安置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儿童福利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2081002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老年福利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殡葬</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2081006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养老服务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残疾人事业</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残疾人康复</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2081107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最低生活保障</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2081901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2081902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2082001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临时救助支出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2082602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13,081.39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13,081.39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1,100.89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9,518.58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7,919.20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乡镇卫生院</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公共卫生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2100499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2100717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计划生育服务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2100799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财政对城乡居民基本医疗保险基金的补助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财政对其他基本医疗保险基金的补助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节能环保支出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2110199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其他环境保护管理事务支出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303,046.11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299,463.80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6,932.12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3,480.41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城管执法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2,830.21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4,101.91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2,878.26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1,223.65</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2120501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195,588.71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195,588.71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土地开发支出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115,390.10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115,390.10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2120816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4,609.90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4,609.90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其他国有土地使用权出让收入安排的支出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75,588.71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75,588.71</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2121399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2129999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农林水支出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11,840.06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11,840.06</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农业农村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10,946.08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10,946.08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2130120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稳定农民收入补贴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2130122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农业生产发展</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2130135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2130142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乡村道路建设</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林业和草原</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2130209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2130299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其他林业和草原支出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2130314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防汛</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2130803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交通运输支出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公路水路运输</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2140199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2,047.93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2,047.93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2,184.74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2,184.74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2210203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购房补贴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3,535.70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3,535.70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应急管理事务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2240104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灾害风险防治</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227</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预备费</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2299999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4,500.29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2320301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地方政府一般债券付息支出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地方政府专项债务付息支出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2320411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国有土地使用权出让金债务付息支出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2,500.29</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10"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CellMar>
            <w:top w:w="55" w:type="dxa"/>
            <w:left w:w="55" w:type="dxa"/>
            <w:bottom w:w="55" w:type="dxa"/>
            <w:right w:w="55" w:type="dxa"/>
          </w:tblCellMar>
        </w:tblPrEx>
        <w:trPr>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CellMar>
            <w:top w:w="55" w:type="dxa"/>
            <w:left w:w="55" w:type="dxa"/>
            <w:bottom w:w="55" w:type="dxa"/>
            <w:right w:w="55" w:type="dxa"/>
          </w:tblCellMar>
        </w:tblPrEx>
        <w:trPr>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江阴高新技术产业开发区</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
            </w:r>
            <w:r>
              <w:rPr>
                <w:rFonts w:ascii="仿宋" w:hAnsi="仿宋" w:cs="仿宋" w:eastAsia="仿宋"/>
                <w:b w:val="true"/>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432,240.00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432,240.00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232,451.00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29,106.51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199,789.00</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8,386.66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21,525.50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5,345.58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19,966.59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9,518.58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303,046.11</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11,840.06</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（十八）援助其他地区支出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7,768.37</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4,500.29</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432,240.00</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432,240.00</w:t>
            </w:r>
          </w:p>
        </w:tc>
      </w:tr>
    </w:tbl>
    <w:p>
      <w:pPr>
        <w:ind w:left="-220" w:leftChars="-100" w:firstLine="0" w:firstLineChars="0"/>
        <w:rPr>
          <w:rFonts w:hint="eastAsia" w:ascii="仿宋" w:hAnsi="仿宋" w:eastAsia="仿宋" w:cs="仿宋"/>
          <w:b/>
          <w:bCs/>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CellMar>
            <w:top w:w="55" w:type="dxa"/>
            <w:left w:w="55" w:type="dxa"/>
            <w:bottom w:w="55" w:type="dxa"/>
            <w:right w:w="55" w:type="dxa"/>
          </w:tblCellMar>
        </w:tblPrEx>
        <w:trPr>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CellMar>
            <w:top w:w="55" w:type="dxa"/>
            <w:left w:w="55" w:type="dxa"/>
            <w:bottom w:w="55" w:type="dxa"/>
            <w:right w:w="55" w:type="dxa"/>
          </w:tblCellMar>
        </w:tblPrEx>
        <w:trPr>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CellMar>
            <w:top w:w="55" w:type="dxa"/>
            <w:left w:w="55" w:type="dxa"/>
            <w:bottom w:w="55" w:type="dxa"/>
            <w:right w:w="55" w:type="dxa"/>
          </w:tblCellMar>
        </w:tblPrEx>
        <w:trPr>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432,240.00</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56,189.78</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51,765.67</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4,424.11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376,050.22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29,106.51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14,851.63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13,477.36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1,374.27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14,254.88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人大事务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28,005.04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14,542.03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13,323.66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1,218.37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13,463.01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14,542.03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14,542.03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13,323.66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1,218.37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13,463.01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13,463.01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发展与改革事务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50.82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税收事务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2010701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173.30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153.70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19.60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纪检监察事务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244.11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24.26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2011102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8,386.66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5,970.79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1,879.11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公安</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7,625.37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5,970.79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1,117.82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6,507.55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6,507.55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5,970.79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536.76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1,117.82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1,117.82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2049999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21,525.50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17,101.81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15,299.49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1,802.32</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4,423.69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普通教育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17,240.60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16,975.60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15,185.43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1,790.17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学前教育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3,304.18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3,256.57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2,968.33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288.24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47.61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小学教育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9,378.42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9,234.15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8,186.29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1,047.86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144.27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初中教育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4,558.00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4,484.88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4,030.81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454.07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73.12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成人教育</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126.21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114.06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12.15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进修及培训</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培训支出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3,957.45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3,957.45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502.38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2,454.08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2,454.08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1,000.99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1,000.99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2059999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其他教育支出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科学技术支出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5,271.38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科技条件与服务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5,271.38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2060599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5,345.58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74.20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7.20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67.00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5,271.38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19,966.59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4,704.53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4,704.53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15,262.06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3,603.64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3,603.64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3,603.64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2,402.38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2,402.38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1,201.26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799.80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799.80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伤残抚恤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在乡复员、退伍军人生活补助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187.28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187.28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义务兵优待</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2080806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农村籍退役士兵老年生活补助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其他优抚支出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259.52</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2080901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退役士兵安置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993.58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993.58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儿童福利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2081002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老年福利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殡葬</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2081006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养老服务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221.20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残疾人事业</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846.68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846.68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残疾人康复</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2081107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667.08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178.30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最低生活保障</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2081901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2081902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2082001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临时救助支出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2082602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13,081.39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13,081.39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1,100.89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9,518.58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7,919.20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4,595.88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乡镇卫生院</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4,595.88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1,599.38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1,462.08</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137.30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公共卫生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1,042.20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1,012.60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1,012.60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2100499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2100717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计划生育服务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620.50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2100799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3,150.00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财政对城乡居民基本医疗保险基金的补助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财政对其他基本医疗保险基金的补助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节能环保支出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2110199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其他环境保护管理事务支出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303,046.11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3,582.31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3,075.85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506.46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299,463.80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6,932.12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3,480.41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2,994.31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486.10</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3,451.71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城管执法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2,830.21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602.15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460.10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142.05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2,228.06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4,101.91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2,878.26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2,534.21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344.05</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1,223.65</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60,649.34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60,649.34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60,649.34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60,649.34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2120501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285.34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101.90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81.54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20.36</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195,588.71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195,588.71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土地开发支出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115,390.10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115,390.10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2120816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农业农村生态环境支出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4,609.90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4,609.90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其他国有土地使用权出让收入安排的支出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75,588.71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75,588.71</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2121399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其他城市基础设施配套费安排的支出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37,890.60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37,890.60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2129999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37,890.60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37,890.60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农林水支出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11,840.06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11,840.06</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农业农村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10,946.08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10,946.08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2130120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稳定农民收入补贴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2130122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农业生产发展</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2130135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10,781.50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10,781.50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2130142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乡村道路建设</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56.20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林业和草原</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98.00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2130209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2130299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其他林业和草原支出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783.98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775.98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775.98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2130314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防汛</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2130803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交通运输支出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公路水路运输</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2140199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7,768.37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7,768.37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7,768.37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7,768.37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7,768.37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7,768.37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2,047.93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2,184.74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2,184.74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2,184.74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2210203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购房补贴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3,535.70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应急管理事务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2240104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灾害风险防治</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227</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预备费</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6,955.48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2299999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4,500.29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2320301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地方政府一般债券付息支出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地方政府专项债务付息支出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r>
      <w:tr>
        <w:tblPrEx>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2320411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国有土地使用权出让金债务付息支出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2,500.29</w:t>
            </w: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CellMar>
            <w:top w:w="55" w:type="dxa"/>
            <w:left w:w="55" w:type="dxa"/>
            <w:bottom w:w="55" w:type="dxa"/>
            <w:right w:w="55" w:type="dxa"/>
          </w:tblCellMar>
        </w:tblPrEx>
        <w:trPr>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CellMar>
            <w:top w:w="55" w:type="dxa"/>
            <w:left w:w="55" w:type="dxa"/>
            <w:bottom w:w="55" w:type="dxa"/>
            <w:right w:w="55" w:type="dxa"/>
          </w:tblCellMar>
        </w:tblPrEx>
        <w:trPr>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sz w:val="22"/>
                <w:szCs w:val="22"/>
              </w:rPr>
              <w:t>江阴高新技术产业开发区</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56,189.78</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51,765.67</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4,424.11</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50,014.51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50,014.51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4,927.90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4,927.90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7,335.24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7,335.24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782.18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782.18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7,611.66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7,611.66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2,402.38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2,402.38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1,201.26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1,201.26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956.32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2,047.93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2,047.93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41.88</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22,164.53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22,164.53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4,349.52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4,349.52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2,800.75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2,800.75</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154.49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154.49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39.23</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75.36</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104.70</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173.34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173.34</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1,751.16</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1,751.16</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1,361.23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1,361.23</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301.29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301.29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r>
      <w:tr>
        <w:tblPrEx>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CellMar>
            <w:top w:w="55" w:type="dxa"/>
            <w:left w:w="55" w:type="dxa"/>
            <w:bottom w:w="55" w:type="dxa"/>
            <w:right w:w="55" w:type="dxa"/>
          </w:tblCellMar>
        </w:tblPrEx>
        <w:trPr>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CellMar>
            <w:top w:w="55" w:type="dxa"/>
            <w:left w:w="55" w:type="dxa"/>
            <w:bottom w:w="55" w:type="dxa"/>
            <w:right w:w="55" w:type="dxa"/>
          </w:tblCellMar>
        </w:tblPrEx>
        <w:trPr>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CellMar>
            <w:top w:w="55" w:type="dxa"/>
            <w:left w:w="55" w:type="dxa"/>
            <w:bottom w:w="55" w:type="dxa"/>
            <w:right w:w="55" w:type="dxa"/>
          </w:tblCellMar>
        </w:tblPrEx>
        <w:trPr>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232,451.00</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56,189.78</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51,765.67</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4,424.11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176,261.22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一般公共服务支出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29,106.51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14,851.63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13,477.36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1,374.27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14,254.88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人大事务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79.43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政府办公厅（室）及相关机构事务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28,005.04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14,542.03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13,323.66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1,218.37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13,463.01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14,542.03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14,542.03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13,323.66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1,218.37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13,463.01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13,463.01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发展与改革事务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50.82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税收事务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2010701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173.30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153.70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纪检监察事务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244.11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24.26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2011102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219.85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8,386.66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5,970.79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1,879.11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公安</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7,625.37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5,970.79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1,117.82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6,507.55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5,970.79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536.76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一般行政管理事务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1,117.82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1,117.82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2049999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其他公共安全支出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761.29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21,525.50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17,101.81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15,299.49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1,802.32</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4,423.69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普通教育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17,240.60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16,975.60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15,185.43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1,790.17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学前教育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3,304.18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3,256.57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2,968.33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288.24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47.61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小学教育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9,378.42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9,234.15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8,186.29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1,047.86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144.27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初中教育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4,484.88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4,030.81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454.07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73.12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成人教育</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其他成人教育支出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126.21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114.06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进修及培训</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3,957.45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3,957.45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农村中小学校舍建设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502.38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农村中小学教学设施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2,454.08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其他教育费附加安排的支出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1,000.99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1,000.99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2059999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其他教育支出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200.10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5,345.58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科技条件与服务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5,345.58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2060599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其他科技条件与服务支出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5,345.58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74.20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7.20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67.00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5,271.38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19,966.59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4,704.53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4,704.53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15,262.06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3,603.64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3,603.64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3,603.64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2,402.38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1,201.26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1,201.26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799.80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伤残抚恤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在乡复员、退伍军人生活补助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187.28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义务兵优待</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农村籍退役士兵老年生活补助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其他优抚支出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259.52</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2080901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退役士兵安置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993.58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儿童福利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老年福利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殡葬</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养老服务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其他社会福利支出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221.20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残疾人事业</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846.68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残疾人康复</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残疾人生活和护理补贴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667.08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其他残疾人事业支出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178.30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最低生活保障</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城市最低生活保障金支出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2081902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农村最低生活保障金支出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2082001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临时救助支出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特困人员救助供养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农村特困人员救助供养支出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2082602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财政对城乡居民基本养老保险基金的补助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217.00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13,081.39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13,081.39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1,100.89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1,100.89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11,980.50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9,518.58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7,919.20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基层医疗卫生机构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乡镇卫生院</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4,595.88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1,599.38</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1,462.08</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137.30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2,996.50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公共卫生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1,042.20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疾病预防控制机构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基本公共卫生服务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1,012.60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其他公共卫生支出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2100717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计划生育服务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620.50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2100799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其他计划生育事务支出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3,150.00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财政对城乡居民基本医疗保险基金的补助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财政对其他基本医疗保险基金的补助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节能环保支出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环境保护管理事务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2110199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其他环境保护管理事务支出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3,659.27</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105,757.40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3,582.31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3,075.85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506.46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102,175.09</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6,932.12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3,480.41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2,994.31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486.10</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3,451.71</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城管执法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2,830.21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602.15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460.10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142.05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2,228.06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其他城乡社区管理事务支出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4,101.91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2,878.26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2,534.21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344.05</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1,223.65</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城乡社区公共设施</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2120399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其他城乡社区公共设施支出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60,649.34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2120501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城乡社区环境卫生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101.90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81.54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20.36</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183.44</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其他城乡社区支出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37,890.60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农林水支出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11,840.06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11,840.06</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农业农村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10,946.08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10,946.08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2130120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稳定农民收入补贴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2130122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农业生产发展</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2130135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农业生态资源保护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10,781.50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2130142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乡村道路建设</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53.38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其他农业农村支出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56.20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林业和草原</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森林生态效益补偿</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2130299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其他林业和草原支出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783.98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水利工程运行与维护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775.98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2130314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防汛</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普惠金融发展支出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2130803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农业保险保费补贴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交通运输支出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公路水路运输</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2140199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其他公路水路运输支出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7,768.37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2,047.93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2,047.93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2,047.93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2,184.74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2,184.74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2,184.74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2210203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购房补贴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3,535.70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3,535.70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3,535.70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灾害防治及应急管理支出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应急管理事务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2240104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灾害风险防治</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166.00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227</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预备费</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6,955.48</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2299999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地方政府一般债务付息支出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r>
        <w:tblPrEx>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2320301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地方政府一般债券付息支出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2,000.00</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CellMar>
            <w:top w:w="55" w:type="dxa"/>
            <w:left w:w="55" w:type="dxa"/>
            <w:bottom w:w="55" w:type="dxa"/>
            <w:right w:w="55" w:type="dxa"/>
          </w:tblCellMar>
        </w:tblPrEx>
        <w:trPr>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CellMar>
            <w:top w:w="55" w:type="dxa"/>
            <w:left w:w="55" w:type="dxa"/>
            <w:bottom w:w="55" w:type="dxa"/>
            <w:right w:w="55" w:type="dxa"/>
          </w:tblCellMar>
        </w:tblPrEx>
        <w:trPr>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CellMar>
            <w:top w:w="55" w:type="dxa"/>
            <w:left w:w="55" w:type="dxa"/>
            <w:bottom w:w="55" w:type="dxa"/>
            <w:right w:w="55" w:type="dxa"/>
          </w:tblCellMar>
        </w:tblPrEx>
        <w:trPr>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56,189.78</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51,765.67</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4,424.11</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50,014.51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50,014.51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4,927.90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4,927.90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7,335.24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7,335.24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伙食补助费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782.18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782.18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7,611.66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7,611.66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2,402.38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2,402.38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1,201.26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1,201.26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956.32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144.57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2,047.93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2,047.93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41.88</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22,164.53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22,164.53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4,349.52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4,349.52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2,800.75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2,800.75</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6.52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154.49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154.49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租赁费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755.96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会议费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37.19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培训费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39.23</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45.32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专用材料费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75.36</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104.70</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100.88</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173.34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173.34</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1,751.16</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1,751.16</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1,361.23</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1,361.23</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生活补助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88.64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其他对个人和家庭的补助</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301.29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301.29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r>
      <w:tr>
        <w:tblPrEx>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其他资本性支出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74.59</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CellMar>
            <w:top w:w="55" w:type="dxa"/>
            <w:left w:w="55" w:type="dxa"/>
            <w:bottom w:w="55" w:type="dxa"/>
            <w:right w:w="55" w:type="dxa"/>
          </w:tblCellMar>
        </w:tblPrEx>
        <w:trPr>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CellMar>
            <w:top w:w="55" w:type="dxa"/>
            <w:left w:w="55" w:type="dxa"/>
            <w:bottom w:w="55" w:type="dxa"/>
            <w:right w:w="55" w:type="dxa"/>
          </w:tblCellMar>
        </w:tblPrEx>
        <w:trPr>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CellMar>
            <w:top w:w="55" w:type="dxa"/>
            <w:left w:w="55" w:type="dxa"/>
            <w:bottom w:w="55" w:type="dxa"/>
            <w:right w:w="55" w:type="dxa"/>
          </w:tblCellMar>
        </w:tblPrEx>
        <w:trPr>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259.22</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104.70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54.52</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58.19</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314.62</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6"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199,789.00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199,789.00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城乡社区支出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197,288.71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197,288.71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195,588.71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195,588.71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2120802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土地开发支出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115,390.10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2120816</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农业农村生态环境支出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4,609.90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4,609.90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2120899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其他国有土地使用权出让收入安排的支出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75,588.71</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75,588.71</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21213</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2121399</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其他城市基础设施配套费安排的支出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1,700.00</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232</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债务付息支出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23204</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地方政府专项债务付息支出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r>
      <w:tr>
        <w:tblPrEx>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2320411</w:t>
            </w: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国有土地使用权出让金债务付息支出</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2,500.29</w:t>
            </w:r>
          </w:p>
        </w:tc>
      </w:tr>
    </w:tbl>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7"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4695" w:type="dxa"/>
        <w:jc w:val="center"/>
        <w:tblLayout w:type="fixed"/>
        <w:tblCellMar>
          <w:top w:w="0" w:type="dxa"/>
          <w:left w:w="108" w:type="dxa"/>
          <w:bottom w:w="0" w:type="dxa"/>
          <w:right w:w="108" w:type="dxa"/>
        </w:tblCellMar>
      </w:tblPr>
      <w:tblGrid>
        <w:gridCol w:w="1596"/>
        <w:gridCol w:w="3803"/>
        <w:gridCol w:w="3111"/>
        <w:gridCol w:w="3094"/>
        <w:gridCol w:w="3091"/>
      </w:tblGrid>
      <w:tr>
        <w:tblPrEx>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3091" w:type="dxa"/>
            <w:tcBorders>
              <w:top w:val="nil"/>
              <w:left w:val="nil"/>
              <w:bottom w:val="nil"/>
              <w:right w:val="nil"/>
            </w:tcBorders>
            <w:shd w:val="clear" w:color="auto" w:fill="auto"/>
            <w:noWrap/>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sz w:val="22"/>
                <w:szCs w:val="22"/>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r>
        <w:tblPrEx>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sz w:val="22"/>
                <w:szCs w:val="22"/>
              </w:rPr>
            </w:pPr>
            <w:r>
              <w:rPr>
                <w:rFonts w:hint="eastAsia" w:ascii="仿宋" w:hAnsi="仿宋" w:eastAsia="仿宋" w:cs="仿宋"/>
                <w:color w:val="auto"/>
                <w:kern w:val="0"/>
                <w:sz w:val="22"/>
                <w:szCs w:val="22"/>
                <w:lang w:val="zh-CN" w:eastAsia="zh-CN" w:bidi="zh-CN"/>
              </w:rPr>
              <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w: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
      </w:r>
      <w:r>
        <w:rPr>
          <w:rFonts w:ascii="仿宋" w:hAnsi="仿宋" w:cs="仿宋" w:eastAsia="仿宋"/>
          <w:b w:val="true"/>
          <w:sz w:val="22"/>
        </w:rPr>
        <w:t>注：本</w:t>
      </w:r>
      <w:r>
        <w:rPr>
          <w:rFonts w:ascii="仿宋" w:hAnsi="仿宋" w:cs="仿宋" w:eastAsia="仿宋"/>
          <w:b w:val="true"/>
          <w:sz w:val="22"/>
        </w:rPr>
        <w:t>部门</w:t>
      </w:r>
      <w:r>
        <w:rPr>
          <w:rFonts w:ascii="仿宋" w:hAnsi="仿宋" w:cs="仿宋" w:eastAsia="仿宋"/>
          <w:b w:val="true"/>
          <w:sz w:val="22"/>
        </w:rPr>
        <w:t>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r>
        <w:rPr>
          <w:rFonts w:ascii="仿宋" w:hAnsi="仿宋" w:cs="仿宋" w:eastAsia="仿宋"/>
          <w:b w:val="true"/>
          <w:sz w:val="22"/>
        </w:rPr>
        <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CellMar>
            <w:top w:w="55" w:type="dxa"/>
            <w:left w:w="55" w:type="dxa"/>
            <w:bottom w:w="55" w:type="dxa"/>
            <w:right w:w="55" w:type="dxa"/>
          </w:tblCellMar>
        </w:tblPrEx>
        <w:trPr>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CellMar>
            <w:top w:w="55" w:type="dxa"/>
            <w:left w:w="55" w:type="dxa"/>
            <w:bottom w:w="55" w:type="dxa"/>
            <w:right w:w="55" w:type="dxa"/>
          </w:tblCellMar>
        </w:tblPrEx>
        <w:trPr>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rPr>
              <w:t/>
            </w: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2,044.59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2,044.59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699.50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印刷费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9.00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水费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0.85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108.42</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9.80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差旅费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30214</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租赁费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755.96</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30215</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会议费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22.49</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30216</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培训费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36.01</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36.75</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公务用车运行维护费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104.70</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95.48</w:t>
            </w:r>
          </w:p>
        </w:tc>
      </w:tr>
      <w:tr>
        <w:tblPrEx>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154.57</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8" w:type="default"/>
          <w:pgSz w:w="11906" w:h="16838"/>
          <w:pgMar w:top="1100" w:right="906" w:bottom="770" w:left="13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bookmarkStart w:id="0" w:name="_GoBack"/>
      <w:bookmarkEnd w:id="0"/>
    </w:p>
    <w:tbl>
      <w:tblPr>
        <w:tblStyle w:val="12"/>
        <w:tblW w:w="152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cs="仿宋" w:eastAsia="仿宋"/>
                <w:color w:val="000000"/>
                <w:sz w:val="22"/>
              </w:rPr>
              <w:t>：</w:t>
            </w:r>
            <w:r>
              <w:rPr>
                <w:rFonts w:hint="eastAsia" w:ascii="仿宋" w:hAnsi="仿宋" w:eastAsia="仿宋" w:cs="仿宋"/>
              </w:rPr>
              <w:t>江阴高新技术产业开发区</w:t>
            </w:r>
          </w:p>
        </w:tc>
        <w:tc>
          <w:tcPr>
            <w:tcW w:w="4342"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p>
        </w:tc>
        <w:tc>
          <w:tcPr>
            <w:tcW w:w="1421"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rPr>
            </w:pPr>
            <w:r>
              <w:rPr>
                <w:rFonts w:hint="eastAsia" w:ascii="仿宋" w:hAnsi="仿宋" w:eastAsia="仿宋" w:cs="仿宋"/>
                <w:sz w:val="22"/>
                <w:szCs w:val="22"/>
              </w:rPr>
              <w:t/>
            </w: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509.64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427.26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江阴高新技术产业开发区管理委员会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其他风机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其他电机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不间断电源</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变频器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控制器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话筒设备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消防设备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组合家具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其他化学原料及化学制品</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江阴高新技术产业开发区党政办公室</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组合家具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江阴高新技术产业开发区党群工作部</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数字照相机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中国共产党江阴高新技术产业开发区纪律检查工作委员会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通用照相机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录音外围设备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江阴市人民代表大会常务委员会高新技术产业开发区工作委员会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江阴高新技术产业开发区招商局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茶几</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江阴高新技术产业开发区经济发展局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三人沙发</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江阴高新技术产业开发区财政局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A3黑白打印机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装订机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江阴高新技术产业开发区规划建设局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文件(图文)传真机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江阴高新技术产业开发区科学技术局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江阴高新技术产业开发区综合执法局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A4彩色打印机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江阴高新技术产业开发区行政审批局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平板式计算机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江阴高新技术产业开发区社会事业局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液晶显示器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会议椅</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文件柜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茶水柜</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江阴高新技术创业园管理委员会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江阴市公安局高新区警务工作站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49.99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罩棚</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其他生活用电器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其他家具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21.67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江阴市公安局滨江派出所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江阴市公安局城东派出所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8.25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江阴市公安局交通警察大队高新区交警中队</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江阴高新区实验小学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办公桌</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江阴高新区长山中心小学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其他网络设备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数字照相机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通用摄像机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其他普通图书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江阴高新区山观实验小学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97.57</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其他信息化设备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吸尘器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其他生活用电器</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电话交换设备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视频监控设备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球类设备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其他体育设备设施</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其他普通图书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其他厨卫用具</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江阴高新区金童中心小学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其他办公设备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部门集中采购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江阴市城东街道滨江社区居民委员会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江阴市城东街道锦隆社区居民委员会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球类设备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3台式电脑</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3展示柜</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专用设备购置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其他柜类</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3农家书屋pad</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平板式计算机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江阴市城东街道杨市社区居民委员会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32024年杨市社区农家书屋改造项目</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物资储备</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其他图书</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江阴市城东街道双牌社区居民委员会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6.41</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投影仪</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其他音频设备</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江阴市城东街道石牌社区居民委员会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空调机组</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0.29</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82.38</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82.38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江阴高新技术产业开发区管理委员会</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4管委会经费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建筑物清洁服务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江阴高新技术产业开发区社会事业局</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其他运行维护服务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5.26</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江阴市公安局高新区警务工作站</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其他信息技术服务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非义务教育商品服务支出定额（含定额补助）</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江阴高新区实验中学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39.12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其他教育服务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其他社会治理服务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其他文化、体育、娱乐服务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其他生态环境保护和治理服务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工程项目管理服务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数据加工处理服务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硬件运维服务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4.02</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基础设施运营服务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其他运营服务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其他专业技术服务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江阴市长山中学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初中生均公用经费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办公费</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保安服务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江阴高新区长山中心小学</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保安服务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园林绿化管理服务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消防设备维修和保养服务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lef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小学生均公用经费</w:t>
            </w: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其他资本性支出</w:t>
            </w: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其他服务</w:t>
            </w: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jc w:val="center"/>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947"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16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
            </w:r>
          </w:p>
        </w:tc>
        <w:tc>
          <w:tcPr>
            <w:tcW w:w="14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34" w:lineRule="atLeast"/>
              <w:ind w:right="57" w:rightChars="0"/>
              <w:jc w:val="right"/>
              <w:textAlignment w:val="auto"/>
              <w:rPr>
                <w:rFonts w:hint="eastAsia"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1.80</w:t>
            </w:r>
          </w:p>
        </w:tc>
      </w:tr>
    </w:tbl>
    <w:p>
      <w:pPr>
        <w:bidi w:val="0"/>
        <w:rPr>
          <w:rFonts w:hint="eastAsia" w:ascii="仿宋" w:hAnsi="仿宋" w:eastAsia="仿宋" w:cs="仿宋"/>
          <w:b/>
          <w:bCs/>
          <w:sz w:val="22"/>
          <w:szCs w:val="22"/>
        </w:rPr>
        <w:sectPr>
          <w:footerReference r:id="rId19" w:type="default"/>
          <w:pgSz w:w="16838" w:h="11906" w:orient="landscape"/>
          <w:pgMar w:top="1320" w:right="771" w:bottom="1320" w:left="77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2024</w:t>
      </w:r>
      <w:r>
        <w:rPr>
          <w:rFonts w:hint="eastAsia" w:ascii="仿宋" w:hAnsi="仿宋" w:eastAsia="仿宋" w:cs="仿宋"/>
          <w:b/>
          <w:bCs/>
          <w:sz w:val="44"/>
          <w:szCs w:val="44"/>
        </w:rPr>
        <w:t>年度</w:t>
      </w:r>
      <w:r>
        <w:rPr>
          <w:rFonts w:ascii="仿宋" w:hAnsi="仿宋" w:cs="仿宋" w:eastAsia="仿宋"/>
          <w:b w:val="true"/>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江阴高新技术产业开发区2024年度收入、支出预算总计432,240万元，与上年相比收、支预算总计各减少21,065.99万元，减少4.65%。其中：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（一）收入预算总计432,240万元。包括：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1．本年收入合计432,240万元。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（1）一般公共预算拨款收入232,451万元，与上年相比增加29,675.01万元，增长14.63%。主要原因是一般公共预算收入预期较2023年预算数减少。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（2）政府性基金预算拨款收入199,789万元，与上年相比减少50,741万元，减少20.25%。主要原因是土地出让收入较2023年预算数减少。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（3）国有资本经营预算拨款收入0万元，与上年预算数相同。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（4）财政专户管理资金收入0万元，与上年预算数相同。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（5）事业收入0万元，与上年预算数相同。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（6）事业单位经营收入0万元，与上年预算数相同。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（7）上级补助收入0万元，与上年预算数相同。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（8）附属单位上缴收入0万元，与上年预算数相同。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（9）其他收入0万元，与上年预算数相同。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2．上年结转结余为0万元。与上年预算数相同。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（二）支出预算总计432,240万元。包括：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1．本年支出合计432,240万元。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（1）一般公共服务支出（类）支出29,106.51万元，主要用于保障行政事业单位、社区等预算单位人员经费和运行支出。与上年相比增加629.72万元，增长2.21%。主要原因是正常浮动，基本持平。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（2）外交支出（类）支出0万元，与上年相比减少20万元，减少100%。主要原因是去年功能科目填写错误。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（3）公共安全支出（类）支出8,386.66万元，主要用于辖区内派出所、警务工作站、交警中队人员和运行支出。与上年相比增加9.18万元，增长0.11%。主要原因是正常浮动，基本持平。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（4）教育支出（类）支出21,525.5万元，主要用于辖区内幼儿园、小学、中学等人员、运行支出。与上年相比增加500.94万元，增长2.38%。主要原因是正常浮动，基本持平。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（5）科学技术支出（类）支出5,345.58万元，主要用于科技工作、科协工作。与上年相比增加182.86万元，增长3.54%。主要原因是正常浮动，基本持平。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（6）社会保障和就业支出（类）支出19,966.59万元，主要用于民政、社保、残联、退役军人事务、计生教卫等民生支出。与上年相比增加7.79万元，增长0.04%。主要原因是正常浮动，基本持平。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（7）卫生健康支出（类）支出9,518.58万元，主要用于基层医疗卫生机构支出及计划生育支出。与上年相比减少3,429.22万元，减少26.48%。主要原因是减少防疫支出。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（8）节能环保支出（类）支出3,659.27万元，主要用于环卫一体化运营。与上年相比减少435.27万元，减少10.63%。主要原因是加强预算审核，压缩部分工作经费。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（9）城乡社区支出（类）支出303,046.11万元，主要用于债务化解及产业扶持政策兑付。与上年相比减少11,533.79万元，减少3.67%。主要原因是正常浮动，基本持平。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（10）农林水支出（类）支出11,840.06万元，主要用于农业、河道整治、土地规费报批及整治等。与上年相比减少3,880.16万元，减少24.68%。主要原因是农业支出减少。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（11）交通运输支出（类）支出420万元，主要用于口岸单位经费支出。与上年相比增加225万元，增长115.38%。主要原因是对条线的补助增加。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（12）住房保障支出（类）支出7,768.37万元，主要用于财政供养人员住房公积金、逐月住房补贴支出。与上年相比减少708.19万元，减少8.35%。主要原因是基数调低。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（13）灾害防治及应急管理支出（类）支出166万元，主要用于安全生产专项整治行动应急预案修订及安全检查等。与上年相比增加38万元，增长29.69%。主要原因是按文件执行。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（14）预备费（类）支出6,955.48万元，主要用于政策性事项及突发事件、风险防范等支出。与上年相比减少3,044.52万元，减少30.45%。主要原因是根据预算财力情况安排。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（15）其他支出（类）支出35万元，主要用于房租等。与上年相比减少108.62万元，减少75.63%。主要原因是2024年房租只需付半年租金，另有项目2023年结束。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（16）债务付息支出（类）支出4,500.29万元，主要用于政府债券利息。与上年相比增加500.29万元，增长12.51%。主要原因是根据专项债券余额计算应付利息。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2．年终结转结余为0万元。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江阴高新技术产业开发区2024年收入预算合计432,240万元，包括本年收入432,240万元，上年结转结余0万元。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本年一般公共预算收入232,451万元，占53.78%；</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本年政府性基金预算收入199,789万元，占46.22%；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本年事业单位经营收入0万元，占0%；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本年上级补助收入0万元，占0%；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本年附属单位上缴收入0万元，占0%；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本年其他收入0万元，占0%；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上年结转结余的一般公共预算收入0万元，占0%；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上年结转结余的政府性基金预算收入0万元，占0%；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上年结转结余的国有资本经营预算收入0万元，占0%；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上年结转结余的财政专户管理资金0万元，占0%；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上年结转结余的单位资金0万元，占0%。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4"/>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江阴高新技术产业开发区2024年支出预算合计432,240万元，其中：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基本支出56,189.78万元，占13%；</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项目支出376,050.22万元，占87%；</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事业单位经营支出0万元，占0%；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上缴上级支出0万元，占0%；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5"/>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四、财政拨款收支预算总体情况说明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江阴高新技术产业开发区2024年度财政拨款收、支总预算432,240万元。与上年相比，财政拨款收、支总计各减少21,065.99万元，减少4.65%。主要原因是一般公共预算收入预期数较2023年预期数减少，相应减少支出。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江阴高新技术产业开发区2024年财政拨款预算支出432,240万元，占本年支出合计的100%。与上年相比，财政拨款支出减少21,065.99万元，减少4.65%。主要原因是一般公共预算收入较2023年预算数减少，相应减少支出。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（一）一般公共服务支出（类）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1.人大事务（款）行政运行（项）支出12.71万元，与上年相比减少25.88万元，减少67.06%。主要原因是调整功能科目。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2.人大事务（款）一般行政管理事务（项）支出66.72万元，与上年相比增加66.72万元（去年预算数为0万元，无法计算增减比率）。主要原因是新增了单项。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3.政府办公厅（室）及相关机构事务（款）行政运行（项）支出14,542.03万元，与上年相比减少5,327.97万元，减少26.81%。主要原因是调整功能科目。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4.政府办公厅（室）及相关机构事务（款）一般行政管理事务（项）支出13,463.01万元，与上年相比增加8,236.79万元，增长157.61%。主要原因是调整功能科目。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5.发展与改革事务（款）行政运行（项）支出48.51万元，与上年相比减少12.31万元，减少20.24%。主要原因是压缩工作经费。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6.发展与改革事务（款）一般行政管理事务（项）支出352万元，与上年相比增加352万元（去年预算数为0万元，无法计算增减比率）。主要原因是有些专项调整至单项，相应增加了功能科目。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7.财政事务（款）行政运行（项）支出50.82万元，与上年相比减少258.65万元，减少83.58%。主要原因是压缩工作经费，并调整了功能科目。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8.财政事务（款）一般行政管理事务（项）支出153.3万元，与上年相比增加153.3万元（去年预算数为0万元，无法计算增减比率）。主要原因是相应调整了功能科目。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9.税收事务（款）行政运行（项）支出173.3万元，与上年相比减少5.11万元，减少2.86%。主要原因是压缩工作经费。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10.纪检监察事务（款）行政运行（项）支出24.26万元，与上年相比减少601.31万元，减少96.12%。主要原因是调整功能科目。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11.纪检监察事务（款）一般行政管理事务（项）支出219.85万元，与上年相比增加219.85万元（去年预算数为0万元，无法计算增减比率）。主要原因是调整功能科目，有些单项资金2023年结束。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12.商贸事务（款）招商引资（项）支出0万元，与上年相比减少2,127.71万元，减少100%。主要原因是调整功能科目。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13.其他一般公共服务支出（款）其他一般公共服务支出（项）支出0万元，与上年相比减少40万元，减少100%。主要原因是调整功能科目。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（二）外交支出（类）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外交管理事务（款）其他外交管理事务支出（项）支出0万元，与上年相比减少20万元，减少100%。主要原因是2023年填写错误。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（三）公共安全支出（类）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1.公安（款）行政运行（项）支出6,507.55万元，与上年相比减少396.66万元，减少5.75%。主要原因是定额经费从2.5万元/人调低至1.8万元/人。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2.公安（款）一般行政管理事务（项）支出1,117.82万元，与上年相比增加417.16万元，增长59.54%。主要原因是单项功能科目从行政运行调整至一般行政管理事务。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3.其他公共安全支出（款）其他公共安全支出（项）支出761.29万元，与上年相比增加11.48万元，增长1.53%。主要原因是正常浮动，基本持平。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（四）教育支出（类）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1.普通教育（款）学前教育（项）支出3,304.18万元，与上年相比增加50.71万元，增长1.56%。主要原因是正常浮动，基本持平。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2.普通教育（款）小学教育（项）支出9,378.42万元，与上年相比增加600.22万元，增长6.84%。主要原因是增加一所滨江科技城小学。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3.普通教育（款）初中教育（项）支出4,558万元，与上年相比增加38.09万元，增长0.84%。主要原因是正常浮动，基本持平。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4.成人教育（款）其他成人教育支出（项）支出126.21万元，与上年相比减少19.68万元，减少13.49%。主要原因是压缩工作经费。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5.进修及培训（款）培训支出（项）支出1.14万元，与上年相比增加1.14万元（去年预算数为0万元，无法计算增减比率）。主要原因是增加学校培训费。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6.教育费附加安排的支出（款）农村中小学校舍建设（项）支出502.38万元，与上年相比增加24.34万元，增长5.09%。主要原因是正常浮动，基本持平。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7.教育费附加安排的支出（款）农村中小学教学设施（项）支出2,454.08万元，与上年相比减少673.66万元，减少21.54%。主要原因是增加一所滨江科技城小学。</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8.教育费附加安排的支出（款）其他教育费附加安排的支出（项）支出1,000.99万元，与上年相比增加430.32万元，增长75.41%。主要原因是增加一所南苑幼儿园的办公设备购置。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9.其他教育支出（款）其他教育支出（项）支出200.1万元，与上年相比增加49.46万元，增长32.83%。主要原因是增加两所学校相应增加的生均经费。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（五）科学技术支出（类）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科技条件与服务（款）其他科技条件与服务支出（项）支出5,345.58万元，与上年相比增加182.86万元，增长3.54%。主要原因是正常浮动，基本持平。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（六）社会保障和就业支出（类）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1.行政事业单位养老支出（款）机关事业单位基本养老保险缴费支出（项）支出2,402.38万元，与上年相比增加290.93万元，增长13.78%。主要原因是人数增加，基数调高。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2.行政事业单位养老支出（款）机关事业单位职业年金缴费支出（项）支出1,201.26万元，与上年相比增加145.49万元，增长13.78%。主要原因是人数增加，基数调高。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3.抚恤（款）伤残抚恤（项）支出125万元，与上年相比增加35万元，增长38.89%。主要原因是按照文件，标准提高。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4.抚恤（款）在乡复员、退伍军人生活补助（项）支出187.28万元，与上年相比增加32.78万元，增长21.22%。主要原因是按照文件，标准提高。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5.抚恤（款）义务兵优待（项）支出173万元，与上年相比增加16万元，增长10.19%。主要原因是按照文件，标准提高。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6.抚恤（款）农村籍退役士兵老年生活补助（项）支出55万元，与上年相比增加5万元，增长10%。主要原因是按照文件，标准提高。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7.抚恤（款）其他优抚支出（项）支出259.52万元，与上年相比增加49.32万元，增长23.46%。主要原因是按照文件，标准提高。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8.退役安置（款）退役士兵安置（项）支出235万元，与上年相比增加15万元，增长6.82%。主要原因是按照文件，标准提高。</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9.社会福利（款）儿童福利（项）支出60万元，与上年相比减少27万元，减少31.03%。主要原因是按照人数变动相应浮动。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10.社会福利（款）老年福利（项）支出220万元，与上年相比减少10万元，减少4.35%。主要原因是按照人数变动相应浮动。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11.社会福利（款）殡葬（项）支出7.38万元，与上年相比减少29.52万元，减少80%。主要原因是按照人数变动相应浮动。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12.社会福利（款）养老服务（项）支出485万元，与上年相比减少17.84万元，减少3.55%。主要原因是按照人数变动相应浮动。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13.社会福利（款）其他社会福利支出（项）支出221.2万元，与上年相比增加183.2万元，增长482.11%。主要原因是调整功能科目。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14.残疾人事业（款）残疾人康复（项）支出1.3万元，与上年预算数相同。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15.残疾人事业（款）残疾人生活和护理补贴（项）支出667.08万元，与上年相比增加55万元，增长8.99%。主要原因是按照人数变动相应浮动。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16.残疾人事业（款）其他残疾人事业支出（项）支出178.3万元，与上年相比增加4万元，增长2.29%。主要原因是按照人数变动相应浮动。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17.最低生活保障（款）城市最低生活保障金支出（项）支出107万元，与上年相比减少27.3万元，减少20.33%。主要原因是按照人数变动相应浮动。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18.最低生活保障（款）农村最低生活保障金支出（项）支出51.5万元，与上年相比减少13.2万元，减少20.4%。主要原因是按照人数变动相应浮动。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19.临时救助（款）临时救助支出（项）支出8万元，与上年预算数相同。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20.特困人员救助供养（款）农村特困人员救助供养支出（项）支出23万元，与上年相比减少12万元，减少34.29%。主要原因是按照人数变动相应浮动。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21.财政对基本养老保险基金的补助（款）财政对城乡居民基本养老保险基金的补助（项）支出217万元，与上年相比减少73万元，减少25.17%。主要原因是按照人数变动相应浮动。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22.其他社会保障和就业支出（款）其他社会保障和就业支出（项）支出13,081.39万元，与上年相比减少614.07万元，减少4.48%。主要原因是根据2023年实际执行情况核定2024年预算数。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（七）卫生健康支出（类）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1.基层医疗卫生机构（款）乡镇卫生院（项）支出4,595.88万元，与上年相比增加591.09万元，增长14.76%。主要原因是医疗和药品收入预期增加，相应安排支出。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2.公共卫生（款）疾病预防控制机构（项）支出8万元，与上年预算数相同。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3.公共卫生（款）基本公共卫生服务（项）支出1,012.6万元，与上年相比减少303.94万元，减少23.09%。主要原因是适当压减经费。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4.公共卫生（款）其他公共卫生支出（项）支出21.6万元，与上年相比减少3,378.4万元，减少99.36%。主要原因是减少防疫经费。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5.计划生育事务（款）计划生育服务（项）支出620.5万元，与上年相比增加10.98万元，增长1.8%。主要原因是正常浮动，基本持平。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6.计划生育事务（款）其他计划生育事务支出（项）支出25万元，与上年相比增加25万元（去年预算数为0万元，无法计算增减比率）。主要原因是调整功能科目。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7.财政对基本医疗保险基金的补助（款）财政对城乡居民基本医疗保险基金的补助（项）支出2,850万元，与上年预算数相同。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8.财政对基本医疗保险基金的补助（款）财政对其他基本医疗保险基金的补助（项）支出300万元，与上年相比增加300万元（去年预算数为0万元，无法计算增减比率）。主要原因是调整功能科目。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9.优抚对象医疗（款）其他优抚对象医疗支出（项）支出0万元，与上年相比减少300万元，减少100%。主要原因是调整功能科目。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10.其他卫生健康支出（款）其他卫生健康支出（项）支出85万元，与上年相比减少373.95万元，减少81.48%。主要原因是2023年采购设备，项目结束。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（八）节能环保支出（类）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环境保护管理事务（款）其他环境保护管理事务支出（项）支出3,659.27万元，与上年相比减少435.27万元，减少10.63%。主要原因是工作经费适当压减。</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（九）城乡社区支出（类）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1.城乡社区管理事务（款）城管执法（项）支出2,830.21万元，与上年相比减少911.17万元，减少24.35%。主要原因是项目在2023年结束。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2.城乡社区管理事务（款）其他城乡社区管理事务支出（项）支出4,101.91万元，与上年相比减少3.19万元，减少0.08%。主要原因是正常浮动，基本持平。</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3.城乡社区公共设施（款）其他城乡社区公共设施支出（项）支出60,649.34万元，与上年相比增加8,313.62万元，增长15.89%。主要原因是根据财力情况安排支出。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4.城乡社区环境卫生（款）城乡社区环境卫生（项）支出285.34万元，与上年相比减少486.1万元，减少63.01%。主要原因是调整功能科目。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5.国有土地使用权出让收入安排的支出（款）土地开发支出（项）支出115,390.1万元，与上年相比增加31,686.89万元，增长37.86%。主要原因是化解隐债增加。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6.国有土地使用权出让收入安排的支出（款）农业农村生态环境支出（项）支出4,609.9万元，与上年相比增加4,609.9万元（去年预算数为0万元，无法计算增减比率）。主要原因是按文件执行。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国有土地使用权出让收入安排的支出（款）其他国有土地使用权出让收入安排的支出（项）支出75,588.71万元，与上年相比减少64,238.08万元，减少45.94%。主要原因是经济发展专项通过该项资金来源解决，根据预计财力情况安排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城市基础设施配套费安排的支出（款）其他城市基础设施配套费安排的支出（项）支出1,700万元，与上年相比增加1,700万元（去年预算数为0万元，无法计算增减比率）。主要原因是2023年初预算没有安排城市基础设置配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9.国有土地使用权出让收入对应专项债务收入安排的支出（款）城市建设支出（项）支出0万元，与上年相比减少25,000万元，减少100%。主要原因是今年没有新增专项债。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10.其他城乡社区支出（款）其他城乡社区支出（项）支出37,890.6万元，与上年相比增加32,794.34万元，增长643.5%。主要原因是功能科目的调整。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（十）农林水支出（类）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1.农业农村（款）稳定农民收入补贴（项）支出20万元，与上年相比增加20万元（去年预算数为0万元，无法计算增减比率）。主要原因是按文件执行。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2.农业农村（款）农业生产发展（项）支出35万元，与上年相比增加15万元，增长75%。主要原因是按文件执行。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3.农业农村（款）农村合作经济（项）支出0万元，与上年相比减少376.59万元，减少100%。主要原因是从严从紧控制经费。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4.农业农村（款）农村社会事业（项）支出0万元，与上年相比减少790万元，减少100%。主要原因是从严从紧控制经费。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5.农业农村（款）农业生态资源保护（项）支出10,781.5万元，与上年相比减少2,128.12万元，减少16.48%。主要原因是从严从紧控制经费。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6.农业农村（款）乡村道路建设（项）支出53.38万元，与上年预算数相同。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7.农业农村（款）其他农业农村支出（项）支出56.2万元，与上年相比减少18.8万元，减少25.07%。主要原因是从严从紧控制经费。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8.林业和草原（款）森林生态效益补偿（项）支出68万元，与上年相比减少201.82万元，减少74.8%。主要原因是按文件执行，调整功能科目。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9.林业和草原（款）其他林业和草原支出（项）支出30万元，与上年相比增加30万元（去年预算数为0万元，无法计算增减比率）。主要原因是按文件执行。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10.水利（款）水利工程运行与维护（项）支出775.98万元，与上年相比减少429.83万元，减少35.65%。主要原因是按文件执行。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11.水利（款）防汛（项）支出8万元，与上年预算数相同。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12.普惠金融发展支出（款）农业保险保费补贴（项）支出12万元，与上年预算数相同。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（十一）交通运输支出（类）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公路水路运输（款）其他公路水路运输支出（项）支出420万元，与上年相比增加225万元，增长115.38%。主要原因是对条线的补助增加。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（十二）住房保障支出（类）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1.住房改革支出（款）住房公积金（项）支出2,047.93万元，与上年相比减少235.08万元，减少10.3%。主要原因是基数调低。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2.住房改革支出（款）提租补贴（项）支出2,184.74万元，与上年相比减少531.54万元，减少19.57%。主要原因是有些单位提租补贴做到了购房补贴。</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3.住房改革支出（款）购房补贴（项）支出3,535.7万元，与上年相比增加58.43万元，增长1.68%。主要原因是基数调低。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（十三）灾害防治及应急管理支出（类）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应急管理事务（款）灾害风险防治（项）支出166万元，与上年相比增加38万元，增长29.69%。主要原因是按市级文件安排预算。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（十四）预备费（类）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预备费（类）支出6,955.48万元，与上年相比减少3,044.52万元，减少30.45%。主要原因是根据财力安排。</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（十五）其他支出（类）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其他支出（款）其他支出（项）支出35万元，与上年相比减少108.62万元，减少75.63%。主要原因是2024年房租只需付半年租金，另有项目2023年结束。</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（十六）债务付息支出（类）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1.地方政府一般债务付息支出（款）地方政府一般债券付息支出（项）支出2,000万元，与上年预算数相同。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2.地方政府专项债务付息支出（款）国有土地使用权出让金债务付息支出（项）支出2,500.29万元，与上年相比增加500.29万元，增长25.01%。主要原因是根据专项债券余额计算应付利息。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江阴高新技术产业开发区2024年度财政拨款基本支出预算56,189.78万元，其中：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51,765.67万元。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4,424.11万元。主要包括：办公费、印刷费、水费、电费、邮电费、差旅费、租赁费、会议费、培训费、公务接待费、专用材料费、工会经费、公务用车运行维护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江阴高新技术产业开发区2024年一般公共预算财政拨款支出预算232,451万元，与上年相比增加29,675.01万元，增长14.63%。主要原因是一般公共预算收入预期数较2023年减少。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江阴高新技术产业开发区2024年度一般公共预算财政拨款基本支出预算56,189.78万元，其中：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一）人员经费51,765.67万元。主要包括：基本工资、津贴补贴、奖金、伙食补助费、绩效工资、机关事业单位基本养老保险缴费、职业年金缴费、职工基本医疗保险缴费、其他社会保障缴费、住房公积金、医疗费、其他工资福利支出、退休费、生活补助、其他对个人和家庭的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二）公用经费4,424.11万元。主要包括：办公费、印刷费、水费、电费、邮电费、差旅费、租赁费、会议费、培训费、公务接待费、专用材料费、工会经费、公务用车运行维护费、其他交通费用、其他商品和服务支出、其他资本性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九、一般公共预算“三公”经费、会议费、培训费支出预算情况说明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一般公共预算拨款安排的“三公”经费支出预算259.22万元，比上年预算减少51.02万元，变动原因落实政府过“紧日子”，进一步压降三公经费。其中，因公出国（境）费支出100万元，占“三公”经费的38.58%；公务用车购置及运行维护费支出104.7万元，占“三公”经费的40.39%；公务接待费支出54.52万元，占“三公”经费的21.03%。具体情况如下：</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1．因公出国（境）费预算支出100万元，比上年预算增加46.4万元，主要原因是疫情政策调整后赴境外招商。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2．公务用车购置及运行维护费预算支出104.7万元。其中：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（1）公务用车购置预算支出0万元，比上年预算减少55万元，主要原因是今年无新购置车辆。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（2）公务用车运行维护费预算支出104.7万元，比上年预算减少28.02万元，主要原因是公安车辆维护费从5.5万元/辆，降低至5万元/辆。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3．公务接待费预算支出54.52万元，比上年预算减少14.4万元，主要原因是落实政府过“紧日子”，进一步压降三公经费。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江阴高新技术产业开发区2024年度一般公共预算拨款安排的会议费预算支出58.19万元，比上年预算减少1.98万元，主要原因是落实政府过“紧日子”，进一步压降三公经费。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江阴高新技术产业开发区2024年度一般公共预算拨款安排的培训费预算支出314.62万元，比上年预算增加1.55万元，主要原因是学校增加了培训费。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江阴高新技术产业开发区2024年政府性基金支出预算支出199,789万元。与上年相比减少50,741万元，减少20.25%。主要原因是受市场环境和经济形势影响，土地成交预期减少。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1.城乡社区支出（类）国有土地使用权出让收入安排的支出（款）土地开发支出（项）支出115,390.1万元，主要是用于化解隐债。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2.城乡社区支出（类）国有土地使用权出让收入安排的支出（款）农业农村生态环境支出（项）支出4,609.9万元，主要是用于农村人居环境整治和农村土地综合整治。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3.城乡社区支出（类）国有土地使用权出让收入安排的支出（款）其他国有土地使用权出让收入安排的支出（项）支出75,588.71万元，主要是用于经济发展专项扶持政策兑现。</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4.城乡社区支出（类）城市基础设施配套费安排的支出（款）其他城市基础设施配套费安排的支出（项）支出1,700万元，主要是用于支付城市基础设施配套费。</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5.债务付息支出（类）地方政府专项债务付息支出（款）国有土地使用权出让金债务付息支出（项）支出2,500.29万元，主要是用于专项债券应付利息。</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江阴高新技术产业开发区2024年国有资本经营预算支出0万元。与上年预算数相同。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十二、一般公共预算机关运行经费支出预算情况说明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2024年本部门一般公共预算机关运行经费预算支出2,044.59万元，与上年相比减少183.35万元，减少8.23%。主要原因是公安人头经费从2.5万元/人，调低至1.8万元/人。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十三、政府采购支出预算情况说明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2024年度政府采购支出预算总额509.64万元，其中：拟采购货物支出427.26万元、拟采购工程支出0万元、拟采购服务支出82.38万元。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部门共有车辆28辆，其中，副部（省）级及以上领导用车0辆、主要领导干部用车0辆、机要通信用车0辆、应急保障用车0辆、执法执勤用车10辆、特种专业技术用车0辆、离退休干部用车0辆，其他用车18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十五、预算绩效目标设置情况说明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2024年度，本部门整体支出未纳入绩效目标管理，涉及财政性资金0万元；本部门共0个项目纳入绩效目标管理，涉及财政性资金合计0万元，占财政性资金(人员类和运转类中的公用经费项目支出除外)总额的比例为0%。</w:t>
      </w:r>
      <w:r>
        <w:rPr>
          <w:rFonts w:ascii="仿宋" w:hAnsi="仿宋" w:cs="仿宋" w:eastAsia="仿宋"/>
        </w:rPr>
        <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cs="仿宋" w:eastAsia="仿宋"/>
          <w:b w:val="true"/>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cs="仿宋" w:eastAsia="仿宋"/>
          <w:b w:val="true"/>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cs="仿宋" w:eastAsia="仿宋"/>
          <w:b w:val="true"/>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cs="仿宋" w:eastAsia="仿宋"/>
          <w:b w:val="true"/>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cs="仿宋" w:eastAsia="仿宋"/>
          <w:b w:val="true"/>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八、一般公共服务支出(类)人大事务(款)行政运行(项)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九、一般公共服务支出(类)人大事务(款)一般行政管理事务(项)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十、一般公共服务支出(类)政府办公厅（室）及相关机构事务(款)行政运行(项)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十一、一般公共服务支出(类)政府办公厅（室）及相关机构事务(款)一般行政管理事务(项)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十二、一般公共服务支出(类)发展与改革事务(款)行政运行(项)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十三、一般公共服务支出(类)发展与改革事务(款)一般行政管理事务(项)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十四、一般公共服务支出(类)财政事务(款)行政运行(项)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十五、一般公共服务支出(类)财政事务(款)一般行政管理事务(项)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十六、一般公共服务支出(类)税收事务(款)行政运行(项)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十七、一般公共服务支出(类)纪检监察事务(款)行政运行(项)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十八、一般公共服务支出(类)纪检监察事务(款)一般行政管理事务(项)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十九、公共安全支出(类)公安(款)行政运行(项)</w:t>
      </w:r>
      <w:r>
        <w:rPr>
          <w:rFonts w:ascii="仿宋" w:hAnsi="仿宋" w:cs="仿宋" w:eastAsia="仿宋"/>
          <w:b w:val="true"/>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二十、公共安全支出(类)公安(款)一般行政管理事务(项)</w:t>
      </w:r>
      <w:r>
        <w:rPr>
          <w:rFonts w:ascii="仿宋" w:hAnsi="仿宋" w:cs="仿宋" w:eastAsia="仿宋"/>
          <w:b w:val="true"/>
        </w:rPr>
        <w:t>：</w:t>
      </w:r>
      <w:r>
        <w:rPr>
          <w:rFonts w:hint="eastAsia" w:ascii="仿宋" w:hAnsi="仿宋" w:eastAsia="仿宋" w:cs="仿宋"/>
        </w:rPr>
        <w:t>反映行政单位（包括实行公务员管理的事业单位）未单独设置项级科目的其他项目支出。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二十一、公共安全支出(类)其他公共安全支出(款)其他公共安全支出(项)</w:t>
      </w:r>
      <w:r>
        <w:rPr>
          <w:rFonts w:ascii="仿宋" w:hAnsi="仿宋" w:cs="仿宋" w:eastAsia="仿宋"/>
          <w:b w:val="true"/>
        </w:rPr>
        <w:t>：</w:t>
      </w:r>
      <w:r>
        <w:rPr>
          <w:rFonts w:hint="eastAsia" w:ascii="仿宋" w:hAnsi="仿宋" w:eastAsia="仿宋" w:cs="仿宋"/>
        </w:rPr>
        <w:t>反映除上述项目以外其他用于公共安全方面的支出。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二十二、教育支出(类)普通教育(款)学前教育(项)</w:t>
      </w:r>
      <w:r>
        <w:rPr>
          <w:rFonts w:ascii="仿宋" w:hAnsi="仿宋" w:cs="仿宋" w:eastAsia="仿宋"/>
          <w:b w:val="true"/>
        </w:rPr>
        <w:t>：</w:t>
      </w:r>
      <w:r>
        <w:rPr>
          <w:rFonts w:hint="eastAsia" w:ascii="仿宋" w:hAnsi="仿宋" w:eastAsia="仿宋" w:cs="仿宋"/>
        </w:rPr>
        <w:t>反映各部门举办的学前教育支出。政府各部门对社会组织等举办的幼儿园的资助，如捐赠、补贴等，也在本科目中反映。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二十三、教育支出(类)普通教育(款)小学教育(项)</w:t>
      </w:r>
      <w:r>
        <w:rPr>
          <w:rFonts w:ascii="仿宋" w:hAnsi="仿宋" w:cs="仿宋" w:eastAsia="仿宋"/>
          <w:b w:val="true"/>
        </w:rPr>
        <w:t>：</w:t>
      </w:r>
      <w:r>
        <w:rPr>
          <w:rFonts w:hint="eastAsia" w:ascii="仿宋" w:hAnsi="仿宋" w:eastAsia="仿宋" w:cs="仿宋"/>
        </w:rPr>
        <w:t>反映各部门举办的小学教育支出。政府各部门对社会组织等举办的小学的资助，如捐赠、补贴等，也在本科目中反映。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二十四、教育支出(类)普通教育(款)初中教育(项)</w:t>
      </w:r>
      <w:r>
        <w:rPr>
          <w:rFonts w:ascii="仿宋" w:hAnsi="仿宋" w:cs="仿宋" w:eastAsia="仿宋"/>
          <w:b w:val="true"/>
        </w:rPr>
        <w:t>：</w:t>
      </w:r>
      <w:r>
        <w:rPr>
          <w:rFonts w:hint="eastAsia" w:ascii="仿宋" w:hAnsi="仿宋" w:eastAsia="仿宋" w:cs="仿宋"/>
        </w:rPr>
        <w:t>反映各部门举办的初中教育支出。政府各部门对社会组织等举办的初中的资助，如捐赠、补贴等，也在本科目中反映。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二十五、教育支出(类)成人教育(款)其他成人教育支出(项)</w:t>
      </w:r>
      <w:r>
        <w:rPr>
          <w:rFonts w:ascii="仿宋" w:hAnsi="仿宋" w:cs="仿宋" w:eastAsia="仿宋"/>
          <w:b w:val="true"/>
        </w:rPr>
        <w:t>：</w:t>
      </w:r>
      <w:r>
        <w:rPr>
          <w:rFonts w:hint="eastAsia" w:ascii="仿宋" w:hAnsi="仿宋" w:eastAsia="仿宋" w:cs="仿宋"/>
        </w:rPr>
        <w:t>反映除上述项目以外其他用于成人教育方面的支出。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二十六、教育支出(类)进修及培训(款)培训支出(项)</w:t>
      </w:r>
      <w:r>
        <w:rPr>
          <w:rFonts w:ascii="仿宋" w:hAnsi="仿宋" w:cs="仿宋" w:eastAsia="仿宋"/>
          <w:b w:val="true"/>
        </w:rPr>
        <w:t>：</w:t>
      </w:r>
      <w:r>
        <w:rPr>
          <w:rFonts w:hint="eastAsia" w:ascii="仿宋" w:hAnsi="仿宋" w:eastAsia="仿宋" w:cs="仿宋"/>
        </w:rPr>
        <w:t>反映各部门安排的用于培训的支出。教育部门的师资培训，党校、行政学院等专业干部教育机构的支出，以及退役士兵、转业士官的培训支出，不在本科目反映。</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二十七、教育支出(类)教育费附加安排的支出(款)农村中小学校舍建设(项)</w:t>
      </w:r>
      <w:r>
        <w:rPr>
          <w:rFonts w:ascii="仿宋" w:hAnsi="仿宋" w:cs="仿宋" w:eastAsia="仿宋"/>
          <w:b w:val="true"/>
        </w:rPr>
        <w:t>：</w:t>
      </w:r>
      <w:r>
        <w:rPr>
          <w:rFonts w:hint="eastAsia" w:ascii="仿宋" w:hAnsi="仿宋" w:eastAsia="仿宋" w:cs="仿宋"/>
        </w:rPr>
        <w:t>反映教育费附加安排用于农村中小学校舍新建、改建、修缮和维护的支出。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二十八、教育支出(类)教育费附加安排的支出(款)农村中小学教学设施(项)</w:t>
      </w:r>
      <w:r>
        <w:rPr>
          <w:rFonts w:ascii="仿宋" w:hAnsi="仿宋" w:cs="仿宋" w:eastAsia="仿宋"/>
          <w:b w:val="true"/>
        </w:rPr>
        <w:t>：</w:t>
      </w:r>
      <w:r>
        <w:rPr>
          <w:rFonts w:hint="eastAsia" w:ascii="仿宋" w:hAnsi="仿宋" w:eastAsia="仿宋" w:cs="仿宋"/>
        </w:rPr>
        <w:t>反映教育费附加安排用于改善农村中小学教学设施和办学条件的支出。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二十九、教育支出(类)教育费附加安排的支出(款)其他教育费附加安排的支出(项)</w:t>
      </w:r>
      <w:r>
        <w:rPr>
          <w:rFonts w:ascii="仿宋" w:hAnsi="仿宋" w:cs="仿宋" w:eastAsia="仿宋"/>
          <w:b w:val="true"/>
        </w:rPr>
        <w:t>：</w:t>
      </w:r>
      <w:r>
        <w:rPr>
          <w:rFonts w:hint="eastAsia" w:ascii="仿宋" w:hAnsi="仿宋" w:eastAsia="仿宋" w:cs="仿宋"/>
        </w:rPr>
        <w:t>反映除上述项目以外的教育费附加支出。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三十、教育支出(类)其他教育支出(款)其他教育支出(项)</w:t>
      </w:r>
      <w:r>
        <w:rPr>
          <w:rFonts w:ascii="仿宋" w:hAnsi="仿宋" w:cs="仿宋" w:eastAsia="仿宋"/>
          <w:b w:val="true"/>
        </w:rPr>
        <w:t>：</w:t>
      </w:r>
      <w:r>
        <w:rPr>
          <w:rFonts w:hint="eastAsia" w:ascii="仿宋" w:hAnsi="仿宋" w:eastAsia="仿宋" w:cs="仿宋"/>
        </w:rPr>
        <w:t>反映除上述项目以外其他用于教育方面的支出。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三十一、科学技术支出(类)科技条件与服务(款)其他科技条件与服务支出(项)</w:t>
      </w:r>
      <w:r>
        <w:rPr>
          <w:rFonts w:ascii="仿宋" w:hAnsi="仿宋" w:cs="仿宋" w:eastAsia="仿宋"/>
          <w:b w:val="true"/>
        </w:rPr>
        <w:t>：</w:t>
      </w:r>
      <w:r>
        <w:rPr>
          <w:rFonts w:hint="eastAsia" w:ascii="仿宋" w:hAnsi="仿宋" w:eastAsia="仿宋" w:cs="仿宋"/>
        </w:rPr>
        <w:t>反映除上述项目以外其他用于科技条件与服务方面的支出。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三十二、社会保障和就业支出(类)行政事业单位养老支出(款)机关事业单位基本养老保险缴费支出(项)</w:t>
      </w:r>
      <w:r>
        <w:rPr>
          <w:rFonts w:ascii="仿宋" w:hAnsi="仿宋" w:cs="仿宋" w:eastAsia="仿宋"/>
          <w:b w:val="true"/>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三十三、社会保障和就业支出(类)行政事业单位养老支出(款)机关事业单位职业年金缴费支出(项)</w:t>
      </w:r>
      <w:r>
        <w:rPr>
          <w:rFonts w:ascii="仿宋" w:hAnsi="仿宋" w:cs="仿宋" w:eastAsia="仿宋"/>
          <w:b w:val="true"/>
        </w:rPr>
        <w:t>：</w:t>
      </w:r>
      <w:r>
        <w:rPr>
          <w:rFonts w:hint="eastAsia" w:ascii="仿宋" w:hAnsi="仿宋" w:eastAsia="仿宋" w:cs="仿宋"/>
        </w:rPr>
        <w:t>反映机关事业单位实施养老保险制度由单位实际缴纳的职业年金支出。(含职业年金补记支出。）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三十四、社会保障和就业支出(类)抚恤(款)伤残抚恤(项)</w:t>
      </w:r>
      <w:r>
        <w:rPr>
          <w:rFonts w:ascii="仿宋" w:hAnsi="仿宋" w:cs="仿宋" w:eastAsia="仿宋"/>
          <w:b w:val="true"/>
        </w:rPr>
        <w:t>：</w:t>
      </w:r>
      <w:r>
        <w:rPr>
          <w:rFonts w:hint="eastAsia" w:ascii="仿宋" w:hAnsi="仿宋" w:eastAsia="仿宋" w:cs="仿宋"/>
        </w:rPr>
        <w:t>反映按规定用于伤残人员的抚恤金和按规定开支的各种伤残补助费。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三十五、社会保障和就业支出(类)抚恤(款)在乡复员、退伍军人生活补助(项)</w:t>
      </w:r>
      <w:r>
        <w:rPr>
          <w:rFonts w:ascii="仿宋" w:hAnsi="仿宋" w:cs="仿宋" w:eastAsia="仿宋"/>
          <w:b w:val="true"/>
        </w:rPr>
        <w:t>：</w:t>
      </w:r>
      <w:r>
        <w:rPr>
          <w:rFonts w:hint="eastAsia" w:ascii="仿宋" w:hAnsi="仿宋" w:eastAsia="仿宋" w:cs="仿宋"/>
        </w:rPr>
        <w:t>反映在乡退伍红军老战士（含西路军红军老战士、红军失散人员）、1954年10月31日前入伍的在乡复员军人、按规定办理带病回乡手续的退伍军人、符合领取定期生活补助条件的“两参”人员生活补助。</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三十六、社会保障和就业支出(类)抚恤(款)义务兵优待(项)</w:t>
      </w:r>
      <w:r>
        <w:rPr>
          <w:rFonts w:ascii="仿宋" w:hAnsi="仿宋" w:cs="仿宋" w:eastAsia="仿宋"/>
          <w:b w:val="true"/>
        </w:rPr>
        <w:t>：</w:t>
      </w:r>
      <w:r>
        <w:rPr>
          <w:rFonts w:hint="eastAsia" w:ascii="仿宋" w:hAnsi="仿宋" w:eastAsia="仿宋" w:cs="仿宋"/>
        </w:rPr>
        <w:t>反映用于义务兵优待方面的支出。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三十七、社会保障和就业支出(类)抚恤(款)农村籍退役士兵老年生活补助(项)</w:t>
      </w:r>
      <w:r>
        <w:rPr>
          <w:rFonts w:ascii="仿宋" w:hAnsi="仿宋" w:cs="仿宋" w:eastAsia="仿宋"/>
          <w:b w:val="true"/>
        </w:rPr>
        <w:t>：</w:t>
      </w:r>
      <w:r>
        <w:rPr>
          <w:rFonts w:hint="eastAsia" w:ascii="仿宋" w:hAnsi="仿宋" w:eastAsia="仿宋" w:cs="仿宋"/>
        </w:rPr>
        <w:t>反映1954年11月1日试行义务兵役制后至《退役士兵安置条例》实施前入伍、年龄在60周岁以上（含60周岁）、未享受到国家定期抚恤补助的农村籍退役士兵的老年生活补助。</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三十八、社会保障和就业支出(类)抚恤(款)其他优抚支出(项)</w:t>
      </w:r>
      <w:r>
        <w:rPr>
          <w:rFonts w:ascii="仿宋" w:hAnsi="仿宋" w:cs="仿宋" w:eastAsia="仿宋"/>
          <w:b w:val="true"/>
        </w:rPr>
        <w:t>：</w:t>
      </w:r>
      <w:r>
        <w:rPr>
          <w:rFonts w:hint="eastAsia" w:ascii="仿宋" w:hAnsi="仿宋" w:eastAsia="仿宋" w:cs="仿宋"/>
        </w:rPr>
        <w:t>反映除上述项目以外其他用于优抚方面的支出，包括向优抚对象发放的价格临时补贴、老烈士子女、老党员定期生活补助等支出。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三十九、社会保障和就业支出(类)退役安置(款)退役士兵安置(项)</w:t>
      </w:r>
      <w:r>
        <w:rPr>
          <w:rFonts w:ascii="仿宋" w:hAnsi="仿宋" w:cs="仿宋" w:eastAsia="仿宋"/>
          <w:b w:val="true"/>
        </w:rPr>
        <w:t>：</w:t>
      </w:r>
      <w:r>
        <w:rPr>
          <w:rFonts w:hint="eastAsia" w:ascii="仿宋" w:hAnsi="仿宋" w:eastAsia="仿宋" w:cs="仿宋"/>
        </w:rPr>
        <w:t>反映按规定用于伤残义务兵的一次性建房补助，对符合条件的退役士兵、转业士官的安置支出。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四十、社会保障和就业支出(类)社会福利(款)儿童福利(项)</w:t>
      </w:r>
      <w:r>
        <w:rPr>
          <w:rFonts w:ascii="仿宋" w:hAnsi="仿宋" w:cs="仿宋" w:eastAsia="仿宋"/>
          <w:b w:val="true"/>
        </w:rPr>
        <w:t>：</w:t>
      </w:r>
      <w:r>
        <w:rPr>
          <w:rFonts w:hint="eastAsia" w:ascii="仿宋" w:hAnsi="仿宋" w:eastAsia="仿宋" w:cs="仿宋"/>
        </w:rPr>
        <w:t>反映对儿童提供福利服务方面的支出。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四十一、社会保障和就业支出(类)社会福利(款)老年福利(项)</w:t>
      </w:r>
      <w:r>
        <w:rPr>
          <w:rFonts w:ascii="仿宋" w:hAnsi="仿宋" w:cs="仿宋" w:eastAsia="仿宋"/>
          <w:b w:val="true"/>
        </w:rPr>
        <w:t>：</w:t>
      </w:r>
      <w:r>
        <w:rPr>
          <w:rFonts w:hint="eastAsia" w:ascii="仿宋" w:hAnsi="仿宋" w:eastAsia="仿宋" w:cs="仿宋"/>
        </w:rPr>
        <w:t>反映对老年人提供福利服务方面的支出，包括为经济困难的高龄、失能等老年人提供基本养老服务保障的资金补助等支出。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四十二、社会保障和就业支出(类)社会福利(款)殡葬(项)</w:t>
      </w:r>
      <w:r>
        <w:rPr>
          <w:rFonts w:ascii="仿宋" w:hAnsi="仿宋" w:cs="仿宋" w:eastAsia="仿宋"/>
          <w:b w:val="true"/>
        </w:rPr>
        <w:t>：</w:t>
      </w:r>
      <w:r>
        <w:rPr>
          <w:rFonts w:hint="eastAsia" w:ascii="仿宋" w:hAnsi="仿宋" w:eastAsia="仿宋" w:cs="仿宋"/>
        </w:rPr>
        <w:t>反映殡葬管理和殡葬服务方面的支出，包括民政部门直属的殡仪馆、公墓、殡葬管理服务机构的支出。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四十三、社会保障和就业支出(类)社会福利(款)养老服务(项)</w:t>
      </w:r>
      <w:r>
        <w:rPr>
          <w:rFonts w:ascii="仿宋" w:hAnsi="仿宋" w:cs="仿宋" w:eastAsia="仿宋"/>
          <w:b w:val="true"/>
        </w:rPr>
        <w:t>：</w:t>
      </w:r>
      <w:r>
        <w:rPr>
          <w:rFonts w:hint="eastAsia" w:ascii="仿宋" w:hAnsi="仿宋" w:eastAsia="仿宋" w:cs="仿宋"/>
        </w:rPr>
        <w:t>反映财政在养老服务方面的补助支出，包括支持居家养老服务、社区养老服务和机构养老服务的支出，对养老服务机构的运营、建设补助支出等，不包括对社会福利事业单位的补助支出。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四十四、社会保障和就业支出(类)社会福利(款)其他社会福利支出(项)</w:t>
      </w:r>
      <w:r>
        <w:rPr>
          <w:rFonts w:ascii="仿宋" w:hAnsi="仿宋" w:cs="仿宋" w:eastAsia="仿宋"/>
          <w:b w:val="true"/>
        </w:rPr>
        <w:t>：</w:t>
      </w:r>
      <w:r>
        <w:rPr>
          <w:rFonts w:hint="eastAsia" w:ascii="仿宋" w:hAnsi="仿宋" w:eastAsia="仿宋" w:cs="仿宋"/>
        </w:rPr>
        <w:t>反映除上述项目以外其他用于社会福利方面的支出。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四十五、社会保障和就业支出(类)残疾人事业(款)残疾人康复(项)</w:t>
      </w:r>
      <w:r>
        <w:rPr>
          <w:rFonts w:ascii="仿宋" w:hAnsi="仿宋" w:cs="仿宋" w:eastAsia="仿宋"/>
          <w:b w:val="true"/>
        </w:rPr>
        <w:t>：</w:t>
      </w:r>
      <w:r>
        <w:rPr>
          <w:rFonts w:hint="eastAsia" w:ascii="仿宋" w:hAnsi="仿宋" w:eastAsia="仿宋" w:cs="仿宋"/>
        </w:rPr>
        <w:t>反映残疾人联合会用于残疾人康复方面的支出。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四十六、社会保障和就业支出(类)残疾人事业(款)残疾人生活和护理补贴(项)</w:t>
      </w:r>
      <w:r>
        <w:rPr>
          <w:rFonts w:ascii="仿宋" w:hAnsi="仿宋" w:cs="仿宋" w:eastAsia="仿宋"/>
          <w:b w:val="true"/>
        </w:rPr>
        <w:t>：</w:t>
      </w:r>
      <w:r>
        <w:rPr>
          <w:rFonts w:hint="eastAsia" w:ascii="仿宋" w:hAnsi="仿宋" w:eastAsia="仿宋" w:cs="仿宋"/>
        </w:rPr>
        <w:t>反映困难残疾人生活补贴和重度残疾人护理补贴支出。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四十七、社会保障和就业支出(类)残疾人事业(款)其他残疾人事业支出(项)</w:t>
      </w:r>
      <w:r>
        <w:rPr>
          <w:rFonts w:ascii="仿宋" w:hAnsi="仿宋" w:cs="仿宋" w:eastAsia="仿宋"/>
          <w:b w:val="true"/>
        </w:rPr>
        <w:t>：</w:t>
      </w:r>
      <w:r>
        <w:rPr>
          <w:rFonts w:hint="eastAsia" w:ascii="仿宋" w:hAnsi="仿宋" w:eastAsia="仿宋" w:cs="仿宋"/>
        </w:rPr>
        <w:t>反映除上述项目以外其他用于残疾人事业方面的支出。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四十八、社会保障和就业支出(类)最低生活保障(款)城市最低生活保障金支出(项)</w:t>
      </w:r>
      <w:r>
        <w:rPr>
          <w:rFonts w:ascii="仿宋" w:hAnsi="仿宋" w:cs="仿宋" w:eastAsia="仿宋"/>
          <w:b w:val="true"/>
        </w:rPr>
        <w:t>：</w:t>
      </w:r>
      <w:r>
        <w:rPr>
          <w:rFonts w:hint="eastAsia" w:ascii="仿宋" w:hAnsi="仿宋" w:eastAsia="仿宋" w:cs="仿宋"/>
        </w:rPr>
        <w:t>反映用于城市最低生活保障对象的最低生活保障金支出。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四十九、社会保障和就业支出(类)最低生活保障(款)农村最低生活保障金支出(项)</w:t>
      </w:r>
      <w:r>
        <w:rPr>
          <w:rFonts w:ascii="仿宋" w:hAnsi="仿宋" w:cs="仿宋" w:eastAsia="仿宋"/>
          <w:b w:val="true"/>
        </w:rPr>
        <w:t>：</w:t>
      </w:r>
      <w:r>
        <w:rPr>
          <w:rFonts w:hint="eastAsia" w:ascii="仿宋" w:hAnsi="仿宋" w:eastAsia="仿宋" w:cs="仿宋"/>
        </w:rPr>
        <w:t>反映用于农村最低生活保障对象的最低生活保障金支出。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五十、社会保障和就业支出(类)临时救助(款)临时救助支出(项)</w:t>
      </w:r>
      <w:r>
        <w:rPr>
          <w:rFonts w:ascii="仿宋" w:hAnsi="仿宋" w:cs="仿宋" w:eastAsia="仿宋"/>
          <w:b w:val="true"/>
        </w:rPr>
        <w:t>：</w:t>
      </w:r>
      <w:r>
        <w:rPr>
          <w:rFonts w:hint="eastAsia" w:ascii="仿宋" w:hAnsi="仿宋" w:eastAsia="仿宋" w:cs="仿宋"/>
        </w:rPr>
        <w:t>反映用于城乡生活困难居民的临时救助支出。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五十一、社会保障和就业支出(类)特困人员救助供养(款)农村特困人员救助供养支出(项)</w:t>
      </w:r>
      <w:r>
        <w:rPr>
          <w:rFonts w:ascii="仿宋" w:hAnsi="仿宋" w:cs="仿宋" w:eastAsia="仿宋"/>
          <w:b w:val="true"/>
        </w:rPr>
        <w:t>：</w:t>
      </w:r>
      <w:r>
        <w:rPr>
          <w:rFonts w:hint="eastAsia" w:ascii="仿宋" w:hAnsi="仿宋" w:eastAsia="仿宋" w:cs="仿宋"/>
        </w:rPr>
        <w:t>反映农村特困人员救助供养支出。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五十二、社会保障和就业支出(类)财政对基本养老保险基金的补助(款)财政对城乡居民基本养老保险基金的补助(项)</w:t>
      </w:r>
      <w:r>
        <w:rPr>
          <w:rFonts w:ascii="仿宋" w:hAnsi="仿宋" w:cs="仿宋" w:eastAsia="仿宋"/>
          <w:b w:val="true"/>
        </w:rPr>
        <w:t>：</w:t>
      </w:r>
      <w:r>
        <w:rPr>
          <w:rFonts w:hint="eastAsia" w:ascii="仿宋" w:hAnsi="仿宋" w:eastAsia="仿宋" w:cs="仿宋"/>
        </w:rPr>
        <w:t>反映财政对城乡居民基本养老保险基金的补助支出。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五十三、社会保障和就业支出(类)其他社会保障和就业支出(款)其他社会保障和就业支出(项)</w:t>
      </w:r>
      <w:r>
        <w:rPr>
          <w:rFonts w:ascii="仿宋" w:hAnsi="仿宋" w:cs="仿宋" w:eastAsia="仿宋"/>
          <w:b w:val="true"/>
        </w:rPr>
        <w:t>：</w:t>
      </w:r>
      <w:r>
        <w:rPr>
          <w:rFonts w:hint="eastAsia" w:ascii="仿宋" w:hAnsi="仿宋" w:eastAsia="仿宋" w:cs="仿宋"/>
        </w:rPr>
        <w:t>反映除上述项目以外其他用于社会保障和就业方面的支出。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五十四、卫生健康支出(类)基层医疗卫生机构(款)乡镇卫生院(项)</w:t>
      </w:r>
      <w:r>
        <w:rPr>
          <w:rFonts w:ascii="仿宋" w:hAnsi="仿宋" w:cs="仿宋" w:eastAsia="仿宋"/>
          <w:b w:val="true"/>
        </w:rPr>
        <w:t>：</w:t>
      </w:r>
      <w:r>
        <w:rPr>
          <w:rFonts w:hint="eastAsia" w:ascii="仿宋" w:hAnsi="仿宋" w:eastAsia="仿宋" w:cs="仿宋"/>
        </w:rPr>
        <w:t>反映用于乡镇卫生院的支出。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五十五、卫生健康支出(类)公共卫生(款)疾病预防控制机构(项)</w:t>
      </w:r>
      <w:r>
        <w:rPr>
          <w:rFonts w:ascii="仿宋" w:hAnsi="仿宋" w:cs="仿宋" w:eastAsia="仿宋"/>
          <w:b w:val="true"/>
        </w:rPr>
        <w:t>：</w:t>
      </w:r>
      <w:r>
        <w:rPr>
          <w:rFonts w:hint="eastAsia" w:ascii="仿宋" w:hAnsi="仿宋" w:eastAsia="仿宋" w:cs="仿宋"/>
        </w:rPr>
        <w:t>反映卫生健康、疾病预防控制部门所属疾病预防控制机构的支出。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五十六、卫生健康支出(类)公共卫生(款)基本公共卫生服务(项)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五十七、卫生健康支出(类)公共卫生(款)其他公共卫生支出(项)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五十八、卫生健康支出(类)计划生育事务(款)计划生育服务(项)</w:t>
      </w:r>
      <w:r>
        <w:rPr>
          <w:rFonts w:ascii="仿宋" w:hAnsi="仿宋" w:cs="仿宋" w:eastAsia="仿宋"/>
          <w:b w:val="true"/>
        </w:rPr>
        <w:t>：</w:t>
      </w:r>
      <w:r>
        <w:rPr>
          <w:rFonts w:hint="eastAsia" w:ascii="仿宋" w:hAnsi="仿宋" w:eastAsia="仿宋" w:cs="仿宋"/>
        </w:rPr>
        <w:t>反映计划生育服务支出。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五十九、卫生健康支出(类)计划生育事务(款)其他计划生育事务支出(项)</w:t>
      </w:r>
      <w:r>
        <w:rPr>
          <w:rFonts w:ascii="仿宋" w:hAnsi="仿宋" w:cs="仿宋" w:eastAsia="仿宋"/>
          <w:b w:val="true"/>
        </w:rPr>
        <w:t>：</w:t>
      </w:r>
      <w:r>
        <w:rPr>
          <w:rFonts w:hint="eastAsia" w:ascii="仿宋" w:hAnsi="仿宋" w:eastAsia="仿宋" w:cs="仿宋"/>
        </w:rPr>
        <w:t>反映除上述项目以外其他用于计划生育管理事务方面的支出。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六十、卫生健康支出(类)财政对基本医疗保险基金的补助(款)财政对城乡居民基本医疗保险基金的补助(项)</w:t>
      </w:r>
      <w:r>
        <w:rPr>
          <w:rFonts w:ascii="仿宋" w:hAnsi="仿宋" w:cs="仿宋" w:eastAsia="仿宋"/>
          <w:b w:val="true"/>
        </w:rPr>
        <w:t>：</w:t>
      </w:r>
      <w:r>
        <w:rPr>
          <w:rFonts w:hint="eastAsia" w:ascii="仿宋" w:hAnsi="仿宋" w:eastAsia="仿宋" w:cs="仿宋"/>
        </w:rPr>
        <w:t>反映财政对城乡居民基本医疗保险基金的补助支出。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六十一、卫生健康支出(类)财政对基本医疗保险基金的补助(款)财政对其他基本医疗保险基金的补助(项)</w:t>
      </w:r>
      <w:r>
        <w:rPr>
          <w:rFonts w:ascii="仿宋" w:hAnsi="仿宋" w:cs="仿宋" w:eastAsia="仿宋"/>
          <w:b w:val="true"/>
        </w:rPr>
        <w:t>：</w:t>
      </w:r>
      <w:r>
        <w:rPr>
          <w:rFonts w:hint="eastAsia" w:ascii="仿宋" w:hAnsi="仿宋" w:eastAsia="仿宋" w:cs="仿宋"/>
        </w:rPr>
        <w:t>反映财政对其他基本医疗保险基金的补助支出。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六十二、卫生健康支出(类)其他卫生健康支出(款)其他卫生健康支出(项)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六十三、节能环保支出(类)环境保护管理事务(款)其他环境保护管理事务支出(项)</w:t>
      </w:r>
      <w:r>
        <w:rPr>
          <w:rFonts w:ascii="仿宋" w:hAnsi="仿宋" w:cs="仿宋" w:eastAsia="仿宋"/>
          <w:b w:val="true"/>
        </w:rPr>
        <w:t>：</w:t>
      </w:r>
      <w:r>
        <w:rPr>
          <w:rFonts w:hint="eastAsia" w:ascii="仿宋" w:hAnsi="仿宋" w:eastAsia="仿宋" w:cs="仿宋"/>
        </w:rPr>
        <w:t>反映除上述项目以外其他用于环境保护管理事务方面的支出。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六十四、城乡社区支出(类)城乡社区管理事务(款)城管执法(项)</w:t>
      </w:r>
      <w:r>
        <w:rPr>
          <w:rFonts w:ascii="仿宋" w:hAnsi="仿宋" w:cs="仿宋" w:eastAsia="仿宋"/>
          <w:b w:val="true"/>
        </w:rPr>
        <w:t>：</w:t>
      </w:r>
      <w:r>
        <w:rPr>
          <w:rFonts w:hint="eastAsia" w:ascii="仿宋" w:hAnsi="仿宋" w:eastAsia="仿宋" w:cs="仿宋"/>
        </w:rPr>
        <w:t>反映城市管理综合行政执法、加强城市市容和环境卫生管理等方面的支出。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六十五、城乡社区支出(类)城乡社区管理事务(款)其他城乡社区管理事务支出(项)</w:t>
      </w:r>
      <w:r>
        <w:rPr>
          <w:rFonts w:ascii="仿宋" w:hAnsi="仿宋" w:cs="仿宋" w:eastAsia="仿宋"/>
          <w:b w:val="true"/>
        </w:rPr>
        <w:t>：</w:t>
      </w:r>
      <w:r>
        <w:rPr>
          <w:rFonts w:hint="eastAsia" w:ascii="仿宋" w:hAnsi="仿宋" w:eastAsia="仿宋" w:cs="仿宋"/>
        </w:rPr>
        <w:t>反映除上述项目以外其他用于城乡社区管理事务方面的支出。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六十六、城乡社区支出(类)城乡社区公共设施(款)其他城乡社区公共设施支出(项)</w:t>
      </w:r>
      <w:r>
        <w:rPr>
          <w:rFonts w:ascii="仿宋" w:hAnsi="仿宋" w:cs="仿宋" w:eastAsia="仿宋"/>
          <w:b w:val="true"/>
        </w:rPr>
        <w:t>：</w:t>
      </w:r>
      <w:r>
        <w:rPr>
          <w:rFonts w:hint="eastAsia" w:ascii="仿宋" w:hAnsi="仿宋" w:eastAsia="仿宋" w:cs="仿宋"/>
        </w:rPr>
        <w:t>反映除上述项目以外其他用于城乡社区公共设施方面的支出。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六十七、城乡社区支出(类)城乡社区环境卫生(款)城乡社区环境卫生(项)</w:t>
      </w:r>
      <w:r>
        <w:rPr>
          <w:rFonts w:ascii="仿宋" w:hAnsi="仿宋" w:cs="仿宋" w:eastAsia="仿宋"/>
          <w:b w:val="true"/>
        </w:rPr>
        <w:t>：</w:t>
      </w:r>
      <w:r>
        <w:rPr>
          <w:rFonts w:hint="eastAsia" w:ascii="仿宋" w:hAnsi="仿宋" w:eastAsia="仿宋" w:cs="仿宋"/>
        </w:rPr>
        <w:t>反映城乡社区道路清扫、垃圾清运与处理、公厕建设与维护、园林绿化等方面的支出。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六十八、城乡社区支出(类)国有土地使用权出让收入安排的支出(款)土地开发支出(项)</w:t>
      </w:r>
      <w:r>
        <w:rPr>
          <w:rFonts w:ascii="仿宋" w:hAnsi="仿宋" w:cs="仿宋" w:eastAsia="仿宋"/>
          <w:b w:val="true"/>
        </w:rPr>
        <w:t>：</w:t>
      </w:r>
      <w:r>
        <w:rPr>
          <w:rFonts w:hint="eastAsia" w:ascii="仿宋" w:hAnsi="仿宋" w:eastAsia="仿宋" w:cs="仿宋"/>
        </w:rPr>
        <w:t>反映新疆生产建设兵团和地方政府用于前期土地开发性支出以及与前期土地开发相关的费用等支出。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六十九、城乡社区支出(类)国有土地使用权出让收入安排的支出(款)农业农村生态环境支出(项)</w:t>
      </w:r>
      <w:r>
        <w:rPr>
          <w:rFonts w:ascii="仿宋" w:hAnsi="仿宋" w:cs="仿宋" w:eastAsia="仿宋"/>
          <w:b w:val="true"/>
        </w:rPr>
        <w:t>：</w:t>
      </w:r>
      <w:r>
        <w:rPr>
          <w:rFonts w:hint="eastAsia" w:ascii="仿宋" w:hAnsi="仿宋" w:eastAsia="仿宋" w:cs="仿宋"/>
        </w:rPr>
        <w:t>反映土地出让收入用于农村人居环境整治、与农业农村直接相关的山水林田湖草生态保护修复等方面的支出。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七十一、城乡社区支出(类)城市基础设施配套费安排的支出(款)其他城市基础设施配套费安排的支出(项)</w:t>
      </w:r>
      <w:r>
        <w:rPr>
          <w:rFonts w:ascii="仿宋" w:hAnsi="仿宋" w:cs="仿宋" w:eastAsia="仿宋"/>
          <w:b w:val="true"/>
        </w:rPr>
        <w:t>：</w:t>
      </w:r>
      <w:r>
        <w:rPr>
          <w:rFonts w:hint="eastAsia" w:ascii="仿宋" w:hAnsi="仿宋" w:eastAsia="仿宋" w:cs="仿宋"/>
        </w:rPr>
        <w:t>反映上述项目以外的城市基础设施配套费支出。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七十二、城乡社区支出(类)其他城乡社区支出(款)其他城乡社区支出(项)</w:t>
      </w:r>
      <w:r>
        <w:rPr>
          <w:rFonts w:ascii="仿宋" w:hAnsi="仿宋" w:cs="仿宋" w:eastAsia="仿宋"/>
          <w:b w:val="true"/>
        </w:rPr>
        <w:t>：</w:t>
      </w:r>
      <w:r>
        <w:rPr>
          <w:rFonts w:hint="eastAsia" w:ascii="仿宋" w:hAnsi="仿宋" w:eastAsia="仿宋" w:cs="仿宋"/>
        </w:rPr>
        <w:t>反映除上述项目以外其他用于城乡社区方面的支出。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七十三、农林水支出(类)农业农村(款)稳定农民收入补贴(项)</w:t>
      </w:r>
      <w:r>
        <w:rPr>
          <w:rFonts w:ascii="仿宋" w:hAnsi="仿宋" w:cs="仿宋" w:eastAsia="仿宋"/>
          <w:b w:val="true"/>
        </w:rPr>
        <w:t>：</w:t>
      </w:r>
      <w:r>
        <w:rPr>
          <w:rFonts w:hint="eastAsia" w:ascii="仿宋" w:hAnsi="仿宋" w:eastAsia="仿宋" w:cs="仿宋"/>
        </w:rPr>
        <w:t>反映政府用于耕地地力保护补贴以及为稳定增加农民收入给予的补贴。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七十四、农林水支出(类)农业农村(款)农业生产发展(项)</w:t>
      </w:r>
      <w:r>
        <w:rPr>
          <w:rFonts w:ascii="仿宋" w:hAnsi="仿宋" w:cs="仿宋" w:eastAsia="仿宋"/>
          <w:b w:val="true"/>
        </w:rPr>
        <w:t>：</w:t>
      </w:r>
      <w:r>
        <w:rPr>
          <w:rFonts w:hint="eastAsia" w:ascii="仿宋" w:hAnsi="仿宋" w:eastAsia="仿宋" w:cs="仿宋"/>
        </w:rPr>
        <w:t>反映用于粮油生产保障、适度规模经营、农机购置与应用补贴、优势特色主导产业发展、畜牧水产发展、农村一二三产业融合等方面支出。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七十五、农林水支出(类)农业农村(款)农业生态资源保护(项)</w:t>
      </w:r>
      <w:r>
        <w:rPr>
          <w:rFonts w:ascii="仿宋" w:hAnsi="仿宋" w:cs="仿宋" w:eastAsia="仿宋"/>
          <w:b w:val="true"/>
        </w:rPr>
        <w:t>：</w:t>
      </w:r>
      <w:r>
        <w:rPr>
          <w:rFonts w:hint="eastAsia" w:ascii="仿宋" w:hAnsi="仿宋" w:eastAsia="仿宋" w:cs="仿宋"/>
        </w:rPr>
        <w:t>反映用于草原草场利用，渔业水域资源环境保护，农业品种改良提升，以及农业生物资源调查收集、鉴定评价、保存利用等方面的支出。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七十六、农林水支出(类)农业农村(款)乡村道路建设(项)</w:t>
      </w:r>
      <w:r>
        <w:rPr>
          <w:rFonts w:ascii="仿宋" w:hAnsi="仿宋" w:cs="仿宋" w:eastAsia="仿宋"/>
          <w:b w:val="true"/>
        </w:rPr>
        <w:t>：</w:t>
      </w:r>
      <w:r>
        <w:rPr>
          <w:rFonts w:hint="eastAsia" w:ascii="仿宋" w:hAnsi="仿宋" w:eastAsia="仿宋" w:cs="仿宋"/>
        </w:rPr>
        <w:t>反映用于乡村内街巷和农田间机耕道建设等方面的支出。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七十七、农林水支出(类)农业农村(款)其他农业农村支出(项)</w:t>
      </w:r>
      <w:r>
        <w:rPr>
          <w:rFonts w:ascii="仿宋" w:hAnsi="仿宋" w:cs="仿宋" w:eastAsia="仿宋"/>
          <w:b w:val="true"/>
        </w:rPr>
        <w:t>：</w:t>
      </w:r>
      <w:r>
        <w:rPr>
          <w:rFonts w:hint="eastAsia" w:ascii="仿宋" w:hAnsi="仿宋" w:eastAsia="仿宋" w:cs="仿宋"/>
        </w:rPr>
        <w:t>反映除上述项目以外其他用于农业农村方面的支出。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七十八、农林水支出(类)林业和草原(款)森林生态效益补偿(项)</w:t>
      </w:r>
      <w:r>
        <w:rPr>
          <w:rFonts w:ascii="仿宋" w:hAnsi="仿宋" w:cs="仿宋" w:eastAsia="仿宋"/>
          <w:b w:val="true"/>
        </w:rPr>
        <w:t>：</w:t>
      </w:r>
      <w:r>
        <w:rPr>
          <w:rFonts w:hint="eastAsia" w:ascii="仿宋" w:hAnsi="仿宋" w:eastAsia="仿宋" w:cs="仿宋"/>
        </w:rPr>
        <w:t>反映用于公益林保护和管理方面的支出。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七十九、农林水支出(类)林业和草原(款)其他林业和草原支出(项)</w:t>
      </w:r>
      <w:r>
        <w:rPr>
          <w:rFonts w:ascii="仿宋" w:hAnsi="仿宋" w:cs="仿宋" w:eastAsia="仿宋"/>
          <w:b w:val="true"/>
        </w:rPr>
        <w:t>：</w:t>
      </w:r>
      <w:r>
        <w:rPr>
          <w:rFonts w:hint="eastAsia" w:ascii="仿宋" w:hAnsi="仿宋" w:eastAsia="仿宋" w:cs="仿宋"/>
        </w:rPr>
        <w:t>反映除上述项目以外其他用于林业和草原方面的支出。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八十、农林水支出(类)水利(款)水利工程运行与维护(项)</w:t>
      </w:r>
      <w:r>
        <w:rPr>
          <w:rFonts w:ascii="仿宋" w:hAnsi="仿宋" w:cs="仿宋" w:eastAsia="仿宋"/>
          <w:b w:val="true"/>
        </w:rPr>
        <w:t>：</w:t>
      </w:r>
      <w:r>
        <w:rPr>
          <w:rFonts w:hint="eastAsia" w:ascii="仿宋" w:hAnsi="仿宋" w:eastAsia="仿宋" w:cs="仿宋"/>
        </w:rPr>
        <w:t>反映水利系统用于江、河、湖、滩等治理工程运行与维护方面的支出，以及纳入预算管理的水利工程管理单位的支出。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八十一、农林水支出(类)水利(款)防汛(项)</w:t>
      </w:r>
      <w:r>
        <w:rPr>
          <w:rFonts w:ascii="仿宋" w:hAnsi="仿宋" w:cs="仿宋" w:eastAsia="仿宋"/>
          <w:b w:val="true"/>
        </w:rPr>
        <w:t>：</w:t>
      </w:r>
      <w:r>
        <w:rPr>
          <w:rFonts w:hint="eastAsia" w:ascii="仿宋" w:hAnsi="仿宋" w:eastAsia="仿宋" w:cs="仿宋"/>
        </w:rPr>
        <w:t>反映防汛业务支出。有关事项包括防汛物资购置管护，防汛通信设施设备、网络系统、车船设备运行维护，防汛值班、水情报汛、防汛指挥系统运行维护、水毁修复以及防汛组织(如防汛预案编制、检查、演习、宣传、会议等)，汛期调用民工及劳动保护，水利设施灾后重建，退田还湖，蓄滞洪区补偿、水情、雨情、决策支持，防汛视频会商，应急度汛，山洪灾害防治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八十二、农林水支出(类)普惠金融发展支出(款)农业保险保费补贴(项)</w:t>
      </w:r>
      <w:r>
        <w:rPr>
          <w:rFonts w:ascii="仿宋" w:hAnsi="仿宋" w:cs="仿宋" w:eastAsia="仿宋"/>
          <w:b w:val="true"/>
        </w:rPr>
        <w:t>：</w:t>
      </w:r>
      <w:r>
        <w:rPr>
          <w:rFonts w:hint="eastAsia" w:ascii="仿宋" w:hAnsi="仿宋" w:eastAsia="仿宋" w:cs="仿宋"/>
        </w:rPr>
        <w:t>反映对农民或农业生产经营组织投保农业保险给予的补贴。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八十三、交通运输支出(类)公路水路运输(款)其他公路水路运输支出(项)</w:t>
      </w:r>
      <w:r>
        <w:rPr>
          <w:rFonts w:ascii="仿宋" w:hAnsi="仿宋" w:cs="仿宋" w:eastAsia="仿宋"/>
          <w:b w:val="true"/>
        </w:rPr>
        <w:t>：</w:t>
      </w:r>
      <w:r>
        <w:rPr>
          <w:rFonts w:hint="eastAsia" w:ascii="仿宋" w:hAnsi="仿宋" w:eastAsia="仿宋" w:cs="仿宋"/>
        </w:rPr>
        <w:t>反映除上述项目以外其他用于公路水路运输方面的支出。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八十四、住房保障支出(类)住房改革支出(款)住房公积金(项)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八十五、住房保障支出(类)住房改革支出(款)提租补贴(项)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八十六、住房保障支出(类)住房改革支出(款)购房补贴(项)</w:t>
      </w:r>
      <w:r>
        <w:rPr>
          <w:rFonts w:ascii="仿宋" w:hAnsi="仿宋" w:cs="仿宋" w:eastAsia="仿宋"/>
          <w:b w:val="true"/>
        </w:rPr>
        <w:t>：</w:t>
      </w:r>
      <w:r>
        <w:rPr>
          <w:rFonts w:hint="eastAsia" w:ascii="仿宋" w:hAnsi="仿宋" w:eastAsia="仿宋" w:cs="仿宋"/>
        </w:rPr>
        <w:t>反映按房改政策规定，行政事业单位向符合条件职工（含离退休人员）、军队(含武警)向转役复员离退休人员发放的用于购买住房的补贴。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八十七、灾害防治及应急管理支出(类)应急管理事务(款)灾害风险防治(项)</w:t>
      </w:r>
      <w:r>
        <w:rPr>
          <w:rFonts w:ascii="仿宋" w:hAnsi="仿宋" w:cs="仿宋" w:eastAsia="仿宋"/>
          <w:b w:val="true"/>
        </w:rPr>
        <w:t>：</w:t>
      </w:r>
      <w:r>
        <w:rPr>
          <w:rFonts w:hint="eastAsia" w:ascii="仿宋" w:hAnsi="仿宋" w:eastAsia="仿宋" w:cs="仿宋"/>
        </w:rPr>
        <w:t>反映组织、指导、协调各类风险灾害防范治理方面的支出。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八十八、预备费(类)</w:t>
      </w:r>
      <w:r>
        <w:rPr>
          <w:rFonts w:ascii="仿宋" w:hAnsi="仿宋" w:cs="仿宋" w:eastAsia="仿宋"/>
          <w:b w:val="true"/>
        </w:rPr>
        <w:t>：</w:t>
      </w:r>
      <w:r>
        <w:rPr>
          <w:rFonts w:hint="eastAsia" w:ascii="仿宋" w:hAnsi="仿宋" w:eastAsia="仿宋" w:cs="仿宋"/>
        </w:rPr>
        <w:t>反映预算中安排的预备费。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八十九、其他支出(类)其他支出(款)其他支出(项)</w:t>
      </w:r>
      <w:r>
        <w:rPr>
          <w:rFonts w:ascii="仿宋" w:hAnsi="仿宋" w:cs="仿宋" w:eastAsia="仿宋"/>
          <w:b w:val="true"/>
        </w:rPr>
        <w:t>：</w:t>
      </w:r>
      <w:r>
        <w:rPr>
          <w:rFonts w:hint="eastAsia" w:ascii="仿宋" w:hAnsi="仿宋" w:eastAsia="仿宋" w:cs="仿宋"/>
        </w:rPr>
        <w:t>反映除上述项目以外其他不能划分到具体功能科目中的支出项目。</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九十、债务付息支出(类)地方政府一般债务付息支出(款)地方政府一般债券付息支出(项)</w:t>
      </w:r>
      <w:r>
        <w:rPr>
          <w:rFonts w:ascii="仿宋" w:hAnsi="仿宋" w:cs="仿宋" w:eastAsia="仿宋"/>
          <w:b w:val="true"/>
        </w:rPr>
        <w:t>：</w:t>
      </w:r>
      <w:r>
        <w:rPr>
          <w:rFonts w:hint="eastAsia" w:ascii="仿宋" w:hAnsi="仿宋" w:eastAsia="仿宋" w:cs="仿宋"/>
        </w:rPr>
        <w:t>反映地方政府用于归还一般债券利息所发生的支出。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九十一、债务付息支出(类)地方政府专项债务付息支出(款)国有土地使用权出让金债务付息支出(项)</w:t>
      </w:r>
      <w:r>
        <w:rPr>
          <w:rFonts w:ascii="仿宋" w:hAnsi="仿宋" w:cs="仿宋" w:eastAsia="仿宋"/>
          <w:b w:val="true"/>
        </w:rPr>
        <w:t>：</w:t>
      </w:r>
      <w:r>
        <w:rPr>
          <w:rFonts w:hint="eastAsia" w:ascii="仿宋" w:hAnsi="仿宋" w:eastAsia="仿宋" w:cs="仿宋"/>
        </w:rPr>
        <w:t>反映地方政府以国有土地使用权出让金安排的专项债务付息支出。土地储备专项债券付息支出不在此科目反映。</w:t>
      </w:r>
    </w:p>
    <w:sectPr>
      <w:pgSz w:w="11906" w:h="16838"/>
      <w:pgMar w:top="1580" w:right="820" w:bottom="770" w:left="822"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7" o:spid="_x0000_s410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8" o:spid="_x0000_s4108"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江阴高新技术产业开发区</w:t>
    </w:r>
    <w:r>
      <w:t>2024</w:t>
    </w:r>
    <w:r>
      <w:t>年度</w:t>
    </w:r>
    <w:r>
      <w:t>部门</w:t>
    </w:r>
    <w:r>
      <w:t>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footer14.xml" Type="http://schemas.openxmlformats.org/officeDocument/2006/relationships/footer"/><Relationship Id="rId2" Target="settings.xml" Type="http://schemas.openxmlformats.org/officeDocument/2006/relationships/settings"/><Relationship Id="rId20" Target="footer15.xml" Type="http://schemas.openxmlformats.org/officeDocument/2006/relationships/footer"/><Relationship Id="rId21" Target="theme/theme1.xml" Type="http://schemas.openxmlformats.org/officeDocument/2006/relationships/theme"/><Relationship Id="rId22" Target="../customXml/item1.xml" Type="http://schemas.openxmlformats.org/officeDocument/2006/relationships/customXml"/><Relationship Id="rId23" Target="fontTable.xml" Type="http://schemas.openxmlformats.org/officeDocument/2006/relationships/fontTable"/><Relationship Id="rId24" Target="media/image1.jpeg" Type="http://schemas.openxmlformats.org/officeDocument/2006/relationships/image"/><Relationship Id="rId25"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07" textRotate="1"/>
    <customShpInfo spid="_x0000_s4108"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6439</Characters>
  <Paragraphs>501</Paragraphs>
  <TotalTime>2</TotalTime>
  <ScaleCrop>false</ScaleCrop>
  <LinksUpToDate>false</LinksUpToDate>
  <CharactersWithSpaces>6456</CharactersWithSpaces>
  <Application>WPS Office_12.1.0.15066_F1E327BC-269C-435d-A152-05C5408002CA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Tree Know</cp:lastModifiedBy>
  <dcterms:modified xsi:type="dcterms:W3CDTF">2024-01-15T14:22:54Z</dcterms:modified>
  <cp:revision>175</cp:revision>
  <dc:title>部门预算公开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2052-12.1.0.15066</vt:lpwstr>
  </property>
  <property fmtid="{D5CDD505-2E9C-101B-9397-08002B2CF9AE}" pid="6" name="LastSaved">
    <vt:filetime>2021-04-15T00:00:00Z</vt:filetime>
  </property>
</Properties>
</file>