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63FE" w:rsidRDefault="00CD49A3">
      <w:pPr>
        <w:spacing w:line="0" w:lineRule="atLeas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eastAsia="方正小标宋_GBK" w:hint="eastAsia"/>
          <w:color w:val="000000"/>
          <w:sz w:val="44"/>
          <w:szCs w:val="44"/>
        </w:rPr>
        <w:t>关于江阴高新区</w:t>
      </w:r>
      <w:r>
        <w:rPr>
          <w:rFonts w:eastAsia="方正小标宋_GBK" w:hint="eastAsia"/>
          <w:color w:val="000000"/>
          <w:sz w:val="44"/>
          <w:szCs w:val="44"/>
        </w:rPr>
        <w:t>2023</w:t>
      </w:r>
      <w:r>
        <w:rPr>
          <w:rFonts w:eastAsia="方正小标宋_GBK" w:hint="eastAsia"/>
          <w:color w:val="000000"/>
          <w:sz w:val="44"/>
          <w:szCs w:val="44"/>
        </w:rPr>
        <w:t>年财政预算</w:t>
      </w:r>
    </w:p>
    <w:p w:rsidR="005E63FE" w:rsidRDefault="00CD49A3">
      <w:pPr>
        <w:spacing w:line="0" w:lineRule="atLeas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eastAsia="方正小标宋_GBK" w:hint="eastAsia"/>
          <w:color w:val="000000"/>
          <w:sz w:val="44"/>
          <w:szCs w:val="44"/>
        </w:rPr>
        <w:t>执行情况和</w:t>
      </w:r>
      <w:r>
        <w:rPr>
          <w:rFonts w:eastAsia="方正小标宋_GBK" w:hint="eastAsia"/>
          <w:color w:val="000000"/>
          <w:sz w:val="44"/>
          <w:szCs w:val="44"/>
        </w:rPr>
        <w:t>2024</w:t>
      </w:r>
      <w:r>
        <w:rPr>
          <w:rFonts w:eastAsia="方正小标宋_GBK" w:hint="eastAsia"/>
          <w:color w:val="000000"/>
          <w:sz w:val="44"/>
          <w:szCs w:val="44"/>
        </w:rPr>
        <w:t>年财政预算草案的报告</w:t>
      </w:r>
    </w:p>
    <w:p w:rsidR="005E63FE" w:rsidRPr="008B63A2" w:rsidRDefault="008832BB">
      <w:pPr>
        <w:overflowPunct w:val="0"/>
        <w:rPr>
          <w:color w:val="000000"/>
          <w:sz w:val="28"/>
          <w:szCs w:val="28"/>
        </w:rPr>
      </w:pPr>
      <w:r>
        <w:rPr>
          <w:color w:val="000000"/>
          <w:szCs w:val="32"/>
        </w:rPr>
        <w:t>—</w:t>
      </w:r>
      <w:r w:rsidR="0022143A" w:rsidRPr="008832BB">
        <w:rPr>
          <w:rFonts w:eastAsia="楷体"/>
          <w:sz w:val="30"/>
          <w:szCs w:val="30"/>
        </w:rPr>
        <w:t xml:space="preserve">2024 </w:t>
      </w:r>
      <w:r w:rsidR="0022143A" w:rsidRPr="008832BB">
        <w:rPr>
          <w:rFonts w:eastAsia="楷体"/>
          <w:sz w:val="30"/>
          <w:szCs w:val="30"/>
        </w:rPr>
        <w:t>年</w:t>
      </w:r>
      <w:r w:rsidR="0022143A" w:rsidRPr="008832BB">
        <w:rPr>
          <w:rFonts w:eastAsia="楷体"/>
          <w:sz w:val="30"/>
          <w:szCs w:val="30"/>
        </w:rPr>
        <w:t>1</w:t>
      </w:r>
      <w:r w:rsidR="0022143A" w:rsidRPr="008832BB">
        <w:rPr>
          <w:rFonts w:eastAsia="楷体"/>
          <w:sz w:val="30"/>
          <w:szCs w:val="30"/>
        </w:rPr>
        <w:t>月</w:t>
      </w:r>
      <w:r w:rsidR="004771A6">
        <w:rPr>
          <w:rFonts w:eastAsia="楷体"/>
          <w:sz w:val="30"/>
          <w:szCs w:val="30"/>
        </w:rPr>
        <w:t>10</w:t>
      </w:r>
      <w:r w:rsidR="0022143A" w:rsidRPr="008832BB">
        <w:rPr>
          <w:rFonts w:eastAsia="楷体"/>
          <w:sz w:val="30"/>
          <w:szCs w:val="30"/>
        </w:rPr>
        <w:t>日在江阴市第十八届人民代表大会第三次会议上</w:t>
      </w:r>
    </w:p>
    <w:p w:rsidR="00314C95" w:rsidRPr="00052F1C" w:rsidRDefault="00314C95">
      <w:pPr>
        <w:overflowPunct w:val="0"/>
        <w:rPr>
          <w:rFonts w:cs="方正楷体_GBK"/>
          <w:color w:val="000000"/>
          <w:szCs w:val="32"/>
        </w:rPr>
      </w:pPr>
    </w:p>
    <w:p w:rsidR="005E63FE" w:rsidRPr="008B63A2" w:rsidRDefault="00052F1C">
      <w:pPr>
        <w:overflowPunct w:val="0"/>
        <w:rPr>
          <w:rFonts w:ascii="楷体" w:eastAsia="楷体" w:hAnsi="楷体" w:cs="方正楷体_GBK"/>
          <w:color w:val="000000"/>
          <w:szCs w:val="32"/>
        </w:rPr>
      </w:pPr>
      <w:r>
        <w:rPr>
          <w:rFonts w:ascii="楷体" w:eastAsia="楷体" w:hAnsi="楷体" w:cs="方正楷体_GBK" w:hint="eastAsia"/>
          <w:color w:val="000000"/>
          <w:szCs w:val="32"/>
        </w:rPr>
        <w:t>各位代表</w:t>
      </w:r>
      <w:r w:rsidR="00CD49A3" w:rsidRPr="008B63A2">
        <w:rPr>
          <w:rFonts w:ascii="楷体" w:eastAsia="楷体" w:hAnsi="楷体" w:cs="方正楷体_GBK" w:hint="eastAsia"/>
          <w:color w:val="000000"/>
          <w:szCs w:val="32"/>
        </w:rPr>
        <w:t>：</w:t>
      </w:r>
    </w:p>
    <w:p w:rsidR="005E63FE" w:rsidRDefault="00FC1779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现在向</w:t>
      </w:r>
      <w:r w:rsidR="001A667A">
        <w:rPr>
          <w:rFonts w:hint="eastAsia"/>
          <w:bCs/>
          <w:szCs w:val="32"/>
        </w:rPr>
        <w:t>大会</w:t>
      </w:r>
      <w:r>
        <w:rPr>
          <w:rFonts w:hint="eastAsia"/>
          <w:bCs/>
          <w:szCs w:val="32"/>
        </w:rPr>
        <w:t>报告江阴高新区</w:t>
      </w:r>
      <w:r>
        <w:rPr>
          <w:rFonts w:hint="eastAsia"/>
          <w:bCs/>
          <w:szCs w:val="32"/>
        </w:rPr>
        <w:t>2</w:t>
      </w:r>
      <w:r>
        <w:rPr>
          <w:bCs/>
          <w:szCs w:val="32"/>
        </w:rPr>
        <w:t>023</w:t>
      </w:r>
      <w:r>
        <w:rPr>
          <w:rFonts w:hint="eastAsia"/>
          <w:bCs/>
          <w:szCs w:val="32"/>
        </w:rPr>
        <w:t>年财政</w:t>
      </w:r>
      <w:r w:rsidR="008B63A2">
        <w:rPr>
          <w:rFonts w:hint="eastAsia"/>
          <w:bCs/>
          <w:szCs w:val="32"/>
        </w:rPr>
        <w:t>预算</w:t>
      </w:r>
      <w:r w:rsidR="000E7DF3">
        <w:rPr>
          <w:rFonts w:hint="eastAsia"/>
          <w:bCs/>
          <w:szCs w:val="32"/>
        </w:rPr>
        <w:t>执行情况和</w:t>
      </w:r>
      <w:r w:rsidR="000E7DF3">
        <w:rPr>
          <w:rFonts w:hint="eastAsia"/>
          <w:bCs/>
          <w:szCs w:val="32"/>
        </w:rPr>
        <w:t>2</w:t>
      </w:r>
      <w:r w:rsidR="000E7DF3">
        <w:rPr>
          <w:bCs/>
          <w:szCs w:val="32"/>
        </w:rPr>
        <w:t>024</w:t>
      </w:r>
      <w:r w:rsidR="000E7DF3">
        <w:rPr>
          <w:rFonts w:hint="eastAsia"/>
          <w:bCs/>
          <w:szCs w:val="32"/>
        </w:rPr>
        <w:t>年财政预算草案，请予审议。</w:t>
      </w:r>
    </w:p>
    <w:p w:rsidR="005E63FE" w:rsidRDefault="00CD49A3">
      <w:pPr>
        <w:overflowPunct w:val="0"/>
        <w:spacing w:beforeLines="30" w:before="173" w:afterLines="30" w:after="173"/>
        <w:jc w:val="center"/>
        <w:rPr>
          <w:rFonts w:eastAsia="方正楷体_GBK" w:hAnsi="方正楷体_GBK" w:cs="方正楷体_GBK"/>
          <w:sz w:val="36"/>
          <w:szCs w:val="36"/>
        </w:rPr>
      </w:pPr>
      <w:r>
        <w:rPr>
          <w:rFonts w:eastAsia="方正楷体_GBK" w:cs="方正楷体_GBK" w:hint="eastAsia"/>
          <w:sz w:val="36"/>
          <w:szCs w:val="36"/>
        </w:rPr>
        <w:t>2023</w:t>
      </w:r>
      <w:r w:rsidR="000E7DF3">
        <w:rPr>
          <w:rFonts w:eastAsia="方正楷体_GBK" w:hAnsi="方正楷体_GBK" w:cs="方正楷体_GBK" w:hint="eastAsia"/>
          <w:sz w:val="36"/>
          <w:szCs w:val="36"/>
        </w:rPr>
        <w:t>年财政</w:t>
      </w:r>
      <w:r w:rsidR="008B63A2">
        <w:rPr>
          <w:rFonts w:eastAsia="方正楷体_GBK" w:hAnsi="方正楷体_GBK" w:cs="方正楷体_GBK" w:hint="eastAsia"/>
          <w:sz w:val="36"/>
          <w:szCs w:val="36"/>
        </w:rPr>
        <w:t>预算</w:t>
      </w:r>
      <w:r>
        <w:rPr>
          <w:rFonts w:eastAsia="方正楷体_GBK" w:hAnsi="方正楷体_GBK" w:cs="方正楷体_GBK" w:hint="eastAsia"/>
          <w:sz w:val="36"/>
          <w:szCs w:val="36"/>
        </w:rPr>
        <w:t>执行情况</w:t>
      </w:r>
    </w:p>
    <w:p w:rsidR="00624233" w:rsidRDefault="00624233" w:rsidP="00624233">
      <w:pPr>
        <w:overflowPunct w:val="0"/>
        <w:spacing w:beforeLines="30" w:before="173" w:afterLines="30" w:after="173"/>
        <w:ind w:firstLineChars="200" w:firstLine="603"/>
        <w:rPr>
          <w:rFonts w:eastAsia="方正楷体_GBK" w:cs="方正楷体_GBK"/>
          <w:sz w:val="36"/>
          <w:szCs w:val="36"/>
        </w:rPr>
      </w:pPr>
      <w:r>
        <w:rPr>
          <w:rFonts w:hint="eastAsia"/>
          <w:bCs/>
          <w:szCs w:val="32"/>
        </w:rPr>
        <w:t>2023</w:t>
      </w:r>
      <w:r>
        <w:rPr>
          <w:rFonts w:hint="eastAsia"/>
          <w:bCs/>
          <w:szCs w:val="32"/>
        </w:rPr>
        <w:t>年以来，在市委市政府的坚强领导下，在市人大的监督支持下，高新区紧紧围绕全年重点工作目标要求，充分发挥财政职能，兜牢兜实“三保”底线，为园区高质量发展提供了财政支撑。</w:t>
      </w:r>
    </w:p>
    <w:p w:rsidR="005E63FE" w:rsidRDefault="00CD49A3">
      <w:pPr>
        <w:numPr>
          <w:ilvl w:val="0"/>
          <w:numId w:val="1"/>
        </w:numPr>
        <w:overflowPunct w:val="0"/>
        <w:ind w:firstLineChars="200" w:firstLine="603"/>
        <w:rPr>
          <w:rFonts w:eastAsia="方正黑体_GBK" w:cs="黑体"/>
          <w:bCs/>
          <w:szCs w:val="32"/>
        </w:rPr>
      </w:pPr>
      <w:r>
        <w:rPr>
          <w:rFonts w:eastAsia="方正黑体_GBK" w:cs="黑体" w:hint="eastAsia"/>
          <w:bCs/>
          <w:szCs w:val="32"/>
        </w:rPr>
        <w:t>一般公共预算完成情况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2023</w:t>
      </w:r>
      <w:r>
        <w:rPr>
          <w:rFonts w:hint="eastAsia"/>
          <w:bCs/>
          <w:szCs w:val="32"/>
        </w:rPr>
        <w:t>年，高新区一般公共预算收入完成</w:t>
      </w:r>
      <w:r>
        <w:rPr>
          <w:rFonts w:hint="eastAsia"/>
          <w:bCs/>
          <w:szCs w:val="32"/>
        </w:rPr>
        <w:t>36.88</w:t>
      </w:r>
      <w:r>
        <w:rPr>
          <w:rFonts w:hint="eastAsia"/>
          <w:bCs/>
          <w:szCs w:val="32"/>
        </w:rPr>
        <w:t>亿元，完成年初预算的</w:t>
      </w:r>
      <w:r>
        <w:rPr>
          <w:rFonts w:hint="eastAsia"/>
          <w:bCs/>
          <w:szCs w:val="32"/>
        </w:rPr>
        <w:t>101.14%</w:t>
      </w:r>
      <w:r>
        <w:rPr>
          <w:rFonts w:hint="eastAsia"/>
          <w:bCs/>
          <w:szCs w:val="32"/>
        </w:rPr>
        <w:t>，增长</w:t>
      </w:r>
      <w:r>
        <w:rPr>
          <w:rFonts w:hint="eastAsia"/>
          <w:bCs/>
          <w:szCs w:val="32"/>
        </w:rPr>
        <w:t>17.9%</w:t>
      </w:r>
      <w:r>
        <w:rPr>
          <w:rFonts w:hint="eastAsia"/>
          <w:bCs/>
          <w:szCs w:val="32"/>
        </w:rPr>
        <w:t>，其中：税收收入</w:t>
      </w:r>
      <w:r>
        <w:rPr>
          <w:rFonts w:hint="eastAsia"/>
          <w:bCs/>
          <w:szCs w:val="32"/>
        </w:rPr>
        <w:t>35.18</w:t>
      </w:r>
      <w:r>
        <w:rPr>
          <w:rFonts w:hint="eastAsia"/>
          <w:bCs/>
          <w:szCs w:val="32"/>
        </w:rPr>
        <w:t>亿元，完成年初预算的</w:t>
      </w:r>
      <w:r>
        <w:rPr>
          <w:rFonts w:hint="eastAsia"/>
          <w:bCs/>
          <w:szCs w:val="32"/>
        </w:rPr>
        <w:t>100.96%</w:t>
      </w:r>
      <w:r>
        <w:rPr>
          <w:rFonts w:hint="eastAsia"/>
          <w:bCs/>
          <w:szCs w:val="32"/>
        </w:rPr>
        <w:t>，增长</w:t>
      </w:r>
      <w:r>
        <w:rPr>
          <w:rFonts w:hint="eastAsia"/>
          <w:bCs/>
          <w:szCs w:val="32"/>
        </w:rPr>
        <w:t>18.09%</w:t>
      </w:r>
      <w:r>
        <w:rPr>
          <w:rFonts w:hint="eastAsia"/>
          <w:bCs/>
          <w:szCs w:val="32"/>
        </w:rPr>
        <w:t>，占一般公共预算收入比重为</w:t>
      </w:r>
      <w:r>
        <w:rPr>
          <w:rFonts w:hint="eastAsia"/>
          <w:bCs/>
          <w:szCs w:val="32"/>
        </w:rPr>
        <w:t>95.39%</w:t>
      </w:r>
      <w:r>
        <w:rPr>
          <w:rFonts w:hint="eastAsia"/>
          <w:bCs/>
          <w:szCs w:val="32"/>
        </w:rPr>
        <w:t>。高新区一般公共预算支出完成</w:t>
      </w:r>
      <w:r>
        <w:rPr>
          <w:rFonts w:hint="eastAsia"/>
          <w:bCs/>
          <w:szCs w:val="32"/>
        </w:rPr>
        <w:t>20.85</w:t>
      </w:r>
      <w:r>
        <w:rPr>
          <w:rFonts w:hint="eastAsia"/>
          <w:bCs/>
          <w:szCs w:val="32"/>
        </w:rPr>
        <w:t>亿元，完成年初预算的</w:t>
      </w:r>
      <w:r>
        <w:rPr>
          <w:rFonts w:hint="eastAsia"/>
          <w:bCs/>
          <w:szCs w:val="32"/>
        </w:rPr>
        <w:t>102.85%</w:t>
      </w:r>
      <w:r>
        <w:rPr>
          <w:rFonts w:hint="eastAsia"/>
          <w:bCs/>
          <w:szCs w:val="32"/>
        </w:rPr>
        <w:t>，下降</w:t>
      </w:r>
      <w:r>
        <w:rPr>
          <w:rFonts w:hint="eastAsia"/>
          <w:bCs/>
          <w:szCs w:val="32"/>
        </w:rPr>
        <w:t>13.51%</w:t>
      </w:r>
      <w:r>
        <w:rPr>
          <w:rFonts w:hint="eastAsia"/>
          <w:bCs/>
          <w:szCs w:val="32"/>
        </w:rPr>
        <w:t>。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2023</w:t>
      </w:r>
      <w:r>
        <w:rPr>
          <w:rFonts w:hint="eastAsia"/>
          <w:bCs/>
          <w:szCs w:val="32"/>
        </w:rPr>
        <w:t>年一般公共预算收入</w:t>
      </w:r>
      <w:r>
        <w:rPr>
          <w:rFonts w:hint="eastAsia"/>
          <w:bCs/>
          <w:szCs w:val="32"/>
        </w:rPr>
        <w:t>36.88</w:t>
      </w:r>
      <w:r>
        <w:rPr>
          <w:rFonts w:hint="eastAsia"/>
          <w:bCs/>
          <w:szCs w:val="32"/>
        </w:rPr>
        <w:t>亿元，加上上级补助收入</w:t>
      </w:r>
      <w:r>
        <w:rPr>
          <w:rFonts w:hint="eastAsia"/>
          <w:bCs/>
          <w:szCs w:val="32"/>
        </w:rPr>
        <w:t>2.38</w:t>
      </w:r>
      <w:r>
        <w:rPr>
          <w:rFonts w:hint="eastAsia"/>
          <w:bCs/>
          <w:szCs w:val="32"/>
        </w:rPr>
        <w:t>亿元、债务转贷收入</w:t>
      </w:r>
      <w:r>
        <w:rPr>
          <w:rFonts w:hint="eastAsia"/>
          <w:bCs/>
          <w:szCs w:val="32"/>
        </w:rPr>
        <w:t>0.3</w:t>
      </w:r>
      <w:r>
        <w:rPr>
          <w:rFonts w:hint="eastAsia"/>
          <w:bCs/>
          <w:szCs w:val="32"/>
        </w:rPr>
        <w:t>亿元，高新区一般公共预算总收入为</w:t>
      </w:r>
      <w:r>
        <w:rPr>
          <w:rFonts w:hint="eastAsia"/>
          <w:bCs/>
          <w:szCs w:val="32"/>
        </w:rPr>
        <w:t>39.56</w:t>
      </w:r>
      <w:r>
        <w:rPr>
          <w:rFonts w:hint="eastAsia"/>
          <w:bCs/>
          <w:szCs w:val="32"/>
        </w:rPr>
        <w:lastRenderedPageBreak/>
        <w:t>亿元。一般公共预算支出完成</w:t>
      </w:r>
      <w:r>
        <w:rPr>
          <w:rFonts w:hint="eastAsia"/>
          <w:bCs/>
          <w:szCs w:val="32"/>
        </w:rPr>
        <w:t>20.85</w:t>
      </w:r>
      <w:r>
        <w:rPr>
          <w:rFonts w:hint="eastAsia"/>
          <w:bCs/>
          <w:szCs w:val="32"/>
        </w:rPr>
        <w:t>亿元，债务还本支出</w:t>
      </w:r>
      <w:r>
        <w:rPr>
          <w:rFonts w:hint="eastAsia"/>
          <w:bCs/>
          <w:szCs w:val="32"/>
        </w:rPr>
        <w:t>0.3</w:t>
      </w:r>
      <w:r>
        <w:rPr>
          <w:rFonts w:hint="eastAsia"/>
          <w:bCs/>
          <w:szCs w:val="32"/>
        </w:rPr>
        <w:t>亿元，上解上级支出</w:t>
      </w:r>
      <w:r>
        <w:rPr>
          <w:rFonts w:hint="eastAsia"/>
          <w:bCs/>
          <w:szCs w:val="32"/>
        </w:rPr>
        <w:t>18.41</w:t>
      </w:r>
      <w:r>
        <w:rPr>
          <w:rFonts w:hint="eastAsia"/>
          <w:bCs/>
          <w:szCs w:val="32"/>
        </w:rPr>
        <w:t>亿元，一般公共预算总支出为</w:t>
      </w:r>
      <w:r>
        <w:rPr>
          <w:rFonts w:hint="eastAsia"/>
          <w:bCs/>
          <w:szCs w:val="32"/>
        </w:rPr>
        <w:t>39.56</w:t>
      </w:r>
      <w:r>
        <w:rPr>
          <w:rFonts w:hint="eastAsia"/>
          <w:bCs/>
          <w:szCs w:val="32"/>
        </w:rPr>
        <w:t>亿元，当年一般公共预算收支平衡。</w:t>
      </w:r>
    </w:p>
    <w:p w:rsidR="005E63FE" w:rsidRDefault="00CD49A3">
      <w:pPr>
        <w:overflowPunct w:val="0"/>
        <w:ind w:firstLineChars="200" w:firstLine="603"/>
        <w:rPr>
          <w:rFonts w:eastAsia="方正黑体_GBK" w:cs="黑体"/>
          <w:bCs/>
          <w:szCs w:val="32"/>
        </w:rPr>
      </w:pPr>
      <w:r>
        <w:rPr>
          <w:rFonts w:eastAsia="方正黑体_GBK" w:cs="黑体" w:hint="eastAsia"/>
          <w:bCs/>
          <w:szCs w:val="32"/>
        </w:rPr>
        <w:t>二、政府性基金预算完成情况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高新区政府性基金收入完成</w:t>
      </w:r>
      <w:r>
        <w:rPr>
          <w:rFonts w:hint="eastAsia"/>
          <w:bCs/>
          <w:szCs w:val="32"/>
        </w:rPr>
        <w:t>12.33</w:t>
      </w:r>
      <w:r>
        <w:rPr>
          <w:rFonts w:hint="eastAsia"/>
          <w:bCs/>
          <w:szCs w:val="32"/>
        </w:rPr>
        <w:t>亿元，完成调整预算的</w:t>
      </w:r>
      <w:r>
        <w:rPr>
          <w:rFonts w:hint="eastAsia"/>
          <w:bCs/>
          <w:szCs w:val="32"/>
        </w:rPr>
        <w:t>72.01%</w:t>
      </w:r>
      <w:r>
        <w:rPr>
          <w:rFonts w:hint="eastAsia"/>
          <w:bCs/>
          <w:szCs w:val="32"/>
        </w:rPr>
        <w:t>，加上上级补助收入</w:t>
      </w:r>
      <w:r>
        <w:rPr>
          <w:rFonts w:hint="eastAsia"/>
          <w:bCs/>
          <w:szCs w:val="32"/>
        </w:rPr>
        <w:t>0.29</w:t>
      </w:r>
      <w:r>
        <w:rPr>
          <w:rFonts w:hint="eastAsia"/>
          <w:bCs/>
          <w:szCs w:val="32"/>
        </w:rPr>
        <w:t>亿元、债务转贷收入</w:t>
      </w:r>
      <w:r>
        <w:rPr>
          <w:rFonts w:hint="eastAsia"/>
          <w:bCs/>
          <w:szCs w:val="32"/>
        </w:rPr>
        <w:t>2.5</w:t>
      </w:r>
      <w:r>
        <w:rPr>
          <w:rFonts w:hint="eastAsia"/>
          <w:bCs/>
          <w:szCs w:val="32"/>
        </w:rPr>
        <w:t>亿元，政府性基金总收入</w:t>
      </w:r>
      <w:r>
        <w:rPr>
          <w:rFonts w:hint="eastAsia"/>
          <w:bCs/>
          <w:szCs w:val="32"/>
        </w:rPr>
        <w:t>15.12</w:t>
      </w:r>
      <w:r>
        <w:rPr>
          <w:rFonts w:hint="eastAsia"/>
          <w:bCs/>
          <w:szCs w:val="32"/>
        </w:rPr>
        <w:t>亿元。政府性基金支出安排</w:t>
      </w:r>
      <w:r>
        <w:rPr>
          <w:rFonts w:hint="eastAsia"/>
          <w:bCs/>
          <w:szCs w:val="32"/>
        </w:rPr>
        <w:t>15.12</w:t>
      </w:r>
      <w:r>
        <w:rPr>
          <w:rFonts w:hint="eastAsia"/>
          <w:bCs/>
          <w:szCs w:val="32"/>
        </w:rPr>
        <w:t>亿元，当年政府性基金预算收支平衡。</w:t>
      </w:r>
    </w:p>
    <w:p w:rsidR="005E63FE" w:rsidRDefault="00CD49A3">
      <w:pPr>
        <w:overflowPunct w:val="0"/>
        <w:ind w:firstLineChars="200" w:firstLine="603"/>
        <w:rPr>
          <w:rFonts w:eastAsia="方正黑体_GBK"/>
          <w:bCs/>
          <w:szCs w:val="32"/>
        </w:rPr>
      </w:pPr>
      <w:r>
        <w:rPr>
          <w:rFonts w:eastAsia="方正黑体_GBK" w:hint="eastAsia"/>
          <w:bCs/>
          <w:szCs w:val="32"/>
        </w:rPr>
        <w:t>三、</w:t>
      </w:r>
      <w:r>
        <w:rPr>
          <w:rFonts w:eastAsia="方正黑体_GBK" w:hint="eastAsia"/>
          <w:bCs/>
          <w:szCs w:val="32"/>
        </w:rPr>
        <w:t>2023</w:t>
      </w:r>
      <w:r>
        <w:rPr>
          <w:rFonts w:eastAsia="方正黑体_GBK" w:hint="eastAsia"/>
          <w:bCs/>
          <w:szCs w:val="32"/>
        </w:rPr>
        <w:t>年财政预算执行工作重点</w:t>
      </w:r>
    </w:p>
    <w:p w:rsidR="005E63FE" w:rsidRDefault="00CD49A3">
      <w:pPr>
        <w:overflowPunct w:val="0"/>
        <w:ind w:firstLineChars="200" w:firstLine="603"/>
        <w:rPr>
          <w:szCs w:val="32"/>
        </w:rPr>
      </w:pPr>
      <w:r>
        <w:rPr>
          <w:rFonts w:eastAsia="方正楷体_GBK" w:hint="eastAsia"/>
          <w:bCs/>
          <w:szCs w:val="32"/>
        </w:rPr>
        <w:t>1</w:t>
      </w:r>
      <w:r>
        <w:rPr>
          <w:rFonts w:eastAsia="方正楷体_GBK" w:hint="eastAsia"/>
          <w:bCs/>
          <w:szCs w:val="32"/>
        </w:rPr>
        <w:t>、协税护费取得新进展。</w:t>
      </w:r>
      <w:r>
        <w:rPr>
          <w:rFonts w:hint="eastAsia"/>
          <w:szCs w:val="32"/>
        </w:rPr>
        <w:t>定期召开协护税会议，强化各部门间的协同联动，重点摸排个人股权转让、股票减持、股东分红、大额未分配利润对外支付、司法拍卖、破产清算以及盘活政府存量资源等一次性税源，核查基金公司和投资平台税源，及时协调组织入库。</w:t>
      </w:r>
    </w:p>
    <w:p w:rsidR="005E63FE" w:rsidRDefault="00CD49A3">
      <w:pPr>
        <w:overflowPunct w:val="0"/>
        <w:ind w:firstLineChars="200" w:firstLine="603"/>
        <w:rPr>
          <w:szCs w:val="32"/>
        </w:rPr>
      </w:pPr>
      <w:r>
        <w:rPr>
          <w:rFonts w:eastAsia="方正楷体_GBK" w:hint="eastAsia"/>
          <w:bCs/>
          <w:szCs w:val="32"/>
        </w:rPr>
        <w:t>2</w:t>
      </w:r>
      <w:r>
        <w:rPr>
          <w:rFonts w:eastAsia="方正楷体_GBK" w:hint="eastAsia"/>
          <w:bCs/>
          <w:szCs w:val="32"/>
        </w:rPr>
        <w:t>、资产盘活取得新成效。</w:t>
      </w:r>
      <w:r>
        <w:rPr>
          <w:rFonts w:hint="eastAsia"/>
          <w:szCs w:val="32"/>
        </w:rPr>
        <w:t>成功推动新一轮安置房拍卖，</w:t>
      </w:r>
      <w:r>
        <w:rPr>
          <w:rFonts w:hint="eastAsia"/>
          <w:szCs w:val="32"/>
        </w:rPr>
        <w:t>142</w:t>
      </w:r>
      <w:r>
        <w:rPr>
          <w:rFonts w:hint="eastAsia"/>
          <w:szCs w:val="32"/>
        </w:rPr>
        <w:t>套安置房拍卖</w:t>
      </w:r>
      <w:r>
        <w:rPr>
          <w:rFonts w:hint="eastAsia"/>
          <w:szCs w:val="32"/>
        </w:rPr>
        <w:t>9938</w:t>
      </w:r>
      <w:r>
        <w:rPr>
          <w:rFonts w:hint="eastAsia"/>
          <w:szCs w:val="32"/>
        </w:rPr>
        <w:t>万元；清理部分单位长期挂账往来款，盘活收入</w:t>
      </w:r>
      <w:r>
        <w:rPr>
          <w:rFonts w:hint="eastAsia"/>
          <w:szCs w:val="32"/>
        </w:rPr>
        <w:t>1.82</w:t>
      </w:r>
      <w:r>
        <w:rPr>
          <w:rFonts w:hint="eastAsia"/>
          <w:szCs w:val="32"/>
        </w:rPr>
        <w:t>亿元；依法推进国有资产租金催收工作，收回欠缴租金</w:t>
      </w:r>
      <w:r>
        <w:rPr>
          <w:rFonts w:hint="eastAsia"/>
          <w:szCs w:val="32"/>
        </w:rPr>
        <w:t>1520</w:t>
      </w:r>
      <w:r>
        <w:rPr>
          <w:rFonts w:hint="eastAsia"/>
          <w:szCs w:val="32"/>
        </w:rPr>
        <w:t>万元。通过有效盘活，唤醒了“沉睡”资产、资源、资金，拓展了收入来源。</w:t>
      </w:r>
    </w:p>
    <w:p w:rsidR="005E63FE" w:rsidRDefault="00CD49A3">
      <w:pPr>
        <w:overflowPunct w:val="0"/>
        <w:ind w:firstLineChars="200" w:firstLine="603"/>
        <w:rPr>
          <w:szCs w:val="32"/>
        </w:rPr>
      </w:pPr>
      <w:r>
        <w:rPr>
          <w:rFonts w:eastAsia="方正楷体_GBK" w:hint="eastAsia"/>
          <w:bCs/>
          <w:szCs w:val="32"/>
        </w:rPr>
        <w:t>3</w:t>
      </w:r>
      <w:r>
        <w:rPr>
          <w:rFonts w:eastAsia="方正楷体_GBK" w:hint="eastAsia"/>
          <w:bCs/>
          <w:szCs w:val="32"/>
        </w:rPr>
        <w:t>、股权投资基金取得新突破。</w:t>
      </w:r>
      <w:r>
        <w:rPr>
          <w:rFonts w:hint="eastAsia"/>
          <w:szCs w:val="32"/>
        </w:rPr>
        <w:t>出台新兴产业投资基金管理暂行办法，采用“母基金</w:t>
      </w:r>
      <w:r>
        <w:rPr>
          <w:rFonts w:hint="eastAsia"/>
          <w:szCs w:val="32"/>
        </w:rPr>
        <w:t>+</w:t>
      </w:r>
      <w:r>
        <w:rPr>
          <w:rFonts w:hint="eastAsia"/>
          <w:szCs w:val="32"/>
        </w:rPr>
        <w:t>子基金”运作模式，成功设立总规模</w:t>
      </w:r>
      <w:r>
        <w:rPr>
          <w:rFonts w:hint="eastAsia"/>
          <w:szCs w:val="32"/>
        </w:rPr>
        <w:t>30</w:t>
      </w:r>
      <w:r>
        <w:rPr>
          <w:rFonts w:hint="eastAsia"/>
          <w:szCs w:val="32"/>
        </w:rPr>
        <w:lastRenderedPageBreak/>
        <w:t>亿元的高新区新兴产业投资基金，设立总规模</w:t>
      </w:r>
      <w:r>
        <w:rPr>
          <w:rFonts w:hint="eastAsia"/>
          <w:szCs w:val="32"/>
        </w:rPr>
        <w:t>5</w:t>
      </w:r>
      <w:r>
        <w:rPr>
          <w:rFonts w:hint="eastAsia"/>
          <w:szCs w:val="32"/>
        </w:rPr>
        <w:t>亿元的</w:t>
      </w:r>
      <w:r w:rsidR="00511614">
        <w:rPr>
          <w:rFonts w:hint="eastAsia"/>
          <w:szCs w:val="32"/>
        </w:rPr>
        <w:t>澄创高新专项子基金。与知名基金公司合作，设立或参投清竹生命健康</w:t>
      </w:r>
      <w:r>
        <w:rPr>
          <w:rFonts w:hint="eastAsia"/>
          <w:szCs w:val="32"/>
        </w:rPr>
        <w:t>、临芯等基金，撬动更多社会资本投向集成电路、生物医药、新能源等战略新兴产业，推动科创企业、高新企业加速成长，培育经济新动能，重塑发展新优势。</w:t>
      </w:r>
    </w:p>
    <w:p w:rsidR="005E63FE" w:rsidRDefault="00CD49A3">
      <w:pPr>
        <w:overflowPunct w:val="0"/>
        <w:ind w:firstLineChars="200" w:firstLine="603"/>
        <w:rPr>
          <w:szCs w:val="32"/>
        </w:rPr>
      </w:pPr>
      <w:r>
        <w:rPr>
          <w:rFonts w:eastAsia="方正楷体_GBK" w:hint="eastAsia"/>
          <w:bCs/>
          <w:szCs w:val="32"/>
        </w:rPr>
        <w:t>4</w:t>
      </w:r>
      <w:r>
        <w:rPr>
          <w:rFonts w:eastAsia="方正楷体_GBK" w:hint="eastAsia"/>
          <w:bCs/>
          <w:szCs w:val="32"/>
        </w:rPr>
        <w:t>、财政管理迈上新台阶。</w:t>
      </w:r>
      <w:r>
        <w:rPr>
          <w:rFonts w:hint="eastAsia"/>
          <w:szCs w:val="32"/>
        </w:rPr>
        <w:t>完成科技创新、服务业载体管理、老小区改造等</w:t>
      </w:r>
      <w:r>
        <w:rPr>
          <w:rFonts w:hint="eastAsia"/>
          <w:szCs w:val="32"/>
        </w:rPr>
        <w:t>7</w:t>
      </w:r>
      <w:r>
        <w:rPr>
          <w:rFonts w:hint="eastAsia"/>
          <w:szCs w:val="32"/>
        </w:rPr>
        <w:t>个重点支出项目的绩效评价，</w:t>
      </w:r>
      <w:r w:rsidR="00030C71">
        <w:rPr>
          <w:rFonts w:hint="eastAsia"/>
          <w:szCs w:val="32"/>
        </w:rPr>
        <w:t>加快</w:t>
      </w:r>
      <w:r>
        <w:rPr>
          <w:rFonts w:hint="eastAsia"/>
          <w:szCs w:val="32"/>
        </w:rPr>
        <w:t>形成评价、反馈、整改、提升的良性循环；完成上级下达的年度化债任务，实现政府性债务规模、债务率“双下降”；深入排查业务风险点和廉政风险点，开展资金支付专项检查，制定有针对性的防控措施，在“三重一大”决策事项、部门（公司）用章审批及业务审批流程、财政资金存放、合同签订、采购内控等方面出台专门办法，理顺拆迁资金支付流程、工程和拆迁资金预算追加流程。</w:t>
      </w:r>
    </w:p>
    <w:p w:rsidR="005E63FE" w:rsidRDefault="00CD49A3">
      <w:pPr>
        <w:tabs>
          <w:tab w:val="left" w:pos="2996"/>
        </w:tabs>
        <w:overflowPunct w:val="0"/>
        <w:spacing w:beforeLines="30" w:before="173" w:afterLines="30" w:after="173"/>
        <w:jc w:val="center"/>
        <w:rPr>
          <w:rFonts w:eastAsia="方正楷体_GBK" w:cs="方正楷体_GBK"/>
          <w:bCs/>
          <w:color w:val="000000"/>
          <w:sz w:val="36"/>
          <w:szCs w:val="36"/>
        </w:rPr>
      </w:pPr>
      <w:r>
        <w:rPr>
          <w:rFonts w:eastAsia="方正楷体_GBK" w:cs="方正楷体_GBK" w:hint="eastAsia"/>
          <w:bCs/>
          <w:color w:val="000000"/>
          <w:sz w:val="36"/>
          <w:szCs w:val="36"/>
        </w:rPr>
        <w:t>2024</w:t>
      </w:r>
      <w:r>
        <w:rPr>
          <w:rFonts w:eastAsia="方正楷体_GBK" w:hAnsi="方正楷体_GBK" w:cs="方正楷体_GBK" w:hint="eastAsia"/>
          <w:bCs/>
          <w:color w:val="000000"/>
          <w:sz w:val="36"/>
          <w:szCs w:val="36"/>
        </w:rPr>
        <w:t>年财政预算草案</w:t>
      </w:r>
    </w:p>
    <w:p w:rsidR="005E63FE" w:rsidRDefault="00CD49A3">
      <w:pPr>
        <w:numPr>
          <w:ilvl w:val="0"/>
          <w:numId w:val="2"/>
        </w:numPr>
        <w:overflowPunct w:val="0"/>
        <w:ind w:firstLineChars="200" w:firstLine="603"/>
        <w:rPr>
          <w:rFonts w:eastAsia="方正黑体_GBK" w:cs="黑体"/>
          <w:bCs/>
          <w:szCs w:val="32"/>
        </w:rPr>
      </w:pPr>
      <w:r>
        <w:rPr>
          <w:rFonts w:eastAsia="方正黑体_GBK" w:cs="黑体" w:hint="eastAsia"/>
          <w:bCs/>
          <w:szCs w:val="32"/>
        </w:rPr>
        <w:t>一般公共预算草案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2024</w:t>
      </w:r>
      <w:r>
        <w:rPr>
          <w:rFonts w:hint="eastAsia"/>
          <w:bCs/>
          <w:szCs w:val="32"/>
        </w:rPr>
        <w:t>年一般公共预算收入安排</w:t>
      </w:r>
      <w:r>
        <w:rPr>
          <w:rFonts w:hint="eastAsia"/>
          <w:bCs/>
          <w:szCs w:val="32"/>
        </w:rPr>
        <w:t>38.73</w:t>
      </w:r>
      <w:r>
        <w:rPr>
          <w:rFonts w:hint="eastAsia"/>
          <w:bCs/>
          <w:szCs w:val="32"/>
        </w:rPr>
        <w:t>亿元，增长</w:t>
      </w:r>
      <w:r>
        <w:rPr>
          <w:rFonts w:hint="eastAsia"/>
          <w:bCs/>
          <w:szCs w:val="32"/>
        </w:rPr>
        <w:t>5%</w:t>
      </w:r>
      <w:r>
        <w:rPr>
          <w:rFonts w:hint="eastAsia"/>
          <w:bCs/>
          <w:szCs w:val="32"/>
        </w:rPr>
        <w:t>，税收占比</w:t>
      </w:r>
      <w:r>
        <w:rPr>
          <w:rFonts w:hint="eastAsia"/>
          <w:bCs/>
          <w:szCs w:val="32"/>
        </w:rPr>
        <w:t>95.53%</w:t>
      </w:r>
      <w:r>
        <w:rPr>
          <w:rFonts w:hint="eastAsia"/>
          <w:bCs/>
          <w:szCs w:val="32"/>
        </w:rPr>
        <w:t>。</w:t>
      </w:r>
      <w:r>
        <w:rPr>
          <w:rFonts w:hint="eastAsia"/>
          <w:bCs/>
          <w:szCs w:val="32"/>
        </w:rPr>
        <w:t>2024</w:t>
      </w:r>
      <w:r>
        <w:rPr>
          <w:rFonts w:hint="eastAsia"/>
          <w:bCs/>
          <w:szCs w:val="32"/>
        </w:rPr>
        <w:t>年一般公共预算支出安排</w:t>
      </w:r>
      <w:r>
        <w:rPr>
          <w:rFonts w:hint="eastAsia"/>
          <w:bCs/>
          <w:szCs w:val="32"/>
        </w:rPr>
        <w:t>23.25</w:t>
      </w:r>
      <w:r>
        <w:rPr>
          <w:rFonts w:hint="eastAsia"/>
          <w:bCs/>
          <w:szCs w:val="32"/>
        </w:rPr>
        <w:t>亿元，增长</w:t>
      </w:r>
      <w:r>
        <w:rPr>
          <w:rFonts w:hint="eastAsia"/>
          <w:bCs/>
          <w:szCs w:val="32"/>
        </w:rPr>
        <w:t>11.46%</w:t>
      </w:r>
      <w:r>
        <w:rPr>
          <w:rFonts w:hint="eastAsia"/>
          <w:bCs/>
          <w:szCs w:val="32"/>
        </w:rPr>
        <w:t>。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根据现行财政体制测算，</w:t>
      </w:r>
      <w:r>
        <w:rPr>
          <w:rFonts w:hint="eastAsia"/>
          <w:bCs/>
          <w:szCs w:val="32"/>
        </w:rPr>
        <w:t>2024</w:t>
      </w:r>
      <w:r>
        <w:rPr>
          <w:rFonts w:hint="eastAsia"/>
          <w:bCs/>
          <w:szCs w:val="32"/>
        </w:rPr>
        <w:t>年一般公共预算收入</w:t>
      </w:r>
      <w:r>
        <w:rPr>
          <w:rFonts w:hint="eastAsia"/>
          <w:bCs/>
          <w:szCs w:val="32"/>
        </w:rPr>
        <w:t>38.73</w:t>
      </w:r>
      <w:r>
        <w:rPr>
          <w:rFonts w:hint="eastAsia"/>
          <w:bCs/>
          <w:szCs w:val="32"/>
        </w:rPr>
        <w:t>亿元，加上上级补助收入</w:t>
      </w:r>
      <w:r>
        <w:rPr>
          <w:rFonts w:hint="eastAsia"/>
          <w:bCs/>
          <w:szCs w:val="32"/>
        </w:rPr>
        <w:t>0.5</w:t>
      </w:r>
      <w:r>
        <w:rPr>
          <w:rFonts w:hint="eastAsia"/>
          <w:bCs/>
          <w:szCs w:val="32"/>
        </w:rPr>
        <w:t>亿元、债务转贷收入</w:t>
      </w:r>
      <w:r>
        <w:rPr>
          <w:rFonts w:hint="eastAsia"/>
          <w:bCs/>
          <w:szCs w:val="32"/>
        </w:rPr>
        <w:t>2.44</w:t>
      </w:r>
      <w:r>
        <w:rPr>
          <w:rFonts w:hint="eastAsia"/>
          <w:bCs/>
          <w:szCs w:val="32"/>
        </w:rPr>
        <w:t>亿元，一般</w:t>
      </w:r>
      <w:r>
        <w:rPr>
          <w:rFonts w:hint="eastAsia"/>
          <w:bCs/>
          <w:szCs w:val="32"/>
        </w:rPr>
        <w:lastRenderedPageBreak/>
        <w:t>公共预算总收入</w:t>
      </w:r>
      <w:r>
        <w:rPr>
          <w:rFonts w:hint="eastAsia"/>
          <w:bCs/>
          <w:szCs w:val="32"/>
        </w:rPr>
        <w:t>41.67</w:t>
      </w:r>
      <w:r>
        <w:rPr>
          <w:rFonts w:hint="eastAsia"/>
          <w:bCs/>
          <w:szCs w:val="32"/>
        </w:rPr>
        <w:t>亿元。一般公共预算支出完成</w:t>
      </w:r>
      <w:r>
        <w:rPr>
          <w:rFonts w:hint="eastAsia"/>
          <w:bCs/>
          <w:szCs w:val="32"/>
        </w:rPr>
        <w:t>23.25</w:t>
      </w:r>
      <w:r>
        <w:rPr>
          <w:rFonts w:hint="eastAsia"/>
          <w:bCs/>
          <w:szCs w:val="32"/>
        </w:rPr>
        <w:t>亿元，债务还本支出</w:t>
      </w:r>
      <w:r>
        <w:rPr>
          <w:rFonts w:hint="eastAsia"/>
          <w:bCs/>
          <w:szCs w:val="32"/>
        </w:rPr>
        <w:t>2.44</w:t>
      </w:r>
      <w:r>
        <w:rPr>
          <w:rFonts w:hint="eastAsia"/>
          <w:bCs/>
          <w:szCs w:val="32"/>
        </w:rPr>
        <w:t>亿元，上解上级支出</w:t>
      </w:r>
      <w:r>
        <w:rPr>
          <w:rFonts w:hint="eastAsia"/>
          <w:bCs/>
          <w:szCs w:val="32"/>
        </w:rPr>
        <w:t>15.98</w:t>
      </w:r>
      <w:r>
        <w:rPr>
          <w:rFonts w:hint="eastAsia"/>
          <w:bCs/>
          <w:szCs w:val="32"/>
        </w:rPr>
        <w:t>亿元，高新区一般公共预算总支出</w:t>
      </w:r>
      <w:r>
        <w:rPr>
          <w:rFonts w:hint="eastAsia"/>
          <w:bCs/>
          <w:szCs w:val="32"/>
        </w:rPr>
        <w:t>41.67</w:t>
      </w:r>
      <w:r>
        <w:rPr>
          <w:rFonts w:hint="eastAsia"/>
          <w:bCs/>
          <w:szCs w:val="32"/>
        </w:rPr>
        <w:t>亿元，当年一般公共预算收支平衡。</w:t>
      </w:r>
    </w:p>
    <w:p w:rsidR="005E63FE" w:rsidRDefault="00CD49A3">
      <w:pPr>
        <w:numPr>
          <w:ilvl w:val="0"/>
          <w:numId w:val="2"/>
        </w:numPr>
        <w:overflowPunct w:val="0"/>
        <w:ind w:firstLineChars="200" w:firstLine="603"/>
        <w:rPr>
          <w:rFonts w:eastAsia="方正黑体_GBK" w:cs="黑体"/>
          <w:bCs/>
          <w:szCs w:val="32"/>
        </w:rPr>
      </w:pPr>
      <w:r>
        <w:rPr>
          <w:rFonts w:eastAsia="方正黑体_GBK" w:cs="黑体" w:hint="eastAsia"/>
          <w:bCs/>
          <w:szCs w:val="32"/>
        </w:rPr>
        <w:t>政府性基金预算草案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bCs/>
          <w:szCs w:val="32"/>
        </w:rPr>
        <w:t>2024</w:t>
      </w:r>
      <w:r>
        <w:rPr>
          <w:rFonts w:hint="eastAsia"/>
          <w:bCs/>
          <w:szCs w:val="32"/>
        </w:rPr>
        <w:t>年高新区政府性基金收入安排</w:t>
      </w:r>
      <w:r>
        <w:rPr>
          <w:rFonts w:hint="eastAsia"/>
          <w:bCs/>
          <w:szCs w:val="32"/>
        </w:rPr>
        <w:t>19.89</w:t>
      </w:r>
      <w:r>
        <w:rPr>
          <w:rFonts w:hint="eastAsia"/>
          <w:bCs/>
          <w:szCs w:val="32"/>
        </w:rPr>
        <w:t>亿元，加上上级补助收入</w:t>
      </w:r>
      <w:r>
        <w:rPr>
          <w:rFonts w:hint="eastAsia"/>
          <w:bCs/>
          <w:szCs w:val="32"/>
        </w:rPr>
        <w:t>0.09</w:t>
      </w:r>
      <w:r>
        <w:rPr>
          <w:rFonts w:hint="eastAsia"/>
          <w:bCs/>
          <w:szCs w:val="32"/>
        </w:rPr>
        <w:t>亿元，政府性基金总收入</w:t>
      </w:r>
      <w:r>
        <w:rPr>
          <w:rFonts w:hint="eastAsia"/>
          <w:bCs/>
          <w:szCs w:val="32"/>
        </w:rPr>
        <w:t>19.98</w:t>
      </w:r>
      <w:r>
        <w:rPr>
          <w:rFonts w:hint="eastAsia"/>
          <w:bCs/>
          <w:szCs w:val="32"/>
        </w:rPr>
        <w:t>亿元。政府性基金支出安排</w:t>
      </w:r>
      <w:r>
        <w:rPr>
          <w:rFonts w:hint="eastAsia"/>
          <w:bCs/>
          <w:szCs w:val="32"/>
        </w:rPr>
        <w:t>19.98</w:t>
      </w:r>
      <w:r>
        <w:rPr>
          <w:rFonts w:hint="eastAsia"/>
          <w:bCs/>
          <w:szCs w:val="32"/>
        </w:rPr>
        <w:t>亿元，当年政府性基金收支平衡。</w:t>
      </w:r>
    </w:p>
    <w:p w:rsidR="005E63FE" w:rsidRDefault="00CD49A3">
      <w:pPr>
        <w:tabs>
          <w:tab w:val="left" w:pos="2996"/>
        </w:tabs>
        <w:overflowPunct w:val="0"/>
        <w:spacing w:beforeLines="30" w:before="173" w:afterLines="30" w:after="173"/>
        <w:jc w:val="center"/>
        <w:rPr>
          <w:rFonts w:eastAsia="方正楷体_GBK" w:cs="方正楷体_GBK"/>
          <w:bCs/>
          <w:color w:val="000000"/>
          <w:sz w:val="36"/>
          <w:szCs w:val="36"/>
        </w:rPr>
      </w:pPr>
      <w:r>
        <w:rPr>
          <w:rFonts w:eastAsia="方正楷体_GBK" w:cs="方正楷体_GBK" w:hint="eastAsia"/>
          <w:bCs/>
          <w:color w:val="000000"/>
          <w:sz w:val="36"/>
          <w:szCs w:val="36"/>
        </w:rPr>
        <w:t>完成</w:t>
      </w:r>
      <w:r>
        <w:rPr>
          <w:rFonts w:eastAsia="方正楷体_GBK" w:cs="方正楷体_GBK" w:hint="eastAsia"/>
          <w:bCs/>
          <w:color w:val="000000"/>
          <w:sz w:val="36"/>
          <w:szCs w:val="36"/>
        </w:rPr>
        <w:t>2024</w:t>
      </w:r>
      <w:r>
        <w:rPr>
          <w:rFonts w:eastAsia="方正楷体_GBK" w:cs="方正楷体_GBK" w:hint="eastAsia"/>
          <w:bCs/>
          <w:color w:val="000000"/>
          <w:sz w:val="36"/>
          <w:szCs w:val="36"/>
        </w:rPr>
        <w:t>年度财政预算的主要措施</w:t>
      </w:r>
    </w:p>
    <w:p w:rsidR="005E63FE" w:rsidRDefault="00CD49A3">
      <w:pPr>
        <w:overflowPunct w:val="0"/>
        <w:ind w:firstLineChars="200" w:firstLine="603"/>
        <w:rPr>
          <w:rFonts w:eastAsia="方正黑体_GBK"/>
          <w:szCs w:val="32"/>
        </w:rPr>
      </w:pPr>
      <w:r>
        <w:rPr>
          <w:rFonts w:eastAsia="方正黑体_GBK" w:hint="eastAsia"/>
          <w:szCs w:val="32"/>
        </w:rPr>
        <w:t>一、抓收入</w:t>
      </w:r>
    </w:p>
    <w:p w:rsidR="005E63FE" w:rsidRDefault="00CD49A3">
      <w:pPr>
        <w:overflowPunct w:val="0"/>
        <w:ind w:firstLineChars="200" w:firstLine="603"/>
        <w:rPr>
          <w:bCs/>
          <w:szCs w:val="32"/>
        </w:rPr>
      </w:pPr>
      <w:r>
        <w:rPr>
          <w:rFonts w:hint="eastAsia"/>
          <w:color w:val="000000"/>
          <w:szCs w:val="32"/>
        </w:rPr>
        <w:t>坚持把组织收入作为财税工作的重中之重抓紧抓实，</w:t>
      </w:r>
      <w:r>
        <w:rPr>
          <w:rFonts w:hint="eastAsia"/>
          <w:szCs w:val="32"/>
        </w:rPr>
        <w:t>进一步完善协税护费机制，持续提升综合治税水平</w:t>
      </w:r>
      <w:r>
        <w:rPr>
          <w:rFonts w:hint="eastAsia"/>
          <w:color w:val="000000"/>
          <w:szCs w:val="32"/>
        </w:rPr>
        <w:t>，确保依法征收、颗粒归仓</w:t>
      </w:r>
      <w:r>
        <w:rPr>
          <w:rFonts w:hint="eastAsia"/>
          <w:szCs w:val="32"/>
        </w:rPr>
        <w:t>。</w:t>
      </w:r>
      <w:r>
        <w:rPr>
          <w:rFonts w:eastAsia="方正楷体_GBK" w:hint="eastAsia"/>
          <w:color w:val="000000"/>
          <w:szCs w:val="32"/>
        </w:rPr>
        <w:t>一是紧盯重点企业重点行业。</w:t>
      </w:r>
      <w:r>
        <w:rPr>
          <w:rFonts w:hint="eastAsia"/>
          <w:szCs w:val="32"/>
        </w:rPr>
        <w:t>常态化开展走访活动，与重点企业加强沟通交流，密切关注企业关键数据，点对点做好跟踪服务，掌握年度收入总盘子。充分挖掘建筑业税源，提高税收预缴率，堵塞征管漏洞。</w:t>
      </w:r>
      <w:r>
        <w:rPr>
          <w:rFonts w:eastAsia="方正楷体_GBK" w:hint="eastAsia"/>
          <w:color w:val="000000"/>
          <w:szCs w:val="32"/>
        </w:rPr>
        <w:t>二是深挖流动性税源。</w:t>
      </w:r>
      <w:r>
        <w:rPr>
          <w:rFonts w:hint="eastAsia"/>
          <w:szCs w:val="32"/>
        </w:rPr>
        <w:t>关注好限售股减持、股权转让和企业兼并重组等形成的一次性税源，关注基金公司新增税源，做好调库和留抵退工作</w:t>
      </w:r>
      <w:r>
        <w:rPr>
          <w:rFonts w:eastAsia="方正楷体_GBK" w:hint="eastAsia"/>
          <w:szCs w:val="32"/>
        </w:rPr>
        <w:t>。</w:t>
      </w:r>
      <w:r>
        <w:rPr>
          <w:rFonts w:eastAsia="方正楷体_GBK" w:hint="eastAsia"/>
          <w:color w:val="000000"/>
          <w:szCs w:val="32"/>
        </w:rPr>
        <w:t>三是培育新增税源。</w:t>
      </w:r>
      <w:r>
        <w:rPr>
          <w:rFonts w:hint="eastAsia"/>
          <w:szCs w:val="32"/>
        </w:rPr>
        <w:t>关注新招引企业发展，对项目招引进行回头看，及时调整政策，加大股权投资力度，助推优势企业发展壮大。</w:t>
      </w:r>
      <w:r>
        <w:rPr>
          <w:rFonts w:eastAsia="方正楷体_GBK" w:hint="eastAsia"/>
          <w:color w:val="000000"/>
          <w:szCs w:val="32"/>
        </w:rPr>
        <w:t>四是积极对上争取。</w:t>
      </w:r>
      <w:r>
        <w:rPr>
          <w:rFonts w:hint="eastAsia"/>
          <w:color w:val="000000"/>
          <w:szCs w:val="32"/>
        </w:rPr>
        <w:t>密切</w:t>
      </w:r>
      <w:r>
        <w:rPr>
          <w:rFonts w:hint="eastAsia"/>
          <w:bCs/>
          <w:szCs w:val="32"/>
        </w:rPr>
        <w:t>关注宏观形势变化，找准政策切入点，重点做好专项债、工改、</w:t>
      </w:r>
      <w:r>
        <w:rPr>
          <w:rFonts w:hint="eastAsia"/>
          <w:bCs/>
          <w:szCs w:val="32"/>
        </w:rPr>
        <w:lastRenderedPageBreak/>
        <w:t>REITs</w:t>
      </w:r>
      <w:r>
        <w:rPr>
          <w:rFonts w:hint="eastAsia"/>
          <w:bCs/>
          <w:szCs w:val="32"/>
        </w:rPr>
        <w:t>、</w:t>
      </w:r>
      <w:r>
        <w:rPr>
          <w:rFonts w:hint="eastAsia"/>
          <w:bCs/>
          <w:szCs w:val="32"/>
        </w:rPr>
        <w:t>EOD</w:t>
      </w:r>
      <w:r>
        <w:rPr>
          <w:rFonts w:hint="eastAsia"/>
          <w:bCs/>
          <w:szCs w:val="32"/>
        </w:rPr>
        <w:t>等项目的申报。</w:t>
      </w:r>
      <w:r>
        <w:rPr>
          <w:rFonts w:eastAsia="方正楷体_GBK" w:hint="eastAsia"/>
          <w:color w:val="000000"/>
          <w:szCs w:val="32"/>
        </w:rPr>
        <w:t>五是盘活资源。</w:t>
      </w:r>
      <w:r>
        <w:rPr>
          <w:rFonts w:hint="eastAsia"/>
          <w:bCs/>
          <w:szCs w:val="32"/>
        </w:rPr>
        <w:t>积极盘活闲置资产，防止资金沉淀，拓展收入来源。提升资产出租率和租金到位率、清理盘活挂账往来、</w:t>
      </w:r>
      <w:r>
        <w:rPr>
          <w:rFonts w:hint="eastAsia"/>
          <w:szCs w:val="32"/>
        </w:rPr>
        <w:t>用足用好现有基金，及时</w:t>
      </w:r>
      <w:r>
        <w:rPr>
          <w:rFonts w:hint="eastAsia"/>
          <w:bCs/>
          <w:szCs w:val="32"/>
        </w:rPr>
        <w:t>收回前期投资。</w:t>
      </w:r>
    </w:p>
    <w:p w:rsidR="005E63FE" w:rsidRDefault="00CD49A3">
      <w:pPr>
        <w:overflowPunct w:val="0"/>
        <w:ind w:firstLineChars="200" w:firstLine="603"/>
        <w:rPr>
          <w:rFonts w:eastAsia="方正黑体_GBK"/>
          <w:color w:val="000000"/>
          <w:szCs w:val="32"/>
        </w:rPr>
      </w:pPr>
      <w:r>
        <w:rPr>
          <w:rFonts w:eastAsia="方正黑体_GBK" w:hint="eastAsia"/>
          <w:color w:val="000000"/>
          <w:szCs w:val="32"/>
        </w:rPr>
        <w:t>二、促平衡</w:t>
      </w:r>
    </w:p>
    <w:p w:rsidR="005E63FE" w:rsidRDefault="00CD49A3">
      <w:pPr>
        <w:overflowPunct w:val="0"/>
        <w:ind w:firstLineChars="200" w:firstLine="603"/>
        <w:rPr>
          <w:color w:val="000000"/>
          <w:szCs w:val="32"/>
        </w:rPr>
      </w:pPr>
      <w:r>
        <w:rPr>
          <w:rFonts w:hint="eastAsia"/>
          <w:szCs w:val="32"/>
        </w:rPr>
        <w:t>统筹调度资金，有保有压，确保财政运行平稳。</w:t>
      </w:r>
      <w:r>
        <w:rPr>
          <w:rFonts w:eastAsia="方正楷体_GBK" w:hint="eastAsia"/>
          <w:color w:val="000000"/>
          <w:szCs w:val="32"/>
        </w:rPr>
        <w:t>一是规范预算编制。</w:t>
      </w:r>
      <w:r>
        <w:rPr>
          <w:rFonts w:hint="eastAsia"/>
          <w:szCs w:val="32"/>
        </w:rPr>
        <w:t>加强全口径预算编制和管理，在预算编制、执行中始终厉行节约，推进党政机关过紧日子。下更大力气优化支出结构，把严把紧预算支出关口，严控预算调剂追加，深入挖掘节支潜力，加大重点领域和刚性支出保障力度，兜牢“三保”底线。</w:t>
      </w:r>
      <w:r>
        <w:rPr>
          <w:rFonts w:eastAsia="方正楷体_GBK" w:hint="eastAsia"/>
          <w:color w:val="000000"/>
          <w:szCs w:val="32"/>
        </w:rPr>
        <w:t>二是推进绩效管理。</w:t>
      </w:r>
      <w:r>
        <w:rPr>
          <w:rFonts w:hint="eastAsia"/>
          <w:szCs w:val="32"/>
        </w:rPr>
        <w:t>按照省预算管理一体化建设的要求，将绩效目标编制情况与预算申报、审核、批复等有机结合起来，从源头上规范预算绩效管理。抓实抓细重点绩效评价，选择更多重点支出项目实施绩效评价，强化绩效评价结果运用，把“花钱必</w:t>
      </w:r>
      <w:r w:rsidR="00623E3E">
        <w:rPr>
          <w:rFonts w:hint="eastAsia"/>
          <w:szCs w:val="32"/>
        </w:rPr>
        <w:t>问</w:t>
      </w:r>
      <w:r>
        <w:rPr>
          <w:rFonts w:hint="eastAsia"/>
          <w:szCs w:val="32"/>
        </w:rPr>
        <w:t>效、无效必问责”的绩效管理目标落到实处。</w:t>
      </w:r>
      <w:r>
        <w:rPr>
          <w:rFonts w:eastAsia="方正楷体_GBK" w:hint="eastAsia"/>
          <w:color w:val="000000"/>
          <w:szCs w:val="32"/>
        </w:rPr>
        <w:t>三是深化日常管理。</w:t>
      </w:r>
      <w:r>
        <w:rPr>
          <w:rFonts w:hint="eastAsia"/>
          <w:szCs w:val="32"/>
        </w:rPr>
        <w:t>深入推进政府采购、预算一体化等工作，有效节约财政资金，提高财政管理的透明度和公正性。充分利用巡察、审计、财务检查等结果，有针对性地指导督促单位梳理业务流程，有的放矢制定和完善重点单位的内控机制，不断规范单位的财务管理。</w:t>
      </w:r>
      <w:bookmarkStart w:id="0" w:name="_GoBack"/>
      <w:bookmarkEnd w:id="0"/>
    </w:p>
    <w:p w:rsidR="005E63FE" w:rsidRDefault="00CD49A3">
      <w:pPr>
        <w:overflowPunct w:val="0"/>
        <w:ind w:firstLineChars="200" w:firstLine="603"/>
        <w:rPr>
          <w:rFonts w:eastAsia="方正黑体_GBK"/>
          <w:szCs w:val="32"/>
        </w:rPr>
      </w:pPr>
      <w:r>
        <w:rPr>
          <w:rFonts w:eastAsia="方正黑体_GBK" w:hint="eastAsia"/>
          <w:szCs w:val="32"/>
        </w:rPr>
        <w:t>三、强改革</w:t>
      </w:r>
    </w:p>
    <w:p w:rsidR="005E63FE" w:rsidRDefault="00CD49A3">
      <w:pPr>
        <w:overflowPunct w:val="0"/>
        <w:ind w:firstLineChars="200" w:firstLine="603"/>
        <w:rPr>
          <w:szCs w:val="32"/>
        </w:rPr>
      </w:pPr>
      <w:r>
        <w:rPr>
          <w:rFonts w:eastAsia="方正楷体_GBK" w:hint="eastAsia"/>
          <w:color w:val="000000"/>
          <w:szCs w:val="32"/>
        </w:rPr>
        <w:t>一是优化财政体制。</w:t>
      </w:r>
      <w:r>
        <w:rPr>
          <w:rFonts w:hint="eastAsia"/>
          <w:szCs w:val="32"/>
        </w:rPr>
        <w:t>根据上级对功能区改革的规划和布署，梳理区本级和街道的财政关系，</w:t>
      </w:r>
      <w:r>
        <w:rPr>
          <w:rFonts w:hint="eastAsia"/>
          <w:color w:val="000000"/>
          <w:szCs w:val="32"/>
        </w:rPr>
        <w:t>构</w:t>
      </w:r>
      <w:r>
        <w:rPr>
          <w:rFonts w:hint="eastAsia"/>
          <w:szCs w:val="32"/>
        </w:rPr>
        <w:t>建“收入分配合理、事权界定</w:t>
      </w:r>
      <w:r>
        <w:rPr>
          <w:rFonts w:hint="eastAsia"/>
          <w:szCs w:val="32"/>
        </w:rPr>
        <w:lastRenderedPageBreak/>
        <w:t>清晰、体制运行高效”的财政管理体制。</w:t>
      </w:r>
      <w:r>
        <w:rPr>
          <w:rFonts w:eastAsia="方正楷体_GBK" w:hint="eastAsia"/>
          <w:color w:val="000000"/>
          <w:szCs w:val="32"/>
        </w:rPr>
        <w:t>二是提升国企实力。</w:t>
      </w:r>
      <w:r>
        <w:rPr>
          <w:rFonts w:hint="eastAsia"/>
          <w:szCs w:val="32"/>
        </w:rPr>
        <w:t>不断完善国企制度体系，对国企资产收购、对外投资、资金出借、基金管理等行为加强指导和监管，持续提高国企治理水平。充分发挥市场化国资公司在园区“建、投、管、运”方面的作用，积极寻找赢利点，提升自身“造血”能力。</w:t>
      </w:r>
      <w:r>
        <w:rPr>
          <w:rFonts w:eastAsia="方正楷体_GBK" w:hint="eastAsia"/>
          <w:color w:val="000000"/>
          <w:szCs w:val="32"/>
        </w:rPr>
        <w:t>三是提高信息化水平。</w:t>
      </w:r>
      <w:r>
        <w:rPr>
          <w:rFonts w:hint="eastAsia"/>
          <w:szCs w:val="32"/>
        </w:rPr>
        <w:t>在</w:t>
      </w:r>
      <w:r>
        <w:rPr>
          <w:rFonts w:hint="eastAsia"/>
          <w:bCs/>
          <w:szCs w:val="32"/>
        </w:rPr>
        <w:t>对国有资产进行全面清查摸底基础上，加快建立国资信息化管理系统，并对各类载体进行统一管理，实现国有资产“可见可管”的目标。</w:t>
      </w:r>
      <w:r>
        <w:rPr>
          <w:rFonts w:ascii="方正楷体_GBK" w:eastAsia="方正楷体_GBK" w:hint="eastAsia"/>
          <w:color w:val="000000"/>
          <w:szCs w:val="32"/>
        </w:rPr>
        <w:t>四是用好股权投资。</w:t>
      </w:r>
      <w:r>
        <w:rPr>
          <w:rFonts w:hint="eastAsia"/>
          <w:szCs w:val="32"/>
        </w:rPr>
        <w:t>建立完善基金“设、投、管、退”各个环节的管理制度，使基金投资有规可依。对存量投资项目实行跟踪管理，及时掌握被投项目运转情况。积极培养自身专业化团队，大力开展股权投资，发挥基金招商作用，助推更多好项目汇聚高新区。</w:t>
      </w:r>
    </w:p>
    <w:p w:rsidR="005E63FE" w:rsidRDefault="005E63FE">
      <w:pPr>
        <w:overflowPunct w:val="0"/>
        <w:ind w:firstLineChars="200" w:firstLine="603"/>
        <w:rPr>
          <w:szCs w:val="32"/>
        </w:rPr>
      </w:pPr>
    </w:p>
    <w:p w:rsidR="005E63FE" w:rsidRDefault="005E63FE">
      <w:pPr>
        <w:overflowPunct w:val="0"/>
        <w:ind w:firstLineChars="200" w:firstLine="603"/>
        <w:rPr>
          <w:szCs w:val="32"/>
        </w:rPr>
      </w:pPr>
    </w:p>
    <w:sectPr w:rsidR="005E63FE">
      <w:footerReference w:type="default" r:id="rId8"/>
      <w:pgSz w:w="11907" w:h="16840"/>
      <w:pgMar w:top="2041" w:right="1588" w:bottom="1418" w:left="1871" w:header="1134" w:footer="1418" w:gutter="0"/>
      <w:cols w:space="720"/>
      <w:docGrid w:type="linesAndChars" w:linePitch="579" w:charSpace="-37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5F9A" w:rsidRDefault="003D5F9A">
      <w:r>
        <w:separator/>
      </w:r>
    </w:p>
    <w:p w:rsidR="003D5F9A" w:rsidRDefault="003D5F9A"/>
    <w:p w:rsidR="003D5F9A" w:rsidRDefault="003D5F9A" w:rsidP="008B63A2"/>
  </w:endnote>
  <w:endnote w:type="continuationSeparator" w:id="0">
    <w:p w:rsidR="003D5F9A" w:rsidRDefault="003D5F9A">
      <w:r>
        <w:continuationSeparator/>
      </w:r>
    </w:p>
    <w:p w:rsidR="003D5F9A" w:rsidRDefault="003D5F9A"/>
    <w:p w:rsidR="003D5F9A" w:rsidRDefault="003D5F9A" w:rsidP="008B63A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003254"/>
    </w:sdtPr>
    <w:sdtEndPr/>
    <w:sdtContent>
      <w:p w:rsidR="005E63FE" w:rsidRDefault="00CD49A3">
        <w:pPr>
          <w:pStyle w:val="a5"/>
          <w:snapToGrid/>
          <w:jc w:val="center"/>
        </w:pPr>
        <w:r>
          <w:rPr>
            <w:rFonts w:hint="eastAsia"/>
            <w:sz w:val="28"/>
          </w:rPr>
          <w:t>—</w:t>
        </w:r>
        <w:r>
          <w:rPr>
            <w:rFonts w:hint="eastAsia"/>
            <w:sz w:val="28"/>
          </w:rPr>
          <w:t xml:space="preserve"> </w:t>
        </w:r>
        <w:r>
          <w:rPr>
            <w:sz w:val="28"/>
          </w:rPr>
          <w:fldChar w:fldCharType="begin"/>
        </w:r>
        <w:r>
          <w:rPr>
            <w:sz w:val="28"/>
          </w:rPr>
          <w:instrText xml:space="preserve"> PAGE   \* MERGEFORMAT </w:instrText>
        </w:r>
        <w:r>
          <w:rPr>
            <w:sz w:val="28"/>
          </w:rPr>
          <w:fldChar w:fldCharType="separate"/>
        </w:r>
        <w:r w:rsidR="00623E3E" w:rsidRPr="00623E3E">
          <w:rPr>
            <w:noProof/>
            <w:sz w:val="28"/>
            <w:lang w:val="zh-CN"/>
          </w:rPr>
          <w:t>4</w:t>
        </w:r>
        <w:r>
          <w:rPr>
            <w:sz w:val="28"/>
          </w:rPr>
          <w:fldChar w:fldCharType="end"/>
        </w:r>
        <w:r>
          <w:rPr>
            <w:rFonts w:hint="eastAsia"/>
            <w:sz w:val="28"/>
          </w:rPr>
          <w:t xml:space="preserve"> </w:t>
        </w:r>
        <w:r>
          <w:rPr>
            <w:rFonts w:hint="eastAsia"/>
            <w:sz w:val="28"/>
          </w:rPr>
          <w:t>—</w:t>
        </w:r>
      </w:p>
    </w:sdtContent>
  </w:sdt>
  <w:p w:rsidR="00825FF7" w:rsidRDefault="00825FF7"/>
  <w:p w:rsidR="00825FF7" w:rsidRDefault="00825FF7" w:rsidP="008B63A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5F9A" w:rsidRDefault="003D5F9A">
      <w:r>
        <w:separator/>
      </w:r>
    </w:p>
    <w:p w:rsidR="003D5F9A" w:rsidRDefault="003D5F9A"/>
    <w:p w:rsidR="003D5F9A" w:rsidRDefault="003D5F9A" w:rsidP="008B63A2"/>
  </w:footnote>
  <w:footnote w:type="continuationSeparator" w:id="0">
    <w:p w:rsidR="003D5F9A" w:rsidRDefault="003D5F9A">
      <w:r>
        <w:continuationSeparator/>
      </w:r>
    </w:p>
    <w:p w:rsidR="003D5F9A" w:rsidRDefault="003D5F9A"/>
    <w:p w:rsidR="003D5F9A" w:rsidRDefault="003D5F9A" w:rsidP="008B63A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F4826"/>
    <w:multiLevelType w:val="singleLevel"/>
    <w:tmpl w:val="0C6F482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69ED372F"/>
    <w:multiLevelType w:val="singleLevel"/>
    <w:tmpl w:val="69ED372F"/>
    <w:lvl w:ilvl="0">
      <w:start w:val="2"/>
      <w:numFmt w:val="decimal"/>
      <w:suff w:val="nothing"/>
      <w:lvlText w:val="%1、"/>
      <w:lvlJc w:val="left"/>
      <w:pPr>
        <w:ind w:left="1507" w:firstLine="0"/>
      </w:pPr>
    </w:lvl>
  </w:abstractNum>
  <w:abstractNum w:abstractNumId="2" w15:restartNumberingAfterBreak="0">
    <w:nsid w:val="70C68F63"/>
    <w:multiLevelType w:val="singleLevel"/>
    <w:tmpl w:val="70C68F6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bordersDoNotSurroundHeader/>
  <w:bordersDoNotSurroundFooter/>
  <w:defaultTabStop w:val="420"/>
  <w:drawingGridHorizontalSpacing w:val="151"/>
  <w:drawingGridVerticalSpacing w:val="579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FjYjgyZTUyNDc1M2M2ZmY5MmMzNmEzNjBkMDMzODAifQ=="/>
  </w:docVars>
  <w:rsids>
    <w:rsidRoot w:val="00E823F3"/>
    <w:rsid w:val="00000DD4"/>
    <w:rsid w:val="00001F6E"/>
    <w:rsid w:val="00004395"/>
    <w:rsid w:val="00007B52"/>
    <w:rsid w:val="00010073"/>
    <w:rsid w:val="00011441"/>
    <w:rsid w:val="00012332"/>
    <w:rsid w:val="00012D4D"/>
    <w:rsid w:val="00022ED6"/>
    <w:rsid w:val="00027CBF"/>
    <w:rsid w:val="00030C71"/>
    <w:rsid w:val="00034692"/>
    <w:rsid w:val="00034E4F"/>
    <w:rsid w:val="00035CF9"/>
    <w:rsid w:val="000361E6"/>
    <w:rsid w:val="00040331"/>
    <w:rsid w:val="000405AE"/>
    <w:rsid w:val="00040C8A"/>
    <w:rsid w:val="0004168A"/>
    <w:rsid w:val="00041A4D"/>
    <w:rsid w:val="00042E95"/>
    <w:rsid w:val="00043D2E"/>
    <w:rsid w:val="00044734"/>
    <w:rsid w:val="00046E61"/>
    <w:rsid w:val="000479BC"/>
    <w:rsid w:val="00050CE3"/>
    <w:rsid w:val="00051986"/>
    <w:rsid w:val="000519A4"/>
    <w:rsid w:val="00052F1C"/>
    <w:rsid w:val="00054BEF"/>
    <w:rsid w:val="000562DE"/>
    <w:rsid w:val="00057562"/>
    <w:rsid w:val="00057981"/>
    <w:rsid w:val="00067365"/>
    <w:rsid w:val="0006762C"/>
    <w:rsid w:val="0006786B"/>
    <w:rsid w:val="00067C53"/>
    <w:rsid w:val="00070FE8"/>
    <w:rsid w:val="00072735"/>
    <w:rsid w:val="000742CB"/>
    <w:rsid w:val="00075636"/>
    <w:rsid w:val="00077840"/>
    <w:rsid w:val="0007795D"/>
    <w:rsid w:val="000800BE"/>
    <w:rsid w:val="00080515"/>
    <w:rsid w:val="000863FD"/>
    <w:rsid w:val="0008692F"/>
    <w:rsid w:val="00091077"/>
    <w:rsid w:val="00091FCB"/>
    <w:rsid w:val="00091FED"/>
    <w:rsid w:val="0009219E"/>
    <w:rsid w:val="0009240E"/>
    <w:rsid w:val="000942A3"/>
    <w:rsid w:val="000A2CC6"/>
    <w:rsid w:val="000A3B8C"/>
    <w:rsid w:val="000A47F7"/>
    <w:rsid w:val="000B3603"/>
    <w:rsid w:val="000B3D77"/>
    <w:rsid w:val="000B3DC7"/>
    <w:rsid w:val="000B6E4D"/>
    <w:rsid w:val="000C29DD"/>
    <w:rsid w:val="000C328A"/>
    <w:rsid w:val="000C6359"/>
    <w:rsid w:val="000C6CC1"/>
    <w:rsid w:val="000D1A5A"/>
    <w:rsid w:val="000D3029"/>
    <w:rsid w:val="000D45E1"/>
    <w:rsid w:val="000E1A81"/>
    <w:rsid w:val="000E4BF7"/>
    <w:rsid w:val="000E7AC4"/>
    <w:rsid w:val="000E7DF3"/>
    <w:rsid w:val="000F011B"/>
    <w:rsid w:val="000F0391"/>
    <w:rsid w:val="000F062F"/>
    <w:rsid w:val="000F16EF"/>
    <w:rsid w:val="000F3564"/>
    <w:rsid w:val="000F3E5D"/>
    <w:rsid w:val="000F4EE8"/>
    <w:rsid w:val="000F4F53"/>
    <w:rsid w:val="000F5BD4"/>
    <w:rsid w:val="000F60D3"/>
    <w:rsid w:val="00101D4A"/>
    <w:rsid w:val="00102955"/>
    <w:rsid w:val="0010562E"/>
    <w:rsid w:val="00106471"/>
    <w:rsid w:val="001066B9"/>
    <w:rsid w:val="001072FB"/>
    <w:rsid w:val="001106A7"/>
    <w:rsid w:val="001122F3"/>
    <w:rsid w:val="001136A9"/>
    <w:rsid w:val="00114665"/>
    <w:rsid w:val="00117B63"/>
    <w:rsid w:val="00122393"/>
    <w:rsid w:val="00122CC8"/>
    <w:rsid w:val="001323F9"/>
    <w:rsid w:val="00132C24"/>
    <w:rsid w:val="0013349B"/>
    <w:rsid w:val="00133CA1"/>
    <w:rsid w:val="00133DAB"/>
    <w:rsid w:val="00133DE3"/>
    <w:rsid w:val="00133EB5"/>
    <w:rsid w:val="00135513"/>
    <w:rsid w:val="00136C64"/>
    <w:rsid w:val="00136E65"/>
    <w:rsid w:val="0014085F"/>
    <w:rsid w:val="001433A4"/>
    <w:rsid w:val="00144E82"/>
    <w:rsid w:val="00145BB9"/>
    <w:rsid w:val="00145C4D"/>
    <w:rsid w:val="00147B0E"/>
    <w:rsid w:val="00150880"/>
    <w:rsid w:val="001538D9"/>
    <w:rsid w:val="001540AA"/>
    <w:rsid w:val="00155D79"/>
    <w:rsid w:val="00156720"/>
    <w:rsid w:val="00164616"/>
    <w:rsid w:val="0016588A"/>
    <w:rsid w:val="00167078"/>
    <w:rsid w:val="0017034C"/>
    <w:rsid w:val="00175207"/>
    <w:rsid w:val="00182E18"/>
    <w:rsid w:val="001842E5"/>
    <w:rsid w:val="0019122E"/>
    <w:rsid w:val="00191F8C"/>
    <w:rsid w:val="0019247B"/>
    <w:rsid w:val="00193A2F"/>
    <w:rsid w:val="00194A5A"/>
    <w:rsid w:val="001A4EB2"/>
    <w:rsid w:val="001A667A"/>
    <w:rsid w:val="001A6812"/>
    <w:rsid w:val="001B1645"/>
    <w:rsid w:val="001B18FB"/>
    <w:rsid w:val="001B1FF4"/>
    <w:rsid w:val="001B212B"/>
    <w:rsid w:val="001B37E4"/>
    <w:rsid w:val="001B4221"/>
    <w:rsid w:val="001B42F0"/>
    <w:rsid w:val="001B4CBF"/>
    <w:rsid w:val="001B6E6D"/>
    <w:rsid w:val="001B78E0"/>
    <w:rsid w:val="001B7FD6"/>
    <w:rsid w:val="001C63B3"/>
    <w:rsid w:val="001C74DF"/>
    <w:rsid w:val="001D1FB3"/>
    <w:rsid w:val="001D2182"/>
    <w:rsid w:val="001D24E3"/>
    <w:rsid w:val="001D2C55"/>
    <w:rsid w:val="001D768E"/>
    <w:rsid w:val="001D7FE9"/>
    <w:rsid w:val="001E3A1D"/>
    <w:rsid w:val="001E61E9"/>
    <w:rsid w:val="001F0609"/>
    <w:rsid w:val="001F1017"/>
    <w:rsid w:val="001F1181"/>
    <w:rsid w:val="001F2533"/>
    <w:rsid w:val="001F2B48"/>
    <w:rsid w:val="001F2B4C"/>
    <w:rsid w:val="001F4423"/>
    <w:rsid w:val="001F5701"/>
    <w:rsid w:val="00202564"/>
    <w:rsid w:val="00204096"/>
    <w:rsid w:val="00204EBD"/>
    <w:rsid w:val="00205722"/>
    <w:rsid w:val="002105B5"/>
    <w:rsid w:val="0021132C"/>
    <w:rsid w:val="002113F2"/>
    <w:rsid w:val="00211CFF"/>
    <w:rsid w:val="00213E8D"/>
    <w:rsid w:val="00214B47"/>
    <w:rsid w:val="002153FE"/>
    <w:rsid w:val="00215DDB"/>
    <w:rsid w:val="0021737C"/>
    <w:rsid w:val="0022143A"/>
    <w:rsid w:val="002239E0"/>
    <w:rsid w:val="002240FE"/>
    <w:rsid w:val="00225A95"/>
    <w:rsid w:val="0022766E"/>
    <w:rsid w:val="00231D67"/>
    <w:rsid w:val="00232E9A"/>
    <w:rsid w:val="0024054B"/>
    <w:rsid w:val="002431B9"/>
    <w:rsid w:val="0024426F"/>
    <w:rsid w:val="00244313"/>
    <w:rsid w:val="0024462C"/>
    <w:rsid w:val="00245DB7"/>
    <w:rsid w:val="0024787B"/>
    <w:rsid w:val="002479DA"/>
    <w:rsid w:val="00250F52"/>
    <w:rsid w:val="00251033"/>
    <w:rsid w:val="0025189D"/>
    <w:rsid w:val="002522BD"/>
    <w:rsid w:val="00253AC4"/>
    <w:rsid w:val="0025422E"/>
    <w:rsid w:val="002556B2"/>
    <w:rsid w:val="002556BA"/>
    <w:rsid w:val="002561FF"/>
    <w:rsid w:val="0025624C"/>
    <w:rsid w:val="0025646A"/>
    <w:rsid w:val="0025665B"/>
    <w:rsid w:val="0025699E"/>
    <w:rsid w:val="00264908"/>
    <w:rsid w:val="002659E4"/>
    <w:rsid w:val="002731D7"/>
    <w:rsid w:val="0027558B"/>
    <w:rsid w:val="00281650"/>
    <w:rsid w:val="00284228"/>
    <w:rsid w:val="00286F83"/>
    <w:rsid w:val="002873A7"/>
    <w:rsid w:val="00291C96"/>
    <w:rsid w:val="002933CA"/>
    <w:rsid w:val="002938D7"/>
    <w:rsid w:val="00296121"/>
    <w:rsid w:val="00296D98"/>
    <w:rsid w:val="002A0728"/>
    <w:rsid w:val="002A0AF8"/>
    <w:rsid w:val="002A1422"/>
    <w:rsid w:val="002A1A79"/>
    <w:rsid w:val="002A56CC"/>
    <w:rsid w:val="002A5E23"/>
    <w:rsid w:val="002B10BB"/>
    <w:rsid w:val="002B4DF7"/>
    <w:rsid w:val="002B6D29"/>
    <w:rsid w:val="002B736D"/>
    <w:rsid w:val="002C05CB"/>
    <w:rsid w:val="002C2706"/>
    <w:rsid w:val="002C2982"/>
    <w:rsid w:val="002C779E"/>
    <w:rsid w:val="002D3406"/>
    <w:rsid w:val="002D474B"/>
    <w:rsid w:val="002D4D6D"/>
    <w:rsid w:val="002D556F"/>
    <w:rsid w:val="002D5A89"/>
    <w:rsid w:val="002E0243"/>
    <w:rsid w:val="002E173D"/>
    <w:rsid w:val="002E46A3"/>
    <w:rsid w:val="002E4F9A"/>
    <w:rsid w:val="002E60DE"/>
    <w:rsid w:val="002E66AC"/>
    <w:rsid w:val="002E738F"/>
    <w:rsid w:val="002F155B"/>
    <w:rsid w:val="002F1D15"/>
    <w:rsid w:val="002F2CBF"/>
    <w:rsid w:val="002F386B"/>
    <w:rsid w:val="002F4C0A"/>
    <w:rsid w:val="002F675B"/>
    <w:rsid w:val="002F7352"/>
    <w:rsid w:val="00300527"/>
    <w:rsid w:val="00300F7B"/>
    <w:rsid w:val="00302898"/>
    <w:rsid w:val="00304CAB"/>
    <w:rsid w:val="00304ECE"/>
    <w:rsid w:val="00305017"/>
    <w:rsid w:val="0030573A"/>
    <w:rsid w:val="0030623C"/>
    <w:rsid w:val="0031060B"/>
    <w:rsid w:val="00311C48"/>
    <w:rsid w:val="0031233A"/>
    <w:rsid w:val="0031469C"/>
    <w:rsid w:val="00314882"/>
    <w:rsid w:val="00314C95"/>
    <w:rsid w:val="00314CAA"/>
    <w:rsid w:val="00315460"/>
    <w:rsid w:val="003219A5"/>
    <w:rsid w:val="00321D1D"/>
    <w:rsid w:val="00321D73"/>
    <w:rsid w:val="00321D91"/>
    <w:rsid w:val="00324DD4"/>
    <w:rsid w:val="00325834"/>
    <w:rsid w:val="00325EEA"/>
    <w:rsid w:val="00330CE6"/>
    <w:rsid w:val="003311C8"/>
    <w:rsid w:val="0033635D"/>
    <w:rsid w:val="0034176F"/>
    <w:rsid w:val="00341F78"/>
    <w:rsid w:val="00342019"/>
    <w:rsid w:val="00342795"/>
    <w:rsid w:val="00343444"/>
    <w:rsid w:val="00346A24"/>
    <w:rsid w:val="00347FC9"/>
    <w:rsid w:val="00350A53"/>
    <w:rsid w:val="00350CB1"/>
    <w:rsid w:val="00351F5A"/>
    <w:rsid w:val="00353C4A"/>
    <w:rsid w:val="003602AA"/>
    <w:rsid w:val="00360D02"/>
    <w:rsid w:val="00361A64"/>
    <w:rsid w:val="00361DA4"/>
    <w:rsid w:val="00367850"/>
    <w:rsid w:val="003716B6"/>
    <w:rsid w:val="00373089"/>
    <w:rsid w:val="00374696"/>
    <w:rsid w:val="00375251"/>
    <w:rsid w:val="00377260"/>
    <w:rsid w:val="003800A1"/>
    <w:rsid w:val="00380673"/>
    <w:rsid w:val="00384CE9"/>
    <w:rsid w:val="003853A1"/>
    <w:rsid w:val="00386863"/>
    <w:rsid w:val="00386BD5"/>
    <w:rsid w:val="00386CBE"/>
    <w:rsid w:val="00386E76"/>
    <w:rsid w:val="00387090"/>
    <w:rsid w:val="00387A4B"/>
    <w:rsid w:val="003915CA"/>
    <w:rsid w:val="00391A1D"/>
    <w:rsid w:val="00395764"/>
    <w:rsid w:val="00396038"/>
    <w:rsid w:val="003976D9"/>
    <w:rsid w:val="003A0A08"/>
    <w:rsid w:val="003A0EFA"/>
    <w:rsid w:val="003A1330"/>
    <w:rsid w:val="003A37D4"/>
    <w:rsid w:val="003A5078"/>
    <w:rsid w:val="003A731B"/>
    <w:rsid w:val="003B14F1"/>
    <w:rsid w:val="003B15B9"/>
    <w:rsid w:val="003B1D3D"/>
    <w:rsid w:val="003B3F18"/>
    <w:rsid w:val="003B4271"/>
    <w:rsid w:val="003B47FF"/>
    <w:rsid w:val="003B4DA8"/>
    <w:rsid w:val="003B502A"/>
    <w:rsid w:val="003B52BF"/>
    <w:rsid w:val="003B755E"/>
    <w:rsid w:val="003B7840"/>
    <w:rsid w:val="003B7973"/>
    <w:rsid w:val="003C0C54"/>
    <w:rsid w:val="003C11D2"/>
    <w:rsid w:val="003C18DE"/>
    <w:rsid w:val="003C1AA8"/>
    <w:rsid w:val="003C7F18"/>
    <w:rsid w:val="003C7F37"/>
    <w:rsid w:val="003D0BC5"/>
    <w:rsid w:val="003D1245"/>
    <w:rsid w:val="003D219C"/>
    <w:rsid w:val="003D366E"/>
    <w:rsid w:val="003D5150"/>
    <w:rsid w:val="003D5F9A"/>
    <w:rsid w:val="003D671B"/>
    <w:rsid w:val="003E28E7"/>
    <w:rsid w:val="003E2CD8"/>
    <w:rsid w:val="003E2D51"/>
    <w:rsid w:val="003E36F4"/>
    <w:rsid w:val="003E37F8"/>
    <w:rsid w:val="003E3BCD"/>
    <w:rsid w:val="003E4EAA"/>
    <w:rsid w:val="003E5D08"/>
    <w:rsid w:val="003E71B0"/>
    <w:rsid w:val="003E7695"/>
    <w:rsid w:val="003F2B60"/>
    <w:rsid w:val="003F696A"/>
    <w:rsid w:val="003F7330"/>
    <w:rsid w:val="00400BDA"/>
    <w:rsid w:val="00401F1C"/>
    <w:rsid w:val="004027CE"/>
    <w:rsid w:val="004048F0"/>
    <w:rsid w:val="00405929"/>
    <w:rsid w:val="004059A4"/>
    <w:rsid w:val="00406556"/>
    <w:rsid w:val="0040655C"/>
    <w:rsid w:val="00407D26"/>
    <w:rsid w:val="00413ED4"/>
    <w:rsid w:val="0041434E"/>
    <w:rsid w:val="00416DA6"/>
    <w:rsid w:val="0042044A"/>
    <w:rsid w:val="004251C3"/>
    <w:rsid w:val="00425DB8"/>
    <w:rsid w:val="0042693B"/>
    <w:rsid w:val="00427CC8"/>
    <w:rsid w:val="00427E33"/>
    <w:rsid w:val="00433CE2"/>
    <w:rsid w:val="00435382"/>
    <w:rsid w:val="0043581E"/>
    <w:rsid w:val="0043617C"/>
    <w:rsid w:val="004377DD"/>
    <w:rsid w:val="00441884"/>
    <w:rsid w:val="00442527"/>
    <w:rsid w:val="00444F43"/>
    <w:rsid w:val="00445F27"/>
    <w:rsid w:val="00446AFB"/>
    <w:rsid w:val="00453515"/>
    <w:rsid w:val="004553C6"/>
    <w:rsid w:val="00463130"/>
    <w:rsid w:val="00466726"/>
    <w:rsid w:val="00467384"/>
    <w:rsid w:val="00467E20"/>
    <w:rsid w:val="004705E9"/>
    <w:rsid w:val="004747FF"/>
    <w:rsid w:val="00475F2B"/>
    <w:rsid w:val="00476FEA"/>
    <w:rsid w:val="004771A6"/>
    <w:rsid w:val="0048188A"/>
    <w:rsid w:val="00482BC0"/>
    <w:rsid w:val="00485790"/>
    <w:rsid w:val="0048676F"/>
    <w:rsid w:val="00487080"/>
    <w:rsid w:val="00487561"/>
    <w:rsid w:val="00490F45"/>
    <w:rsid w:val="0049200D"/>
    <w:rsid w:val="00492D65"/>
    <w:rsid w:val="00496C63"/>
    <w:rsid w:val="004A0856"/>
    <w:rsid w:val="004A093B"/>
    <w:rsid w:val="004A1AAD"/>
    <w:rsid w:val="004A1E70"/>
    <w:rsid w:val="004A264B"/>
    <w:rsid w:val="004A37AB"/>
    <w:rsid w:val="004A522C"/>
    <w:rsid w:val="004A56CE"/>
    <w:rsid w:val="004B0218"/>
    <w:rsid w:val="004B0DD4"/>
    <w:rsid w:val="004B134E"/>
    <w:rsid w:val="004B7854"/>
    <w:rsid w:val="004C0F38"/>
    <w:rsid w:val="004C2AF6"/>
    <w:rsid w:val="004C6444"/>
    <w:rsid w:val="004C6800"/>
    <w:rsid w:val="004D0B9D"/>
    <w:rsid w:val="004D205D"/>
    <w:rsid w:val="004D43C7"/>
    <w:rsid w:val="004D509A"/>
    <w:rsid w:val="004D57AF"/>
    <w:rsid w:val="004E0281"/>
    <w:rsid w:val="004E1240"/>
    <w:rsid w:val="004E24B0"/>
    <w:rsid w:val="004E24D6"/>
    <w:rsid w:val="004E605D"/>
    <w:rsid w:val="004E6212"/>
    <w:rsid w:val="004E68E5"/>
    <w:rsid w:val="004E6D66"/>
    <w:rsid w:val="004E7919"/>
    <w:rsid w:val="004F1EA7"/>
    <w:rsid w:val="004F2D18"/>
    <w:rsid w:val="004F6F04"/>
    <w:rsid w:val="004F7FBA"/>
    <w:rsid w:val="00501AF1"/>
    <w:rsid w:val="005024FE"/>
    <w:rsid w:val="00502BFC"/>
    <w:rsid w:val="00502E77"/>
    <w:rsid w:val="00503B8B"/>
    <w:rsid w:val="00504011"/>
    <w:rsid w:val="0050475B"/>
    <w:rsid w:val="00511614"/>
    <w:rsid w:val="00512350"/>
    <w:rsid w:val="00514CF4"/>
    <w:rsid w:val="00523518"/>
    <w:rsid w:val="00525447"/>
    <w:rsid w:val="00525689"/>
    <w:rsid w:val="00526582"/>
    <w:rsid w:val="0053030A"/>
    <w:rsid w:val="005309E1"/>
    <w:rsid w:val="0053533A"/>
    <w:rsid w:val="005355F9"/>
    <w:rsid w:val="005356CE"/>
    <w:rsid w:val="005364FC"/>
    <w:rsid w:val="0054034E"/>
    <w:rsid w:val="00543075"/>
    <w:rsid w:val="005441B3"/>
    <w:rsid w:val="0054744A"/>
    <w:rsid w:val="00553E46"/>
    <w:rsid w:val="00554CE6"/>
    <w:rsid w:val="0055666A"/>
    <w:rsid w:val="0055789F"/>
    <w:rsid w:val="00563122"/>
    <w:rsid w:val="00564004"/>
    <w:rsid w:val="00564AFB"/>
    <w:rsid w:val="0057183B"/>
    <w:rsid w:val="0057194E"/>
    <w:rsid w:val="00572E1E"/>
    <w:rsid w:val="0057474E"/>
    <w:rsid w:val="0057664D"/>
    <w:rsid w:val="00580511"/>
    <w:rsid w:val="005813FA"/>
    <w:rsid w:val="00581739"/>
    <w:rsid w:val="00582418"/>
    <w:rsid w:val="005838A7"/>
    <w:rsid w:val="0058597B"/>
    <w:rsid w:val="005874CC"/>
    <w:rsid w:val="005916EC"/>
    <w:rsid w:val="00592DD3"/>
    <w:rsid w:val="00593BBA"/>
    <w:rsid w:val="005945A9"/>
    <w:rsid w:val="00594D6C"/>
    <w:rsid w:val="005972F8"/>
    <w:rsid w:val="005973D4"/>
    <w:rsid w:val="005A087F"/>
    <w:rsid w:val="005A20A6"/>
    <w:rsid w:val="005A2FBA"/>
    <w:rsid w:val="005A3BFB"/>
    <w:rsid w:val="005A46D3"/>
    <w:rsid w:val="005A5671"/>
    <w:rsid w:val="005A5A02"/>
    <w:rsid w:val="005A6AAB"/>
    <w:rsid w:val="005A6DBE"/>
    <w:rsid w:val="005A78CE"/>
    <w:rsid w:val="005B23CF"/>
    <w:rsid w:val="005B24AF"/>
    <w:rsid w:val="005B42B2"/>
    <w:rsid w:val="005B7539"/>
    <w:rsid w:val="005B765B"/>
    <w:rsid w:val="005C01AF"/>
    <w:rsid w:val="005C030B"/>
    <w:rsid w:val="005C0D7C"/>
    <w:rsid w:val="005C1E5E"/>
    <w:rsid w:val="005C2B49"/>
    <w:rsid w:val="005C3FF9"/>
    <w:rsid w:val="005C6D0A"/>
    <w:rsid w:val="005C74A1"/>
    <w:rsid w:val="005D1473"/>
    <w:rsid w:val="005D382C"/>
    <w:rsid w:val="005D5E9D"/>
    <w:rsid w:val="005D77DC"/>
    <w:rsid w:val="005D784F"/>
    <w:rsid w:val="005E13EE"/>
    <w:rsid w:val="005E4A3D"/>
    <w:rsid w:val="005E5564"/>
    <w:rsid w:val="005E63FE"/>
    <w:rsid w:val="005E7A50"/>
    <w:rsid w:val="005F12C8"/>
    <w:rsid w:val="005F2111"/>
    <w:rsid w:val="005F3B5B"/>
    <w:rsid w:val="005F4684"/>
    <w:rsid w:val="005F61BC"/>
    <w:rsid w:val="00602DCB"/>
    <w:rsid w:val="006100E8"/>
    <w:rsid w:val="00610D53"/>
    <w:rsid w:val="00613EB7"/>
    <w:rsid w:val="00615ACB"/>
    <w:rsid w:val="006162A0"/>
    <w:rsid w:val="006172CC"/>
    <w:rsid w:val="006208A4"/>
    <w:rsid w:val="00620A49"/>
    <w:rsid w:val="00622517"/>
    <w:rsid w:val="00623E3E"/>
    <w:rsid w:val="00624233"/>
    <w:rsid w:val="0062675D"/>
    <w:rsid w:val="00631BB8"/>
    <w:rsid w:val="00632E17"/>
    <w:rsid w:val="00633180"/>
    <w:rsid w:val="0063428B"/>
    <w:rsid w:val="0063641C"/>
    <w:rsid w:val="00640C66"/>
    <w:rsid w:val="006410D9"/>
    <w:rsid w:val="0064234B"/>
    <w:rsid w:val="00645199"/>
    <w:rsid w:val="00647535"/>
    <w:rsid w:val="00647C96"/>
    <w:rsid w:val="0065152F"/>
    <w:rsid w:val="006553BA"/>
    <w:rsid w:val="0065641A"/>
    <w:rsid w:val="006565C0"/>
    <w:rsid w:val="00656699"/>
    <w:rsid w:val="006569E2"/>
    <w:rsid w:val="00661263"/>
    <w:rsid w:val="00662BC7"/>
    <w:rsid w:val="00664271"/>
    <w:rsid w:val="006645C5"/>
    <w:rsid w:val="00666D18"/>
    <w:rsid w:val="006713EE"/>
    <w:rsid w:val="00671624"/>
    <w:rsid w:val="0067283F"/>
    <w:rsid w:val="0067292B"/>
    <w:rsid w:val="0067604B"/>
    <w:rsid w:val="0067622B"/>
    <w:rsid w:val="006808F0"/>
    <w:rsid w:val="00680E31"/>
    <w:rsid w:val="0068272F"/>
    <w:rsid w:val="00683A90"/>
    <w:rsid w:val="00683D98"/>
    <w:rsid w:val="00686ACC"/>
    <w:rsid w:val="00691A0F"/>
    <w:rsid w:val="00692D7C"/>
    <w:rsid w:val="006939BD"/>
    <w:rsid w:val="00694B6A"/>
    <w:rsid w:val="00696A48"/>
    <w:rsid w:val="00697BD3"/>
    <w:rsid w:val="006A0C7B"/>
    <w:rsid w:val="006A215C"/>
    <w:rsid w:val="006A36C1"/>
    <w:rsid w:val="006A55B1"/>
    <w:rsid w:val="006A66EF"/>
    <w:rsid w:val="006A6C5F"/>
    <w:rsid w:val="006A7948"/>
    <w:rsid w:val="006B033E"/>
    <w:rsid w:val="006B098B"/>
    <w:rsid w:val="006B0E98"/>
    <w:rsid w:val="006B42CF"/>
    <w:rsid w:val="006B5DAF"/>
    <w:rsid w:val="006B5EAE"/>
    <w:rsid w:val="006D0E96"/>
    <w:rsid w:val="006D13BE"/>
    <w:rsid w:val="006D1C31"/>
    <w:rsid w:val="006D2CF1"/>
    <w:rsid w:val="006D2FBA"/>
    <w:rsid w:val="006D3A93"/>
    <w:rsid w:val="006D3F8F"/>
    <w:rsid w:val="006D4E8E"/>
    <w:rsid w:val="006D59D8"/>
    <w:rsid w:val="006D7089"/>
    <w:rsid w:val="006E1B79"/>
    <w:rsid w:val="006E2629"/>
    <w:rsid w:val="006E2F21"/>
    <w:rsid w:val="006E3038"/>
    <w:rsid w:val="006E5325"/>
    <w:rsid w:val="006E737C"/>
    <w:rsid w:val="006F1E2D"/>
    <w:rsid w:val="006F1F2B"/>
    <w:rsid w:val="006F48BA"/>
    <w:rsid w:val="006F62EA"/>
    <w:rsid w:val="00700EFC"/>
    <w:rsid w:val="007015EA"/>
    <w:rsid w:val="0070488D"/>
    <w:rsid w:val="00706468"/>
    <w:rsid w:val="00706DFA"/>
    <w:rsid w:val="00707346"/>
    <w:rsid w:val="007076A0"/>
    <w:rsid w:val="007102F7"/>
    <w:rsid w:val="007139B6"/>
    <w:rsid w:val="0071545F"/>
    <w:rsid w:val="007159F3"/>
    <w:rsid w:val="007174A6"/>
    <w:rsid w:val="00720763"/>
    <w:rsid w:val="00721C8F"/>
    <w:rsid w:val="00722899"/>
    <w:rsid w:val="0072655A"/>
    <w:rsid w:val="007302D6"/>
    <w:rsid w:val="00736FB2"/>
    <w:rsid w:val="007405F7"/>
    <w:rsid w:val="00741676"/>
    <w:rsid w:val="00745E44"/>
    <w:rsid w:val="00746761"/>
    <w:rsid w:val="007510B4"/>
    <w:rsid w:val="00751D1D"/>
    <w:rsid w:val="007526BA"/>
    <w:rsid w:val="00754CE7"/>
    <w:rsid w:val="00761898"/>
    <w:rsid w:val="00763991"/>
    <w:rsid w:val="007711A0"/>
    <w:rsid w:val="007726D6"/>
    <w:rsid w:val="00775B67"/>
    <w:rsid w:val="00777DA5"/>
    <w:rsid w:val="00780B96"/>
    <w:rsid w:val="0078649B"/>
    <w:rsid w:val="00786EA3"/>
    <w:rsid w:val="00792EEC"/>
    <w:rsid w:val="007933BE"/>
    <w:rsid w:val="00794544"/>
    <w:rsid w:val="007A1978"/>
    <w:rsid w:val="007A56A1"/>
    <w:rsid w:val="007A5A0C"/>
    <w:rsid w:val="007B15C6"/>
    <w:rsid w:val="007C0A28"/>
    <w:rsid w:val="007C0F43"/>
    <w:rsid w:val="007C2530"/>
    <w:rsid w:val="007C2DEC"/>
    <w:rsid w:val="007C3E84"/>
    <w:rsid w:val="007C4C66"/>
    <w:rsid w:val="007C514A"/>
    <w:rsid w:val="007C7A66"/>
    <w:rsid w:val="007D24B9"/>
    <w:rsid w:val="007D3666"/>
    <w:rsid w:val="007D488B"/>
    <w:rsid w:val="007D53B1"/>
    <w:rsid w:val="007D5F4A"/>
    <w:rsid w:val="007E0097"/>
    <w:rsid w:val="007E05CE"/>
    <w:rsid w:val="007E57E1"/>
    <w:rsid w:val="007E635B"/>
    <w:rsid w:val="007E6796"/>
    <w:rsid w:val="007E7D17"/>
    <w:rsid w:val="007F0891"/>
    <w:rsid w:val="007F0A11"/>
    <w:rsid w:val="007F3789"/>
    <w:rsid w:val="007F3816"/>
    <w:rsid w:val="007F3E55"/>
    <w:rsid w:val="007F4168"/>
    <w:rsid w:val="007F7CF7"/>
    <w:rsid w:val="0080264D"/>
    <w:rsid w:val="00802AEA"/>
    <w:rsid w:val="00805451"/>
    <w:rsid w:val="0080729F"/>
    <w:rsid w:val="00807AB2"/>
    <w:rsid w:val="00811ACA"/>
    <w:rsid w:val="00813426"/>
    <w:rsid w:val="00813742"/>
    <w:rsid w:val="0081419C"/>
    <w:rsid w:val="00814225"/>
    <w:rsid w:val="0081520D"/>
    <w:rsid w:val="008160FB"/>
    <w:rsid w:val="00817C20"/>
    <w:rsid w:val="00823F0F"/>
    <w:rsid w:val="00823F52"/>
    <w:rsid w:val="00825727"/>
    <w:rsid w:val="00825FF7"/>
    <w:rsid w:val="0082678E"/>
    <w:rsid w:val="00826C7E"/>
    <w:rsid w:val="00831A29"/>
    <w:rsid w:val="008328C9"/>
    <w:rsid w:val="008353EA"/>
    <w:rsid w:val="00840013"/>
    <w:rsid w:val="0084048F"/>
    <w:rsid w:val="008437C4"/>
    <w:rsid w:val="00843823"/>
    <w:rsid w:val="008445A4"/>
    <w:rsid w:val="00845079"/>
    <w:rsid w:val="00845C5A"/>
    <w:rsid w:val="00847470"/>
    <w:rsid w:val="00847CA8"/>
    <w:rsid w:val="0085052F"/>
    <w:rsid w:val="00851A22"/>
    <w:rsid w:val="00854C12"/>
    <w:rsid w:val="0085676E"/>
    <w:rsid w:val="008631DA"/>
    <w:rsid w:val="0086346D"/>
    <w:rsid w:val="00865DAC"/>
    <w:rsid w:val="00866F97"/>
    <w:rsid w:val="0087267E"/>
    <w:rsid w:val="0087285D"/>
    <w:rsid w:val="0087341D"/>
    <w:rsid w:val="00873761"/>
    <w:rsid w:val="00873FA1"/>
    <w:rsid w:val="008804B7"/>
    <w:rsid w:val="00882AB0"/>
    <w:rsid w:val="00882D34"/>
    <w:rsid w:val="008832BB"/>
    <w:rsid w:val="00884C06"/>
    <w:rsid w:val="00885B8C"/>
    <w:rsid w:val="00885E41"/>
    <w:rsid w:val="0088725D"/>
    <w:rsid w:val="00887BE3"/>
    <w:rsid w:val="00890DE6"/>
    <w:rsid w:val="0089345E"/>
    <w:rsid w:val="008A2CBD"/>
    <w:rsid w:val="008B0A41"/>
    <w:rsid w:val="008B0CD2"/>
    <w:rsid w:val="008B12A3"/>
    <w:rsid w:val="008B1E22"/>
    <w:rsid w:val="008B2EA5"/>
    <w:rsid w:val="008B483E"/>
    <w:rsid w:val="008B63A2"/>
    <w:rsid w:val="008B783C"/>
    <w:rsid w:val="008C0C65"/>
    <w:rsid w:val="008C315F"/>
    <w:rsid w:val="008C7C94"/>
    <w:rsid w:val="008D01BB"/>
    <w:rsid w:val="008D0B3E"/>
    <w:rsid w:val="008D2F64"/>
    <w:rsid w:val="008D3125"/>
    <w:rsid w:val="008D44AD"/>
    <w:rsid w:val="008D4B91"/>
    <w:rsid w:val="008D7947"/>
    <w:rsid w:val="008E04F5"/>
    <w:rsid w:val="008E0648"/>
    <w:rsid w:val="008E68E0"/>
    <w:rsid w:val="008E70CE"/>
    <w:rsid w:val="008E74AE"/>
    <w:rsid w:val="008E7945"/>
    <w:rsid w:val="008E7F5C"/>
    <w:rsid w:val="008F40C3"/>
    <w:rsid w:val="008F485E"/>
    <w:rsid w:val="008F4E83"/>
    <w:rsid w:val="008F5E88"/>
    <w:rsid w:val="008F6FE1"/>
    <w:rsid w:val="008F772D"/>
    <w:rsid w:val="00901230"/>
    <w:rsid w:val="00901E9A"/>
    <w:rsid w:val="00902054"/>
    <w:rsid w:val="00905468"/>
    <w:rsid w:val="00910B5D"/>
    <w:rsid w:val="00911241"/>
    <w:rsid w:val="00911AB4"/>
    <w:rsid w:val="009149B3"/>
    <w:rsid w:val="00914B40"/>
    <w:rsid w:val="0092039A"/>
    <w:rsid w:val="009258B4"/>
    <w:rsid w:val="009303CC"/>
    <w:rsid w:val="0093052B"/>
    <w:rsid w:val="00932506"/>
    <w:rsid w:val="009357BA"/>
    <w:rsid w:val="00936AE2"/>
    <w:rsid w:val="00937486"/>
    <w:rsid w:val="00942258"/>
    <w:rsid w:val="00943DDE"/>
    <w:rsid w:val="00943F8B"/>
    <w:rsid w:val="009444D5"/>
    <w:rsid w:val="00944C15"/>
    <w:rsid w:val="009459F3"/>
    <w:rsid w:val="00946755"/>
    <w:rsid w:val="0094725D"/>
    <w:rsid w:val="00947895"/>
    <w:rsid w:val="009502B4"/>
    <w:rsid w:val="0095157E"/>
    <w:rsid w:val="00953103"/>
    <w:rsid w:val="009555A6"/>
    <w:rsid w:val="00960EFE"/>
    <w:rsid w:val="00961F21"/>
    <w:rsid w:val="00965BD1"/>
    <w:rsid w:val="0096749D"/>
    <w:rsid w:val="00967D54"/>
    <w:rsid w:val="00974BFD"/>
    <w:rsid w:val="009803D6"/>
    <w:rsid w:val="00981E8D"/>
    <w:rsid w:val="009846E1"/>
    <w:rsid w:val="0098641E"/>
    <w:rsid w:val="009926C6"/>
    <w:rsid w:val="00993842"/>
    <w:rsid w:val="00993A5A"/>
    <w:rsid w:val="009947CD"/>
    <w:rsid w:val="009966C1"/>
    <w:rsid w:val="009A2FA8"/>
    <w:rsid w:val="009A3B8C"/>
    <w:rsid w:val="009A6572"/>
    <w:rsid w:val="009B0234"/>
    <w:rsid w:val="009B0C6F"/>
    <w:rsid w:val="009B164B"/>
    <w:rsid w:val="009B1AF4"/>
    <w:rsid w:val="009B1CF9"/>
    <w:rsid w:val="009B2682"/>
    <w:rsid w:val="009B44FB"/>
    <w:rsid w:val="009B49CA"/>
    <w:rsid w:val="009B5092"/>
    <w:rsid w:val="009B6749"/>
    <w:rsid w:val="009B7CCA"/>
    <w:rsid w:val="009C264E"/>
    <w:rsid w:val="009C6532"/>
    <w:rsid w:val="009D1DAB"/>
    <w:rsid w:val="009D2DD4"/>
    <w:rsid w:val="009D2FBD"/>
    <w:rsid w:val="009D6C3D"/>
    <w:rsid w:val="009D79FD"/>
    <w:rsid w:val="009E0552"/>
    <w:rsid w:val="009E0562"/>
    <w:rsid w:val="009E3E02"/>
    <w:rsid w:val="009E4531"/>
    <w:rsid w:val="009E771D"/>
    <w:rsid w:val="009E7F29"/>
    <w:rsid w:val="009F2ADE"/>
    <w:rsid w:val="009F2EE5"/>
    <w:rsid w:val="009F378D"/>
    <w:rsid w:val="00A00433"/>
    <w:rsid w:val="00A05507"/>
    <w:rsid w:val="00A07AEE"/>
    <w:rsid w:val="00A11DC6"/>
    <w:rsid w:val="00A12A30"/>
    <w:rsid w:val="00A14751"/>
    <w:rsid w:val="00A1574E"/>
    <w:rsid w:val="00A168E2"/>
    <w:rsid w:val="00A20650"/>
    <w:rsid w:val="00A254CA"/>
    <w:rsid w:val="00A25BCF"/>
    <w:rsid w:val="00A27556"/>
    <w:rsid w:val="00A30DAC"/>
    <w:rsid w:val="00A31290"/>
    <w:rsid w:val="00A32430"/>
    <w:rsid w:val="00A32742"/>
    <w:rsid w:val="00A32E3D"/>
    <w:rsid w:val="00A33C40"/>
    <w:rsid w:val="00A33DC3"/>
    <w:rsid w:val="00A35E75"/>
    <w:rsid w:val="00A375EB"/>
    <w:rsid w:val="00A37ECD"/>
    <w:rsid w:val="00A40709"/>
    <w:rsid w:val="00A44CE4"/>
    <w:rsid w:val="00A44DBC"/>
    <w:rsid w:val="00A4735D"/>
    <w:rsid w:val="00A47D1E"/>
    <w:rsid w:val="00A51DAA"/>
    <w:rsid w:val="00A51DF5"/>
    <w:rsid w:val="00A52272"/>
    <w:rsid w:val="00A54B03"/>
    <w:rsid w:val="00A554E6"/>
    <w:rsid w:val="00A55596"/>
    <w:rsid w:val="00A55ABB"/>
    <w:rsid w:val="00A57481"/>
    <w:rsid w:val="00A62C49"/>
    <w:rsid w:val="00A6352C"/>
    <w:rsid w:val="00A6781E"/>
    <w:rsid w:val="00A7176D"/>
    <w:rsid w:val="00A71F47"/>
    <w:rsid w:val="00A77D02"/>
    <w:rsid w:val="00A77FE0"/>
    <w:rsid w:val="00A8203C"/>
    <w:rsid w:val="00A84585"/>
    <w:rsid w:val="00A87198"/>
    <w:rsid w:val="00A87D44"/>
    <w:rsid w:val="00A90E87"/>
    <w:rsid w:val="00A963FE"/>
    <w:rsid w:val="00A967C0"/>
    <w:rsid w:val="00A96849"/>
    <w:rsid w:val="00A9705C"/>
    <w:rsid w:val="00AA0AC6"/>
    <w:rsid w:val="00AA36C2"/>
    <w:rsid w:val="00AA5F5F"/>
    <w:rsid w:val="00AA712A"/>
    <w:rsid w:val="00AB183C"/>
    <w:rsid w:val="00AB2A2A"/>
    <w:rsid w:val="00AB3D7E"/>
    <w:rsid w:val="00AB4C1E"/>
    <w:rsid w:val="00AB4E93"/>
    <w:rsid w:val="00AB5227"/>
    <w:rsid w:val="00AB54FA"/>
    <w:rsid w:val="00AB5A08"/>
    <w:rsid w:val="00AB711F"/>
    <w:rsid w:val="00AC21A5"/>
    <w:rsid w:val="00AC4EB0"/>
    <w:rsid w:val="00AC6558"/>
    <w:rsid w:val="00AD12C2"/>
    <w:rsid w:val="00AD2263"/>
    <w:rsid w:val="00AD258E"/>
    <w:rsid w:val="00AD3691"/>
    <w:rsid w:val="00AD560B"/>
    <w:rsid w:val="00AE007E"/>
    <w:rsid w:val="00AE17B8"/>
    <w:rsid w:val="00AE344B"/>
    <w:rsid w:val="00AE3E94"/>
    <w:rsid w:val="00AE5DE4"/>
    <w:rsid w:val="00AE6983"/>
    <w:rsid w:val="00AE760E"/>
    <w:rsid w:val="00AF3C33"/>
    <w:rsid w:val="00AF6A31"/>
    <w:rsid w:val="00B0009B"/>
    <w:rsid w:val="00B00333"/>
    <w:rsid w:val="00B04921"/>
    <w:rsid w:val="00B06381"/>
    <w:rsid w:val="00B10CA6"/>
    <w:rsid w:val="00B123E9"/>
    <w:rsid w:val="00B14948"/>
    <w:rsid w:val="00B1588F"/>
    <w:rsid w:val="00B20753"/>
    <w:rsid w:val="00B208F1"/>
    <w:rsid w:val="00B20FBB"/>
    <w:rsid w:val="00B21051"/>
    <w:rsid w:val="00B21341"/>
    <w:rsid w:val="00B217C2"/>
    <w:rsid w:val="00B25E00"/>
    <w:rsid w:val="00B27B50"/>
    <w:rsid w:val="00B304CF"/>
    <w:rsid w:val="00B36378"/>
    <w:rsid w:val="00B36826"/>
    <w:rsid w:val="00B40879"/>
    <w:rsid w:val="00B40F64"/>
    <w:rsid w:val="00B411C0"/>
    <w:rsid w:val="00B41C99"/>
    <w:rsid w:val="00B420AA"/>
    <w:rsid w:val="00B42370"/>
    <w:rsid w:val="00B458AF"/>
    <w:rsid w:val="00B51B7D"/>
    <w:rsid w:val="00B52E8F"/>
    <w:rsid w:val="00B530D6"/>
    <w:rsid w:val="00B55A3B"/>
    <w:rsid w:val="00B56693"/>
    <w:rsid w:val="00B5701A"/>
    <w:rsid w:val="00B60C6F"/>
    <w:rsid w:val="00B6154D"/>
    <w:rsid w:val="00B65823"/>
    <w:rsid w:val="00B73858"/>
    <w:rsid w:val="00B7635C"/>
    <w:rsid w:val="00B7764E"/>
    <w:rsid w:val="00B80892"/>
    <w:rsid w:val="00B81B7C"/>
    <w:rsid w:val="00B825C5"/>
    <w:rsid w:val="00B83DF4"/>
    <w:rsid w:val="00B90B09"/>
    <w:rsid w:val="00B90B87"/>
    <w:rsid w:val="00B92401"/>
    <w:rsid w:val="00B924CD"/>
    <w:rsid w:val="00B93487"/>
    <w:rsid w:val="00B94C76"/>
    <w:rsid w:val="00B95E25"/>
    <w:rsid w:val="00B96D14"/>
    <w:rsid w:val="00BA5581"/>
    <w:rsid w:val="00BA5A49"/>
    <w:rsid w:val="00BA5D85"/>
    <w:rsid w:val="00BA76B1"/>
    <w:rsid w:val="00BA7BC2"/>
    <w:rsid w:val="00BA7F92"/>
    <w:rsid w:val="00BB3631"/>
    <w:rsid w:val="00BB63CE"/>
    <w:rsid w:val="00BC23E8"/>
    <w:rsid w:val="00BC474F"/>
    <w:rsid w:val="00BC4BCD"/>
    <w:rsid w:val="00BC53AA"/>
    <w:rsid w:val="00BC5E5F"/>
    <w:rsid w:val="00BC7BD3"/>
    <w:rsid w:val="00BD117D"/>
    <w:rsid w:val="00BD12D3"/>
    <w:rsid w:val="00BD1433"/>
    <w:rsid w:val="00BD4205"/>
    <w:rsid w:val="00BD4FFC"/>
    <w:rsid w:val="00BE08C5"/>
    <w:rsid w:val="00BE431F"/>
    <w:rsid w:val="00BE5E71"/>
    <w:rsid w:val="00BE6B72"/>
    <w:rsid w:val="00BF058D"/>
    <w:rsid w:val="00BF14A8"/>
    <w:rsid w:val="00BF3A70"/>
    <w:rsid w:val="00BF433E"/>
    <w:rsid w:val="00BF4E07"/>
    <w:rsid w:val="00BF5543"/>
    <w:rsid w:val="00BF7DC3"/>
    <w:rsid w:val="00C02028"/>
    <w:rsid w:val="00C02CE8"/>
    <w:rsid w:val="00C03712"/>
    <w:rsid w:val="00C04FD2"/>
    <w:rsid w:val="00C05E6D"/>
    <w:rsid w:val="00C05F8A"/>
    <w:rsid w:val="00C06FE0"/>
    <w:rsid w:val="00C1111C"/>
    <w:rsid w:val="00C11DF2"/>
    <w:rsid w:val="00C11E02"/>
    <w:rsid w:val="00C14609"/>
    <w:rsid w:val="00C14727"/>
    <w:rsid w:val="00C161C3"/>
    <w:rsid w:val="00C214BC"/>
    <w:rsid w:val="00C24E00"/>
    <w:rsid w:val="00C272D1"/>
    <w:rsid w:val="00C30C1B"/>
    <w:rsid w:val="00C3448B"/>
    <w:rsid w:val="00C41235"/>
    <w:rsid w:val="00C434F3"/>
    <w:rsid w:val="00C46044"/>
    <w:rsid w:val="00C51DFB"/>
    <w:rsid w:val="00C57D27"/>
    <w:rsid w:val="00C6011D"/>
    <w:rsid w:val="00C62C3C"/>
    <w:rsid w:val="00C64517"/>
    <w:rsid w:val="00C64AA9"/>
    <w:rsid w:val="00C667D1"/>
    <w:rsid w:val="00C67875"/>
    <w:rsid w:val="00C67F89"/>
    <w:rsid w:val="00C70A0D"/>
    <w:rsid w:val="00C7188A"/>
    <w:rsid w:val="00C71EAA"/>
    <w:rsid w:val="00C74F76"/>
    <w:rsid w:val="00C75731"/>
    <w:rsid w:val="00C75C95"/>
    <w:rsid w:val="00C7661E"/>
    <w:rsid w:val="00C80949"/>
    <w:rsid w:val="00C868CA"/>
    <w:rsid w:val="00C87178"/>
    <w:rsid w:val="00C90969"/>
    <w:rsid w:val="00C91A80"/>
    <w:rsid w:val="00C93F1C"/>
    <w:rsid w:val="00C951CC"/>
    <w:rsid w:val="00C9660C"/>
    <w:rsid w:val="00C97C70"/>
    <w:rsid w:val="00CA0714"/>
    <w:rsid w:val="00CA523E"/>
    <w:rsid w:val="00CA5907"/>
    <w:rsid w:val="00CA6DD9"/>
    <w:rsid w:val="00CA77A8"/>
    <w:rsid w:val="00CA7DBA"/>
    <w:rsid w:val="00CB0279"/>
    <w:rsid w:val="00CB18A5"/>
    <w:rsid w:val="00CB3DD2"/>
    <w:rsid w:val="00CB7E46"/>
    <w:rsid w:val="00CC29E8"/>
    <w:rsid w:val="00CC3426"/>
    <w:rsid w:val="00CC3AC6"/>
    <w:rsid w:val="00CC3DF7"/>
    <w:rsid w:val="00CC41C0"/>
    <w:rsid w:val="00CC6BA6"/>
    <w:rsid w:val="00CC6E6F"/>
    <w:rsid w:val="00CD2771"/>
    <w:rsid w:val="00CD3A85"/>
    <w:rsid w:val="00CD49A3"/>
    <w:rsid w:val="00CD5E70"/>
    <w:rsid w:val="00CD70A8"/>
    <w:rsid w:val="00CE04A2"/>
    <w:rsid w:val="00CE0950"/>
    <w:rsid w:val="00CE28AF"/>
    <w:rsid w:val="00CE3113"/>
    <w:rsid w:val="00CE3874"/>
    <w:rsid w:val="00CE68CB"/>
    <w:rsid w:val="00CE6CB9"/>
    <w:rsid w:val="00CE74F5"/>
    <w:rsid w:val="00CF0741"/>
    <w:rsid w:val="00CF5368"/>
    <w:rsid w:val="00CF61C3"/>
    <w:rsid w:val="00CF6A97"/>
    <w:rsid w:val="00CF731F"/>
    <w:rsid w:val="00D0004E"/>
    <w:rsid w:val="00D01CE3"/>
    <w:rsid w:val="00D03249"/>
    <w:rsid w:val="00D03F95"/>
    <w:rsid w:val="00D0467C"/>
    <w:rsid w:val="00D065F8"/>
    <w:rsid w:val="00D06A97"/>
    <w:rsid w:val="00D06FD3"/>
    <w:rsid w:val="00D1041A"/>
    <w:rsid w:val="00D1349A"/>
    <w:rsid w:val="00D134FA"/>
    <w:rsid w:val="00D16A0C"/>
    <w:rsid w:val="00D16EB2"/>
    <w:rsid w:val="00D20375"/>
    <w:rsid w:val="00D23072"/>
    <w:rsid w:val="00D2352D"/>
    <w:rsid w:val="00D26649"/>
    <w:rsid w:val="00D27BAE"/>
    <w:rsid w:val="00D27BDF"/>
    <w:rsid w:val="00D30C75"/>
    <w:rsid w:val="00D32A7C"/>
    <w:rsid w:val="00D373A8"/>
    <w:rsid w:val="00D37F26"/>
    <w:rsid w:val="00D4077D"/>
    <w:rsid w:val="00D41D8B"/>
    <w:rsid w:val="00D4596F"/>
    <w:rsid w:val="00D50146"/>
    <w:rsid w:val="00D50502"/>
    <w:rsid w:val="00D50A02"/>
    <w:rsid w:val="00D5287E"/>
    <w:rsid w:val="00D55082"/>
    <w:rsid w:val="00D575BA"/>
    <w:rsid w:val="00D57C9F"/>
    <w:rsid w:val="00D60529"/>
    <w:rsid w:val="00D60B74"/>
    <w:rsid w:val="00D60F7E"/>
    <w:rsid w:val="00D63792"/>
    <w:rsid w:val="00D65E22"/>
    <w:rsid w:val="00D7046B"/>
    <w:rsid w:val="00D70636"/>
    <w:rsid w:val="00D70906"/>
    <w:rsid w:val="00D710CE"/>
    <w:rsid w:val="00D727CE"/>
    <w:rsid w:val="00D73EA6"/>
    <w:rsid w:val="00D743C2"/>
    <w:rsid w:val="00D81D69"/>
    <w:rsid w:val="00D83A20"/>
    <w:rsid w:val="00D852DF"/>
    <w:rsid w:val="00D86541"/>
    <w:rsid w:val="00D87123"/>
    <w:rsid w:val="00D94985"/>
    <w:rsid w:val="00D94D4E"/>
    <w:rsid w:val="00D95EB4"/>
    <w:rsid w:val="00DA15EF"/>
    <w:rsid w:val="00DA2002"/>
    <w:rsid w:val="00DA2015"/>
    <w:rsid w:val="00DA2D6B"/>
    <w:rsid w:val="00DB1060"/>
    <w:rsid w:val="00DB5060"/>
    <w:rsid w:val="00DB638B"/>
    <w:rsid w:val="00DB715B"/>
    <w:rsid w:val="00DC0009"/>
    <w:rsid w:val="00DC1EA9"/>
    <w:rsid w:val="00DC318F"/>
    <w:rsid w:val="00DC37F7"/>
    <w:rsid w:val="00DC47AB"/>
    <w:rsid w:val="00DC57C5"/>
    <w:rsid w:val="00DC6485"/>
    <w:rsid w:val="00DC7453"/>
    <w:rsid w:val="00DD160C"/>
    <w:rsid w:val="00DD2964"/>
    <w:rsid w:val="00DD371D"/>
    <w:rsid w:val="00DD45E5"/>
    <w:rsid w:val="00DD668B"/>
    <w:rsid w:val="00DD6745"/>
    <w:rsid w:val="00DD6B06"/>
    <w:rsid w:val="00DD75FB"/>
    <w:rsid w:val="00DE610F"/>
    <w:rsid w:val="00DF1579"/>
    <w:rsid w:val="00DF3EA0"/>
    <w:rsid w:val="00DF41E9"/>
    <w:rsid w:val="00DF60BC"/>
    <w:rsid w:val="00DF7DF0"/>
    <w:rsid w:val="00E00F0A"/>
    <w:rsid w:val="00E0101A"/>
    <w:rsid w:val="00E03186"/>
    <w:rsid w:val="00E031A6"/>
    <w:rsid w:val="00E042CC"/>
    <w:rsid w:val="00E04C4B"/>
    <w:rsid w:val="00E075C4"/>
    <w:rsid w:val="00E07B0D"/>
    <w:rsid w:val="00E101EA"/>
    <w:rsid w:val="00E10CAE"/>
    <w:rsid w:val="00E14215"/>
    <w:rsid w:val="00E14C06"/>
    <w:rsid w:val="00E163A1"/>
    <w:rsid w:val="00E163D8"/>
    <w:rsid w:val="00E16D83"/>
    <w:rsid w:val="00E17ADE"/>
    <w:rsid w:val="00E2103E"/>
    <w:rsid w:val="00E21E95"/>
    <w:rsid w:val="00E229E9"/>
    <w:rsid w:val="00E23BFF"/>
    <w:rsid w:val="00E25098"/>
    <w:rsid w:val="00E250B1"/>
    <w:rsid w:val="00E26430"/>
    <w:rsid w:val="00E33793"/>
    <w:rsid w:val="00E36D2D"/>
    <w:rsid w:val="00E4135A"/>
    <w:rsid w:val="00E4180B"/>
    <w:rsid w:val="00E43137"/>
    <w:rsid w:val="00E43510"/>
    <w:rsid w:val="00E457C6"/>
    <w:rsid w:val="00E45AB5"/>
    <w:rsid w:val="00E4618C"/>
    <w:rsid w:val="00E46C02"/>
    <w:rsid w:val="00E556F8"/>
    <w:rsid w:val="00E5605C"/>
    <w:rsid w:val="00E576E6"/>
    <w:rsid w:val="00E6057D"/>
    <w:rsid w:val="00E63427"/>
    <w:rsid w:val="00E63B92"/>
    <w:rsid w:val="00E6535B"/>
    <w:rsid w:val="00E66B4A"/>
    <w:rsid w:val="00E67DB4"/>
    <w:rsid w:val="00E70AB3"/>
    <w:rsid w:val="00E71580"/>
    <w:rsid w:val="00E73236"/>
    <w:rsid w:val="00E74FEC"/>
    <w:rsid w:val="00E75E2E"/>
    <w:rsid w:val="00E768F3"/>
    <w:rsid w:val="00E80067"/>
    <w:rsid w:val="00E81728"/>
    <w:rsid w:val="00E823F3"/>
    <w:rsid w:val="00E83672"/>
    <w:rsid w:val="00E83A58"/>
    <w:rsid w:val="00E863A5"/>
    <w:rsid w:val="00E86977"/>
    <w:rsid w:val="00E915DE"/>
    <w:rsid w:val="00E91AB3"/>
    <w:rsid w:val="00E95CC5"/>
    <w:rsid w:val="00E9668E"/>
    <w:rsid w:val="00E9783E"/>
    <w:rsid w:val="00EA24A3"/>
    <w:rsid w:val="00EA29D7"/>
    <w:rsid w:val="00EA4B90"/>
    <w:rsid w:val="00EB25DF"/>
    <w:rsid w:val="00EB2F47"/>
    <w:rsid w:val="00EB6DFA"/>
    <w:rsid w:val="00EC06C0"/>
    <w:rsid w:val="00EC0B24"/>
    <w:rsid w:val="00EC1941"/>
    <w:rsid w:val="00EC1D00"/>
    <w:rsid w:val="00EC2C9B"/>
    <w:rsid w:val="00EC3569"/>
    <w:rsid w:val="00EC47EF"/>
    <w:rsid w:val="00EC4903"/>
    <w:rsid w:val="00EC4CCD"/>
    <w:rsid w:val="00EC54AB"/>
    <w:rsid w:val="00EC759C"/>
    <w:rsid w:val="00EC7BF7"/>
    <w:rsid w:val="00ED178B"/>
    <w:rsid w:val="00ED315A"/>
    <w:rsid w:val="00ED358C"/>
    <w:rsid w:val="00EE09A9"/>
    <w:rsid w:val="00EE1AD9"/>
    <w:rsid w:val="00EE1D26"/>
    <w:rsid w:val="00EE1E28"/>
    <w:rsid w:val="00EE2B5A"/>
    <w:rsid w:val="00EE2BDA"/>
    <w:rsid w:val="00EE3E4B"/>
    <w:rsid w:val="00EE47C8"/>
    <w:rsid w:val="00EE4A26"/>
    <w:rsid w:val="00EE52F9"/>
    <w:rsid w:val="00EF182C"/>
    <w:rsid w:val="00EF1925"/>
    <w:rsid w:val="00EF306C"/>
    <w:rsid w:val="00EF5ADB"/>
    <w:rsid w:val="00F01CE1"/>
    <w:rsid w:val="00F036C3"/>
    <w:rsid w:val="00F04F6D"/>
    <w:rsid w:val="00F051B8"/>
    <w:rsid w:val="00F07494"/>
    <w:rsid w:val="00F07DD6"/>
    <w:rsid w:val="00F1667B"/>
    <w:rsid w:val="00F233E3"/>
    <w:rsid w:val="00F24398"/>
    <w:rsid w:val="00F262E9"/>
    <w:rsid w:val="00F27F07"/>
    <w:rsid w:val="00F30295"/>
    <w:rsid w:val="00F30E9A"/>
    <w:rsid w:val="00F31226"/>
    <w:rsid w:val="00F317D6"/>
    <w:rsid w:val="00F33C9A"/>
    <w:rsid w:val="00F33F87"/>
    <w:rsid w:val="00F354E3"/>
    <w:rsid w:val="00F35F10"/>
    <w:rsid w:val="00F3759F"/>
    <w:rsid w:val="00F40553"/>
    <w:rsid w:val="00F43AC7"/>
    <w:rsid w:val="00F45B43"/>
    <w:rsid w:val="00F45F03"/>
    <w:rsid w:val="00F4789F"/>
    <w:rsid w:val="00F47A14"/>
    <w:rsid w:val="00F5168F"/>
    <w:rsid w:val="00F5359A"/>
    <w:rsid w:val="00F61116"/>
    <w:rsid w:val="00F61D78"/>
    <w:rsid w:val="00F61E82"/>
    <w:rsid w:val="00F62276"/>
    <w:rsid w:val="00F6386F"/>
    <w:rsid w:val="00F63996"/>
    <w:rsid w:val="00F640FE"/>
    <w:rsid w:val="00F64F1A"/>
    <w:rsid w:val="00F712DD"/>
    <w:rsid w:val="00F714F7"/>
    <w:rsid w:val="00F715D9"/>
    <w:rsid w:val="00F75158"/>
    <w:rsid w:val="00F753D2"/>
    <w:rsid w:val="00F761D4"/>
    <w:rsid w:val="00F833C2"/>
    <w:rsid w:val="00F83526"/>
    <w:rsid w:val="00F84F6B"/>
    <w:rsid w:val="00F872EC"/>
    <w:rsid w:val="00F87511"/>
    <w:rsid w:val="00F87D4B"/>
    <w:rsid w:val="00F90DEF"/>
    <w:rsid w:val="00F949E4"/>
    <w:rsid w:val="00F95896"/>
    <w:rsid w:val="00FA0FDD"/>
    <w:rsid w:val="00FA169E"/>
    <w:rsid w:val="00FA2044"/>
    <w:rsid w:val="00FA20C1"/>
    <w:rsid w:val="00FA33B7"/>
    <w:rsid w:val="00FA5326"/>
    <w:rsid w:val="00FA5975"/>
    <w:rsid w:val="00FA6160"/>
    <w:rsid w:val="00FA747D"/>
    <w:rsid w:val="00FA7E7E"/>
    <w:rsid w:val="00FB05C8"/>
    <w:rsid w:val="00FB0DE3"/>
    <w:rsid w:val="00FB12F1"/>
    <w:rsid w:val="00FB1E3B"/>
    <w:rsid w:val="00FB2D91"/>
    <w:rsid w:val="00FB4092"/>
    <w:rsid w:val="00FB4720"/>
    <w:rsid w:val="00FB6295"/>
    <w:rsid w:val="00FB73F9"/>
    <w:rsid w:val="00FC0AE0"/>
    <w:rsid w:val="00FC1649"/>
    <w:rsid w:val="00FC1779"/>
    <w:rsid w:val="00FC4610"/>
    <w:rsid w:val="00FC6AA0"/>
    <w:rsid w:val="00FD2796"/>
    <w:rsid w:val="00FD2A30"/>
    <w:rsid w:val="00FD625E"/>
    <w:rsid w:val="00FD712A"/>
    <w:rsid w:val="00FD76A9"/>
    <w:rsid w:val="00FE1729"/>
    <w:rsid w:val="00FE1AD6"/>
    <w:rsid w:val="00FE1BDD"/>
    <w:rsid w:val="00FE3876"/>
    <w:rsid w:val="00FE3E11"/>
    <w:rsid w:val="00FE49DE"/>
    <w:rsid w:val="00FE554C"/>
    <w:rsid w:val="00FE5911"/>
    <w:rsid w:val="00FE5956"/>
    <w:rsid w:val="00FE5CA8"/>
    <w:rsid w:val="00FE5D1D"/>
    <w:rsid w:val="00FE7CA1"/>
    <w:rsid w:val="00FF081B"/>
    <w:rsid w:val="00FF3F3D"/>
    <w:rsid w:val="00FF6EF8"/>
    <w:rsid w:val="00FF77C4"/>
    <w:rsid w:val="02213FF1"/>
    <w:rsid w:val="02B40E52"/>
    <w:rsid w:val="069F60E8"/>
    <w:rsid w:val="0CF92FDF"/>
    <w:rsid w:val="0E79524F"/>
    <w:rsid w:val="1183413A"/>
    <w:rsid w:val="1719522C"/>
    <w:rsid w:val="1BD932A5"/>
    <w:rsid w:val="1D104383"/>
    <w:rsid w:val="216E1608"/>
    <w:rsid w:val="248F51C1"/>
    <w:rsid w:val="27AC5294"/>
    <w:rsid w:val="2D3126CE"/>
    <w:rsid w:val="2F3B034A"/>
    <w:rsid w:val="31C17B79"/>
    <w:rsid w:val="33B3575F"/>
    <w:rsid w:val="38C37E4C"/>
    <w:rsid w:val="39902DE8"/>
    <w:rsid w:val="3F3B4315"/>
    <w:rsid w:val="41766CF7"/>
    <w:rsid w:val="47A919DD"/>
    <w:rsid w:val="487A3570"/>
    <w:rsid w:val="4CD028C7"/>
    <w:rsid w:val="4DC315A3"/>
    <w:rsid w:val="4EFA791C"/>
    <w:rsid w:val="4FCE17C1"/>
    <w:rsid w:val="51424509"/>
    <w:rsid w:val="52620BC2"/>
    <w:rsid w:val="52942AB2"/>
    <w:rsid w:val="595B0056"/>
    <w:rsid w:val="5ABC6BC4"/>
    <w:rsid w:val="5BA03D24"/>
    <w:rsid w:val="605B5620"/>
    <w:rsid w:val="68307E57"/>
    <w:rsid w:val="683E64BF"/>
    <w:rsid w:val="68854707"/>
    <w:rsid w:val="69792FFD"/>
    <w:rsid w:val="69ED7AE8"/>
    <w:rsid w:val="6B940B40"/>
    <w:rsid w:val="6DD219B8"/>
    <w:rsid w:val="71EE5B2D"/>
    <w:rsid w:val="7482682E"/>
    <w:rsid w:val="7719206D"/>
    <w:rsid w:val="798339FB"/>
    <w:rsid w:val="7AD5622C"/>
    <w:rsid w:val="7D4B4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C08B4CB-E0C3-4691-A972-C76D0B2CB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="Times New Roman" w:eastAsia="方正仿宋_GBK" w:hAnsi="Times New Roman" w:cs="Times New Roman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autoRedefine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autoRedefine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autoRedefine/>
    <w:qFormat/>
    <w:pPr>
      <w:widowControl w:val="0"/>
      <w:spacing w:before="100" w:beforeAutospacing="1" w:after="100" w:afterAutospacing="1"/>
    </w:pPr>
    <w:rPr>
      <w:rFonts w:ascii="宋体" w:eastAsia="宋体" w:hAnsi="Times New Roman" w:cs="Times New Roman"/>
      <w:kern w:val="2"/>
      <w:sz w:val="24"/>
    </w:rPr>
  </w:style>
  <w:style w:type="character" w:styleId="aa">
    <w:name w:val="Emphasis"/>
    <w:basedOn w:val="a0"/>
    <w:autoRedefine/>
    <w:uiPriority w:val="20"/>
    <w:qFormat/>
    <w:rPr>
      <w:i/>
      <w:iCs/>
    </w:rPr>
  </w:style>
  <w:style w:type="character" w:customStyle="1" w:styleId="a6">
    <w:name w:val="页脚 字符"/>
    <w:basedOn w:val="a0"/>
    <w:link w:val="a5"/>
    <w:autoRedefine/>
    <w:uiPriority w:val="99"/>
    <w:qFormat/>
    <w:rPr>
      <w:rFonts w:ascii="Times New Roman" w:eastAsia="仿宋_GB2312" w:hAnsi="Times New Roman" w:cs="Times New Roman"/>
      <w:sz w:val="18"/>
      <w:szCs w:val="18"/>
    </w:rPr>
  </w:style>
  <w:style w:type="character" w:customStyle="1" w:styleId="a8">
    <w:name w:val="页眉 字符"/>
    <w:basedOn w:val="a0"/>
    <w:link w:val="a7"/>
    <w:autoRedefine/>
    <w:uiPriority w:val="99"/>
    <w:qFormat/>
    <w:rPr>
      <w:rFonts w:ascii="Times New Roman" w:eastAsia="仿宋_GB2312" w:hAnsi="Times New Roman" w:cs="Times New Roman"/>
      <w:sz w:val="18"/>
      <w:szCs w:val="18"/>
    </w:rPr>
  </w:style>
  <w:style w:type="paragraph" w:styleId="ab">
    <w:name w:val="List Paragraph"/>
    <w:basedOn w:val="a"/>
    <w:autoRedefine/>
    <w:uiPriority w:val="34"/>
    <w:qFormat/>
    <w:pPr>
      <w:ind w:firstLineChars="200" w:firstLine="420"/>
    </w:pPr>
    <w:rPr>
      <w:rFonts w:eastAsia="宋体"/>
      <w:sz w:val="21"/>
    </w:rPr>
  </w:style>
  <w:style w:type="character" w:customStyle="1" w:styleId="apple-converted-space">
    <w:name w:val="apple-converted-space"/>
    <w:basedOn w:val="a0"/>
    <w:autoRedefine/>
    <w:qFormat/>
  </w:style>
  <w:style w:type="character" w:customStyle="1" w:styleId="a4">
    <w:name w:val="批注框文本 字符"/>
    <w:basedOn w:val="a0"/>
    <w:link w:val="a3"/>
    <w:autoRedefine/>
    <w:uiPriority w:val="99"/>
    <w:semiHidden/>
    <w:qFormat/>
    <w:rPr>
      <w:rFonts w:ascii="Times New Roman" w:eastAsia="方正仿宋_GBK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120C9-C214-4948-9648-6753E99F7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6</Pages>
  <Words>425</Words>
  <Characters>2428</Characters>
  <Application>Microsoft Office Word</Application>
  <DocSecurity>0</DocSecurity>
  <Lines>20</Lines>
  <Paragraphs>5</Paragraphs>
  <ScaleCrop>false</ScaleCrop>
  <Company>Microsoft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</cp:lastModifiedBy>
  <cp:revision>979</cp:revision>
  <cp:lastPrinted>2024-01-31T07:29:00Z</cp:lastPrinted>
  <dcterms:created xsi:type="dcterms:W3CDTF">2021-04-25T01:29:00Z</dcterms:created>
  <dcterms:modified xsi:type="dcterms:W3CDTF">2024-01-31T07:46:00Z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8498E47F685042C59DDBFED11412A1BA_13</vt:lpwstr>
  </property>
</Properties>
</file>