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2023年度江阴市司法局部门预算公开</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部门</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部门</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部门</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eastAsia="仿宋" w:cs="仿宋"/>
          <w:b/>
        </w:rPr>
        <w:t>部门预算表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部门</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部门概况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（一）承担全面依法治市重大问题的政策研究，协调有关方面提出全面依法治市中长期规划建议，负责有关重大决策部署督察工作。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（二）承担统筹规划、协调规范性文件制定工作。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负责起草或者组织起草有关市政府规范性文件草案。承担市政府重大决策、市政府规范性文件或者拟由市政府批准的市级部门规范性文件的合法性审查工作。负责组织市政府规范性文件清理、制定后评估工作，承办市政府规范性文件的解释工作。承办镇街和相关市级政府部门规范性文件的备案审查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承担统筹推进法治政府建设的责任。指导、监督市政府各部门、各镇街依法行政工作。负责综合协调行政执法，承担推进行政执法体制改革有关工作，推进严格规范公正文明执法。承担市政府的行政复议、行政赔偿工作。指导、监督全市行政复议、行政应诉和行政赔偿工作，负责办理行政复议和行政应诉案件。</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承担统筹规划法治社会建设的责任。负责拟订法治宣传教育规划，组织实施普法宣传工作，组织对外法治宣传。推动人民参与和促进法治建设。指导依法治理和法治创建工作。指导调解工作，组织人民陪审员、人民监督员选任工作，推进司法所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（六）指导、管理全市社区矫正工作，刑满释放人员帮教安置工作，解除强制隔离戒毒人员后续照管工作。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（七）支持和协助社区戒毒和社区康复工作。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负责拟订公共法律服务体系建设规划并指导实施，统筹和布局城乡、区域法律服务资源。指导、监督全市律师、法律援助、司法鉴定、公证和基层法律服务管理工作。指导协调全市“12348”法律服务工作。承担市政府法律顾问职责。</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（九）负责本系统保留车辆管理、内部审计工作，指导、监督本系统财务、装备、设施、场所等保障工作。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（十）规划、协调、指导全市法治人才队伍建设相关工作，指导、监督本系统队伍建设。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（十一）承担公共安全体系建设的相关任务。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（十二）完成市委、市政府交办的其他任务。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（十三）职能转变。进一步转变职能，深化简政放权、放管结合、优化服务，优化营商环境，创新监管方式，加强事中事后监管。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部门</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部门</w:t>
      </w:r>
      <w:r>
        <w:rPr>
          <w:rFonts w:hint="eastAsia" w:ascii="仿宋" w:hAnsi="仿宋" w:eastAsia="仿宋" w:cs="仿宋"/>
        </w:rPr>
        <w:t>职责分工，</w:t>
      </w:r>
      <w:r>
        <w:rPr>
          <w:rFonts w:ascii="仿宋" w:hAnsi="仿宋" w:eastAsia="仿宋" w:cs="仿宋"/>
        </w:rPr>
        <w:t>本部门内设机构包括：1.根据部门职责分工，本部门内设机构包括：办公室、政策法规科、依法治市工作科、行政复议和应诉一科、行政复议和应诉二科、行政执法协调监督科、社区矫正管理科（江阴市社区矫正管理大队）、普法与依法治理科、人民参与和促进法治科、公共法律服务管理科、律师工作科、政工科。本部门下属单位包括:江阴市公共法律服务中心、江阴市公证处。2.从预算单位构成看，纳入本部门2023年部门汇总预算编制范围的预算单位共计2家，具体包括：江阴市司法局（本级），江阴市公共法律服务中心。本部门下属单位包括:江阴市公共法律服务中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2.</w:t>
      </w:r>
      <w:r>
        <w:rPr>
          <w:rFonts w:hint="eastAsia" w:ascii="仿宋" w:hAnsi="仿宋" w:eastAsia="仿宋" w:cs="仿宋"/>
        </w:rPr>
        <w:t>从</w:t>
      </w:r>
      <w:r>
        <w:rPr>
          <w:rFonts w:hint="eastAsia" w:ascii="仿宋" w:hAnsi="仿宋" w:eastAsia="仿宋" w:cs="仿宋"/>
          <w:lang w:eastAsia="zh-CN"/>
        </w:rPr>
        <w:t>预算</w:t>
      </w:r>
      <w:r>
        <w:rPr>
          <w:rFonts w:hint="eastAsia" w:ascii="仿宋" w:hAnsi="仿宋" w:eastAsia="仿宋" w:cs="仿宋"/>
        </w:rPr>
        <w:t>单位构成看，纳入本</w:t>
      </w:r>
      <w:r>
        <w:rPr>
          <w:rFonts w:hint="eastAsia" w:ascii="仿宋" w:hAnsi="仿宋" w:eastAsia="仿宋" w:cs="仿宋"/>
          <w:lang w:val="en-US" w:eastAsia="zh-CN"/>
        </w:rPr>
        <w:t>部门</w:t>
      </w:r>
      <w:r>
        <w:rPr>
          <w:rFonts w:hint="eastAsia" w:ascii="仿宋" w:hAnsi="仿宋" w:eastAsia="仿宋" w:cs="仿宋"/>
          <w:lang w:eastAsia="zh-CN"/>
        </w:rPr>
        <w:t>2023</w:t>
      </w:r>
      <w:r>
        <w:rPr>
          <w:rFonts w:hint="eastAsia" w:ascii="仿宋" w:hAnsi="仿宋" w:eastAsia="仿宋" w:cs="仿宋"/>
        </w:rPr>
        <w:t>年</w:t>
      </w:r>
      <w:r>
        <w:rPr>
          <w:rFonts w:hint="eastAsia" w:ascii="仿宋" w:hAnsi="仿宋" w:eastAsia="仿宋" w:cs="仿宋"/>
          <w:lang w:val="en-US" w:eastAsia="zh-CN"/>
        </w:rPr>
        <w:t>部门</w:t>
      </w:r>
      <w:r>
        <w:rPr>
          <w:rFonts w:hint="eastAsia" w:ascii="仿宋" w:hAnsi="仿宋" w:eastAsia="仿宋" w:cs="仿宋"/>
        </w:rPr>
        <w:t>汇总</w:t>
      </w:r>
      <w:r>
        <w:rPr>
          <w:rFonts w:hint="eastAsia" w:ascii="仿宋" w:hAnsi="仿宋" w:eastAsia="仿宋" w:cs="仿宋"/>
          <w:lang w:eastAsia="zh-CN"/>
        </w:rPr>
        <w:t>预算</w:t>
      </w:r>
      <w:r>
        <w:rPr>
          <w:rFonts w:hint="eastAsia" w:ascii="仿宋" w:hAnsi="仿宋" w:eastAsia="仿宋" w:cs="仿宋"/>
        </w:rPr>
        <w:t>编制范围的预算单位共计</w:t>
      </w:r>
      <w:r>
        <w:rPr>
          <w:rFonts w:ascii="仿宋" w:hAnsi="仿宋" w:eastAsia="仿宋" w:cs="仿宋"/>
        </w:rPr>
        <w:t>2</w:t>
      </w:r>
      <w:r>
        <w:rPr>
          <w:rFonts w:hint="eastAsia" w:ascii="仿宋" w:hAnsi="仿宋" w:eastAsia="仿宋" w:cs="仿宋"/>
        </w:rPr>
        <w:t>家，具体包括：</w:t>
      </w:r>
      <w:r>
        <w:rPr>
          <w:rFonts w:ascii="仿宋" w:hAnsi="仿宋" w:eastAsia="仿宋" w:cs="仿宋"/>
        </w:rPr>
        <w:t>江阴市司法局（机关），江阴市公共法律服务中心。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eastAsia="仿宋" w:cs="仿宋"/>
          <w:b/>
        </w:rPr>
        <w:t>部门主要工作任务及目标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2023年司法局将继续深入贯彻江阴市第十四次党代会精神，发挥法治固根本、稳预期、利长远的作用，全力服务保障“争当表率、争做示范、走在前列”重大使命。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是大力推进全面依法治市，实现新突破。坚持党建引领，强化党对法治建设的全面领导，牢牢把握全市法治建设的正确方向，持续深入推进依法行政，进一步完善“制规、执法、司法、守法普法”四个协调小组工作机制，做好依法治市规划布局，画好江阴法治建设“施工图”。坚持以习近平法治思想为遵循，将习近平法治思想作为各级人民政府及其部门学法和中心组学习的重点内容，把习近平法治思想贯彻落实到法治建设和司法行政工作各领域、全过程。要强化“关键少数”，全面落实党政主要负责人履行推进法治建设第一责任人职责，进一步健全考核评价制度，持续推进领导干部学法用法制度化常态化。加强督察考核，健全人大、政协、纪委、新闻媒体、社会公众等参与的监督检查机制，形成法治监督合力；进一步完善法治江阴建设互联网监测评价系统，注重指标设置的针对性、科学性、有效性，推动法治建设各项工作“由虚向实”、有效运行。</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是大力推进法治政府建设，争创新品牌。围绕全市重大发展战略、社会民生热点问题，完善专家咨询论证、公众参与等立法制度，发挥基层立法联系点作用，夯实立法民意基础，提高立法质量和效率。强化行政规范性文件监管，完善备案审查机制，推动重大行政决策目录化管理全覆盖。进一步规范执法主体、执法制度、执法文书，全面推行证明事项告知承诺制，推进包容审慎柔性执法，加强重点领域执法监督，发挥特邀行政执法监督员作用。深化行政执法监督规范化试点建设，培育基层行政执法监督“最优实践”。充分发挥行政复议解决行政争议主渠道作用，全力做好行政复议体制改革的相关工作，推进增加办案人员、改善办公设施、配备辅助人员等改革任务的落实；进一步规范行政机关负责人出庭应诉工作，加强考核督查，定期通报评估，提升行政机关负责人出庭应诉率和复议诉讼质量水平。</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三是大力推进民生实效，树立新口碑。主动融入大局。在保障市委</w:t>
      </w:r>
      <w:r>
        <w:rPr>
          <w:rFonts w:hint="eastAsia" w:ascii="仿宋" w:hAnsi="仿宋" w:eastAsia="仿宋" w:cs="仿宋"/>
          <w:lang w:val="en-US" w:eastAsia="zh-CN"/>
        </w:rPr>
        <w:t>市</w:t>
      </w:r>
      <w:r>
        <w:rPr>
          <w:rFonts w:ascii="仿宋" w:hAnsi="仿宋" w:eastAsia="仿宋" w:cs="仿宋"/>
        </w:rPr>
        <w:t>政府重点项目、出台重大政策、化解重点矛盾上，积极靠前奋力作为，体现司法行政责任担当。贯彻新发展理念。优化企业法治营商环境，建立健全以“双随机、一公开”为基本手段、以重</w:t>
      </w:r>
      <w:bookmarkStart w:id="0" w:name="_GoBack"/>
      <w:bookmarkEnd w:id="0"/>
      <w:r>
        <w:rPr>
          <w:rFonts w:ascii="仿宋" w:hAnsi="仿宋" w:eastAsia="仿宋" w:cs="仿宋"/>
        </w:rPr>
        <w:t>点监管为补充、以信用监管为基础的新型监管方式，加大知识产权法律保护力度；做实做强“产业链+法律服务”联盟，深入推进“百律千企”法律服务活动，为企业投融资、转型升级等提供法律支撑。升级服务体系。围绕“普惠均等、便捷高效、智能精准”目标，推动实现公共法律服务载体、服务产品、服务方式“大拓展”，服务能力、服务效率、服务质量“大提升”；推广“12348”公共法律服务热线、法律服务智能管理终端等平台，提升信息化法律服务水平；不断优化法律援助服务，建立法律援助长效宣传模式，实行援助案件“诉调衔接”机制，力争不断提高群众获援体验感和满意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是大力推进基层治理，释放新动能。全面组织实施“八五”普法，推动“12·4”国家宪法日和“宪法宣传周”活动制度化；持续深化“谁执法谁普法”责任制，强化普法联动重点事项跟踪督促、结果评价，实现普法责任对全市党政机关的全覆盖。加大以案释法工作力度，做大做强“法润暨阳”品牌，实施“一镇街一品牌”计划，加强智慧普法建设，推出个性化普法产品。全面推进法治乡村建设，实施农村“法律明白人”培养工程和农村学法用法示范户培育工程，持续打造“援法议事”等基层法治建设品牌。坚持和发展新时代“枫桥经验”，加强矛盾纠纷全周期管理，健全矛盾纠纷多元预防调处化解综合机制，完善推广“苏解纷”非诉服务平台，因地制宜打造我市特色调解品牌，全面有效发挥品牌调解室化解矛盾纠纷的社会影响力。加强基层司法所建设，以打造成为承担基层法治建设承上启下“中坚力量”为目标，努力争创“枫桥式”司法所、文明规范公正司法所，推动司法所成为法治服务的主力军。贯彻落实《社区矫正法》，发挥镇街矫正委员会作用，加强执法规范化建设。开展智慧矫正创建活动，坚持把损害修复理念贯穿于社区矫正工作全领域、全流程、全环节，推进社会力量参与社区矫正，多元深度落实“精心帮扶”机制，打造具有江阴特色的矫正工作模式。</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是大力推进队伍建设，提升新形象。提高政治站位。始终保持思想上同心、政治上同向、工作上同步，确保司法行政各项工作置于党的绝对领导之下，始终沿着正确的政治方向进行。落实重点工作。发扬钉钉子精神，立足司法职能，紧盯2023年重点目标和重点任务，紧抓快干、真抓实干，奋力提升司法工作执行质效，在不断提升群众满意度和司法公信力上体现担当作为，用过硬作风创造过硬成果。坚持人才培育。完善选拔、任用、培养、交流机制，推进法治专门队伍革命化、正规化、专业化、职业化。加强基层法治专门队伍建设，加强乡镇(街道)合法性审查力量和机制建设，推进法治人才区域统筹和均衡发展。</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江阴市司法局</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部门</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color w:val="000000"/>
                <w:sz w:val="22"/>
                <w:szCs w:val="22"/>
                <w:lang w:eastAsia="ar-SA"/>
              </w:rPr>
              <w:t>江阴市司法局</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3,010.91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2,163.11</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246.52</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601.28</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3,010.91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3,010.91</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3,010.91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3,010.91</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3,010.91</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3,010.91</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3,010.91</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江阴市司法局</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3,010.91</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3,010.91</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3,010.91</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315002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江阴市司法局（机关）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2,436.06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315007</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江阴市公共法律服务中心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2,480.41</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公共安全支出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2,163.11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1,632.61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司法</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2,163.11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1,632.61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基层司法业务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普法宣传</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公共法律服务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社区矫正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法治建设</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其他司法支出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246.52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246.52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189.49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189.49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281.68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sz w:val="22"/>
                <w:szCs w:val="22"/>
              </w:rPr>
              <w:t>江阴市司法局</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3,010.91</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2,163.11</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246.52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601.28</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3,010.91</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2,480.41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2,381.32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99.09</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公共安全支出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1,632.61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1,533.52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99.09</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司法</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1,632.61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1,533.52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99.09</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1,267.35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1,186.02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81.33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基层司法业务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普法宣传</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公共法律服务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社区矫正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250.50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250.50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法治建设</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18.00</w:t>
            </w: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其他司法支出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246.52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246.52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246.52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189.49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189.49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189.49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63.17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63.17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63.17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601.28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164.30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164.30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164.30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sz w:val="22"/>
                <w:szCs w:val="22"/>
              </w:rPr>
              <w:t>江阴市司法局</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2,480.41</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2,381.32</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2,267.94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2,267.94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850.13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850.13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495.03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3,010.91</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2,480.41</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2,381.32</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99.09</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公共安全支出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2,163.11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1,632.61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1,533.52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99.09</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司法</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2,163.11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1,632.61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1,533.52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99.09</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1,267.35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1,186.02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基层司法业务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普法宣传</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公共法律服务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社区矫正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250.50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法治建设</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其他司法支出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246.52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246.52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246.52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189.49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189.49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189.49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281.68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2,480.41</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2,381.32</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2,267.94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2,267.94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850.13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850.13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495.03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495.03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164.30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38.76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9.01</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5.40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3.61</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5.53</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17.81</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部门无政府性基金预算，也没有使用政府性基金安排的支出，故本表无数据。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注：本部门无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81.33</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0.15</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0.25</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16.96</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30231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公务用车运行维护费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江阴市司法局</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部门无政府采购支出，故本表无数据。</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eastAsia="仿宋" w:cs="仿宋"/>
          <w:b/>
          <w:sz w:val="44"/>
        </w:rPr>
        <w:t>部门</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江阴市司法局2023年度收入、支出预算总计3,010.91万元，与上年相比收、支预算总计各减少276.63万元，减少8.41%。</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（一）收入预算总计3,010.91万元。包括：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1．本年收入合计3,010.91万元。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（1）一般公共预算拨款收入3,010.91万元，与上年相比减少276.63万元，减少8.41%。主要原因是人员减少、社会保障、住房保障缴费基数政策性调整。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（二）支出预算总计3,010.91万元。包括：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1．本年支出合计3,010.91万元。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共安全支出（类）支出2,163.11万元，主要用于司法行政机关及下属事业单位开展司法行政事务而发生的支出。与上年相比减少303.94万元，减少12.32%。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246.52万元，主要用于司法行政机关及下属事业单位按照国家有关规定实施养老保险制度由单位缴纳的基本养老保险费支出。与上年相比增加13.72万元，增长5.89%。主要原因是缴费基数政策性增长。</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601.28万元，主要用于司法行政机关及下属事业单位按照国家有关规定为职工缴存住房公积金、发放提租补贴以及新职工发放的逐月购房补贴支出。与上年相比增加13.59万元，增长2.31%。主要原因是缴费基数政策性增长。</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江阴市司法局2023年收入预算合计3,010.91万元，包括本年收入3,010.91万元，上年结转结余0万元。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本年一般公共预算收入3,010.91万元，占100%；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江阴市司法局2023年支出预算合计3,010.91万元，其中：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基本支出2,480.41万元，占82.38%；</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项目支出530.5万元，占17.62%；</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江阴市司法局2023年度财政拨款收、支总预算3,010.91万元。与上年相比，财政拨款收、支总计各减少276.63万元，减少8.41%。主要原因是人员减少、社会保障、住房保障缴费基数政策性调整。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江阴市司法局2023年财政拨款预算支出3,010.91万元，占本年支出合计的100%。与上年相比，财政拨款支出减少276.63万元，减少8.41%。主要原因是人员减少、社会保障、住房保障缴费基数政策性调整。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（一）公共安全支出（类）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1.司法（款）行政运行（项）支出1,267.35万元，与上年相比减少127.65万元，减少9.15%。主要原因是人员减少。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2.司法（款）基层司法业务（项）支出80万元，与上年相比减少50万元，减少38.46%。主要原因是落实政策要求压减经费。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3.司法（款）普法宣传（项）支出23万元，与上年相比减少48万元，减少67.61%。主要原因是落实政策要求压减经费。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4.司法（款）公共法律服务（项）支出99万元，与上年相比减少81万元，减少45%。主要原因是落实政策要求压减经费。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5.司法（款）社区矫正（项）支出250.5万元，与上年相比增加86.5万元，增长52.74%。主要原因是社区矫正专职人员和志愿者补贴标准调整。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6.司法（款）法治建设（项）支出18万元，与上年相比减少25万元，减少58.14%。主要原因是落实政策要求压减经费。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7.司法（款）事业运行（项）支出365.26万元，与上年相比减少56.09万元，减少13.31%。主要原因是落实政策要求压减经费。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8.司法（款）其他司法支出（项）支出60万元，与上年相比减少2.7万元，减少4.31%。主要原因是落实政策要求压减经费。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1.行政事业单位养老支出（款）机关事业单位基本养老保险缴费支出（项）支出126.32万元，与上年相比增加6.41万元，增长5.35%。主要原因是人员变动、缴费基数政策性调整。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2.行政事业单位养老支出（款）机关事业单位职业年金缴费支出（项）支出63.17万元，与上年相比增加3.21万元，增长5.35%。主要原因是人员变动、缴费基数政策性调整。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3.其他社会保障和就业支出（款）其他社会保障和就业支出（项）支出57.03万元，与上年相比增加4.1万元，增长7.75%。主要原因是人员变动、缴费基数政策性调整。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1.住房改革支出（款）住房公积金（项）支出164.3万元，与上年相比增加5.14万元，增长3.23%。主要原因是人员变动、缴费基数政策性调整。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2.住房改革支出（款）提租补贴（项）支出281.68万元，与上年相比减少10.07万元，减少3.45%。主要原因是人员变动、缴费基数政策性调整。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3.住房改革支出（款）购房补贴（项）支出155.3万元，与上年相比增加18.52万元，增长13.54%。主要原因是人员变动、缴费基数政策性调整。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江阴市司法局2023年度财政拨款基本支出预算2,480.41万元，其中：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2,381.32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（二）公用经费99.09万元。主要包括：办公费、印刷费、水费、电费、差旅费、会议费、培训费、公务接待费、工会经费、公务用车运行维护费、其他交通费用、其他商品和服务支出。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江阴市司法局2023年一般公共预算财政拨款支出预算3,010.91万元，与上年相比减少276.63万元，减少8.41%。主要原因是人员变动，社会保障、住房保障缴费基数政策性调整。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江阴市司法局2023年度一般公共预算财政拨款基本支出预算2,480.41万元，其中：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2,381.32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（二）公用经费99.09万元。主要包括：办公费、印刷费、水费、电费、差旅费、会议费、培训费、公务接待费、工会经费、公务用车运行维护费、其他交通费用、其他商品和服务支出。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一般公共预算拨款安排的“三公”经费预算支出中，因公出国（境）费支出0万元，占“三公”经费的0%；公务用车购置及运行维护费支出5.4万元，占“三公”经费的59.93%；公务接待费支出3.61万元，占“三公”经费的40.07%。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2．公务用车购置及运行维护费预算支出5.4万元。其中：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（2）公务用车运行维护费预算支出5.4万元，与上年预算数相同。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3．公务接待费预算支出3.61万元，比上年预算减少1.26万元，主要原因是落实政策要求，减少公务接待次数与规模。</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江阴市司法局2023年度一般公共预算拨款安排的会议费预算支出5.53万元，比上年预算增加0.03万元，主要原因是年度创建工作增加，预计会议费用增加。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江阴市司法局2023年度一般公共预算拨款安排的培训费预算支出17.81万元，比上年预算减少7.64万元，主要原因是落实政策要求，减少培训次数与规模。</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江阴市司法局2023年国有资本经营预算支出0万元。与上年预算数相同。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2023年本部门一般公共预算机关运行经费预算支出81.33万元。与上年相比减少8.93万元，减少9.89%。主要原因是落实政策要求压减经费。</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2023年度政府采购支出预算总额0万元，其中：拟采购货物支出0万元、拟采购工程支出0万元、拟采购服务支出0万元。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部门共有车辆2辆，其中，副部（省）级及以上领导用车0辆、主要领导干部用车0辆、机要通信用车0辆、应急保障用车0辆、执法执勤用车2辆、特种专业技术用车0辆、离退休干部用车0辆，其他用车0辆；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2023年度，本部门整体支出纳入绩效目标管理，涉及财政性资金3,010.91万元；本部门共6个项目纳入绩效目标管理，涉及财政性资金合计530.5万元，占财政性资金(基本支出除外)总额的比例为17.62%。</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八、公共安全支出(类)司法(款)行政运行(项)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九、公共安全支出(类)司法(款)基层司法业务(项)</w:t>
      </w:r>
      <w:r>
        <w:rPr>
          <w:rFonts w:ascii="仿宋" w:hAnsi="仿宋" w:eastAsia="仿宋" w:cs="仿宋"/>
          <w:b/>
        </w:rPr>
        <w:t>：</w:t>
      </w:r>
      <w:r>
        <w:rPr>
          <w:rFonts w:hint="eastAsia" w:ascii="仿宋" w:hAnsi="仿宋" w:eastAsia="仿宋" w:cs="仿宋"/>
        </w:rPr>
        <w:t>反映各级司法行政部门用于基层业务的支出，包括基层工作指导费、调解费、安置帮教费、司法所经费和公共法律服务平台相关支出、人民陪审员选任管理费用、人民监督员选任管理费用等支出。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十、公共安全支出(类)司法(款)普法宣传(项)</w:t>
      </w:r>
      <w:r>
        <w:rPr>
          <w:rFonts w:ascii="仿宋" w:hAnsi="仿宋" w:eastAsia="仿宋" w:cs="仿宋"/>
          <w:b/>
        </w:rPr>
        <w:t>：</w:t>
      </w:r>
      <w:r>
        <w:rPr>
          <w:rFonts w:hint="eastAsia" w:ascii="仿宋" w:hAnsi="仿宋" w:eastAsia="仿宋" w:cs="仿宋"/>
        </w:rPr>
        <w:t>反映各级司法行政部门用于组织各种媒体的宣传、普法装备与设施、宣传资料、对外宣传、法制作品的审读评审等方面的支出。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十一、公共安全支出(类)司法(款)公共法律服务(项)</w:t>
      </w:r>
      <w:r>
        <w:rPr>
          <w:rFonts w:ascii="仿宋" w:hAnsi="仿宋" w:eastAsia="仿宋" w:cs="仿宋"/>
          <w:b/>
        </w:rPr>
        <w:t>：</w:t>
      </w:r>
      <w:r>
        <w:rPr>
          <w:rFonts w:hint="eastAsia" w:ascii="仿宋" w:hAnsi="仿宋" w:eastAsia="仿宋" w:cs="仿宋"/>
        </w:rPr>
        <w:t>反映司法行政部门用于法律援助、司法鉴定、公证、仲裁等公共法律服务工作的相关支出。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十二、公共安全支出(类)司法(款)社区矫正(项)</w:t>
      </w:r>
      <w:r>
        <w:rPr>
          <w:rFonts w:ascii="仿宋" w:hAnsi="仿宋" w:eastAsia="仿宋" w:cs="仿宋"/>
          <w:b/>
        </w:rPr>
        <w:t>：</w:t>
      </w:r>
      <w:r>
        <w:rPr>
          <w:rFonts w:hint="eastAsia" w:ascii="仿宋" w:hAnsi="仿宋" w:eastAsia="仿宋" w:cs="仿宋"/>
        </w:rPr>
        <w:t>反映司法行政部门用于社区矫正的相关支出。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十三、公共安全支出(类)司法(款)法治建设(项)</w:t>
      </w:r>
      <w:r>
        <w:rPr>
          <w:rFonts w:ascii="仿宋" w:hAnsi="仿宋" w:eastAsia="仿宋" w:cs="仿宋"/>
          <w:b/>
        </w:rPr>
        <w:t>：</w:t>
      </w:r>
      <w:r>
        <w:rPr>
          <w:rFonts w:hint="eastAsia" w:ascii="仿宋" w:hAnsi="仿宋" w:eastAsia="仿宋" w:cs="仿宋"/>
        </w:rPr>
        <w:t>反映全面依法治国相关工作和行政立法、执法监督、行政复议等方面的支出。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十四、公共安全支出(类)司法(款)事业运行(项)</w:t>
      </w:r>
      <w:r>
        <w:rPr>
          <w:rFonts w:ascii="仿宋" w:hAnsi="仿宋" w:eastAsia="仿宋" w:cs="仿宋"/>
          <w:b/>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十五、公共安全支出(类)司法(款)其他司法支出(项)</w:t>
      </w:r>
      <w:r>
        <w:rPr>
          <w:rFonts w:ascii="仿宋" w:hAnsi="仿宋" w:eastAsia="仿宋" w:cs="仿宋"/>
          <w:b/>
        </w:rPr>
        <w:t>：</w:t>
      </w:r>
      <w:r>
        <w:rPr>
          <w:rFonts w:hint="eastAsia" w:ascii="仿宋" w:hAnsi="仿宋" w:eastAsia="仿宋" w:cs="仿宋"/>
        </w:rPr>
        <w:t>反映除上述项目以外其他用于司法方面的支出。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十九、住房保障支出(类)住房改革支出(款)住房公积金(项)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二十一、住房保障支出(类)住房改革支出(款)购房补贴(项)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江阴市司法局</w:t>
    </w:r>
    <w:r>
      <w:t>2023年度部门预算公开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WM0NmY1OTdhNDA4NTFmMmFhNmQwZWVmMWFiZjlkZDQ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200AA"/>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autoRedefine/>
    <w:qFormat/>
    <w:uiPriority w:val="1"/>
    <w:pPr>
      <w:ind w:left="-40" w:firstLine="0"/>
      <w:outlineLvl w:val="0"/>
    </w:pPr>
    <w:rPr>
      <w:sz w:val="52"/>
      <w:szCs w:val="52"/>
    </w:rPr>
  </w:style>
  <w:style w:type="paragraph" w:styleId="3">
    <w:name w:val="heading 2"/>
    <w:basedOn w:val="1"/>
    <w:next w:val="1"/>
    <w:autoRedefine/>
    <w:qFormat/>
    <w:uiPriority w:val="1"/>
    <w:pPr>
      <w:ind w:right="18" w:firstLine="0"/>
      <w:jc w:val="center"/>
      <w:outlineLvl w:val="1"/>
    </w:pPr>
    <w:rPr>
      <w:sz w:val="44"/>
      <w:szCs w:val="44"/>
    </w:rPr>
  </w:style>
  <w:style w:type="paragraph" w:styleId="4">
    <w:name w:val="heading 3"/>
    <w:basedOn w:val="1"/>
    <w:next w:val="1"/>
    <w:autoRedefine/>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autoRedefine/>
    <w:qFormat/>
    <w:uiPriority w:val="1"/>
    <w:pPr>
      <w:ind w:left="112" w:firstLine="0"/>
      <w:outlineLvl w:val="4"/>
    </w:pPr>
    <w:rPr>
      <w:sz w:val="33"/>
      <w:szCs w:val="33"/>
    </w:rPr>
  </w:style>
  <w:style w:type="character" w:default="1" w:styleId="14">
    <w:name w:val="Default Paragraph Font"/>
    <w:autoRedefine/>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autoRedefine/>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autoRedefine/>
    <w:qFormat/>
    <w:uiPriority w:val="0"/>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autoRedefine/>
    <w:qFormat/>
    <w:uiPriority w:val="0"/>
  </w:style>
  <w:style w:type="character" w:customStyle="1" w:styleId="16">
    <w:name w:val="页眉 字符"/>
    <w:basedOn w:val="14"/>
    <w:autoRedefine/>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autoRedefine/>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autoRedefine/>
    <w:qFormat/>
    <w:uiPriority w:val="0"/>
    <w:pPr>
      <w:keepNext/>
      <w:spacing w:before="240" w:after="120"/>
    </w:pPr>
    <w:rPr>
      <w:rFonts w:ascii="Liberation Sans" w:hAnsi="Liberation Sans"/>
      <w:sz w:val="28"/>
      <w:szCs w:val="28"/>
    </w:rPr>
  </w:style>
  <w:style w:type="paragraph" w:customStyle="1" w:styleId="19">
    <w:name w:val="索引"/>
    <w:basedOn w:val="1"/>
    <w:autoRedefine/>
    <w:qFormat/>
    <w:uiPriority w:val="0"/>
    <w:pPr>
      <w:suppressLineNumbers/>
    </w:pPr>
  </w:style>
  <w:style w:type="paragraph" w:customStyle="1" w:styleId="20">
    <w:name w:val="页眉与页脚"/>
    <w:basedOn w:val="1"/>
    <w:autoRedefine/>
    <w:qFormat/>
    <w:uiPriority w:val="0"/>
  </w:style>
  <w:style w:type="paragraph" w:customStyle="1" w:styleId="21">
    <w:name w:val="List Paragraph"/>
    <w:basedOn w:val="1"/>
    <w:autoRedefine/>
    <w:qFormat/>
    <w:uiPriority w:val="1"/>
    <w:pPr>
      <w:ind w:left="2039" w:hanging="782"/>
    </w:pPr>
  </w:style>
  <w:style w:type="paragraph" w:customStyle="1" w:styleId="22">
    <w:name w:val="Table Paragraph"/>
    <w:basedOn w:val="1"/>
    <w:autoRedefine/>
    <w:qFormat/>
    <w:uiPriority w:val="1"/>
    <w:rPr>
      <w:rFonts w:ascii="宋体" w:hAnsi="宋体" w:eastAsia="宋体" w:cs="宋体"/>
    </w:rPr>
  </w:style>
  <w:style w:type="paragraph" w:customStyle="1" w:styleId="23">
    <w:name w:val="表格内容"/>
    <w:basedOn w:val="1"/>
    <w:autoRedefine/>
    <w:qFormat/>
    <w:uiPriority w:val="0"/>
    <w:pPr>
      <w:suppressLineNumbers/>
    </w:pPr>
  </w:style>
  <w:style w:type="paragraph" w:customStyle="1" w:styleId="24">
    <w:name w:val="表格标题"/>
    <w:basedOn w:val="23"/>
    <w:autoRedefine/>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autoRedefine/>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吴婷</cp:lastModifiedBy>
  <dcterms:modified xsi:type="dcterms:W3CDTF">2024-01-29T02:40:17Z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2052-12.1.0.16120</vt:lpwstr>
  </property>
  <property fmtid="{D5CDD505-2E9C-101B-9397-08002B2CF9AE}" pid="6" name="LastSaved">
    <vt:filetime>2021-04-15T00:00:00Z</vt:filetime>
  </property>
</Properties>
</file>