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2022年度</w:t>
              <w:br w:type="textWrapping"/>
              <w:t/>
            </w:r>
            <w:r>
              <w:rPr>
                <w:rFonts w:ascii="宋体" w:hAnsi="宋体" w:cs="宋体" w:eastAsia="宋体"/>
                <w:b w:val="true"/>
                <w:sz w:val="52"/>
              </w:rPr>
              <w:t>江阴市疾病预防控制中心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我单位目前主要承担了疾病预防与控制、突发公共卫生应急处置、疫情与健康相关因素信息管理、健康危害因素监测与干预、实验室检测检验与评价、技术管理与应用研究指导六大项职能。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财务科、后勤保障科、综合业务科、急性传染病防制科、慢性传染病防制科、性病艾滋病防制科、消毒与病媒生物防制科、慢性非传染病防制科、血地寄病防制科、免疫规划科、营养与食品安全科、环境健康科、儿童青少年健康科、职业健康科、微生物检验科、理化检验科、应急管理科、信息技术科、预防保健科，共20个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在市委、市政府和市卫生健康委的坚强领导下，我中心踔厉奋发、勇毅前行，积极做好常态化疫情防控工作，有序开展各项业务工作，圆满完成疫情防控、重大活动保障及各条线年度目标任务，全力保障人民生命安全和身体健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精准施策，新冠病毒感染疫情科学防控，新冠病毒感染疫情发生以来，我中心坚持把人民生命安全和身体健康放在第一位，创新工作思路，优化防控体系，提高处置能力，多措并举扎实做好疫情防控各项工作。完善调整了疫情防控领导小组，实行中心分管领导驻点各应急专业组，进一步提高精准防控能力，实现平战结合，先后成功应对了多次聚集性新冠病毒感染疫情。中心与公安合署办公，24小时开展流调溯源工作，摸排行动轨迹，找出传染源，逐一排查感染链条，科学研判斩断传播链，精准施策织密防护网。扎实推进新冠疫苗接种工作，全程督查疫苗接种各个环节，科学精准调度疫苗，疫苗接种率稳步提升。中心消杀人员在确诊病例、无症状感染者居住及活动轨迹所涉及场所开展终末消杀，及时切断传播途径，防止病毒扩散。开展重点人群新冠病毒核酸检测，为早发现新冠阳性病例提供技术支撑，参与指导了江阴市首个核酸检测基地的建设。开展新冠防控业务指导，保障重大活动及各类考试的顺利进行。2022年我中心选派25名流调队员，分赴南京、连云港、无锡新吴等地支援新冠疫情防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积极做好常态化疫情防控工作的同时，有序开展各项业务工作。包括卫生应急、急性传染病防制、免疫规划、艾滋病防制、慢性传染病防制、血吸虫病、地方病、寄生虫病防制、慢性非传染性疾病防制、职业卫生等疾病预防控制工作，以及营养宣传与监测、食品安全风险监测、食源性疾病主动监测、环境卫生监测、儿少卫生监测、病媒生物及消毒质量监测等健康危害因素监测工作，均根据相关目标任务要求圆满完成。完成各项工作任务的同时，加强干部人才队伍建设，强化质量管理，提升科研能力，2022年我中心在研各级科研课题9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扎实推进政府民生实事工程，为民谋福利办实事。为进一步提高江阴市居民恶性肿瘤早诊比例，我市完成大肠癌风险评估8.7万余人，完成肠镜检查6400余例，完成肿瘤标志物免费筛查24万余人。切实降低重大慢性病过早死亡率，提升群众对公共服务的满意度和获得感，增强市民福祉。9-14岁女孩是世界卫生组织推荐的宫颈癌（HPV）疫苗首要接种人群；水痘传染性极强，极易引起学校及托幼机构水痘暴发疫情，水痘疫苗是预防水痘感染的唯一手段；老年人是肺部感染的高危人群，23价肺炎疫苗可有效预防肺炎感染。为此，我市将初二女生HPV疫苗、适龄儿童水痘疫苗和65岁以上户籍老年人肺炎疫苗纳入政府民生实事项目，实行免费接种，提高人群健康水平，减轻群众医疗负担。</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江阴市疾病预防控制中心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江阴市疾病预防控制中心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6,388.55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10,870.65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443.31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15,794.40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1,021.49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17,259.20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17,259.20</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2.46</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17,261.66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17,261.66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17,259.20</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6,388.55</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10,870.65</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443.31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443.31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336.21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336.21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224.14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224.14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112.07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112.07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15,794.40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4,923.75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10,870.65</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卫生健康管理事务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15,793.11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4,922.46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10,870.65</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疾病预防控制机构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14,274.78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3,404.13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10,870.65</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基本公共卫生服务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621.83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621.83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其他公共卫生支出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544.67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544.67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270.35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270.35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451.13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451.13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300.01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300.01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17,259.20</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4,556.71</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12,702.49</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443.31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443.31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336.21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336.21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224.14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224.14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112.07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107.10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107.10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107.10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107.10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15,794.40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3,091.91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12,702.49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卫生健康管理事务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15,793.11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3,091.91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12,701.19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疾病预防控制机构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14,274.78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3,091.91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11,182.87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基本公共卫生服务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351.82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351.82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621.83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621.83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其他公共卫生支出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544.67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544.67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1,021.49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1,021.49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270.35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270.35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451.13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451.13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江阴市疾病预防控制中心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6,388.55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443.31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443.31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4,923.75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4,923.75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1,021.49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6,388.55</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6,388.55</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6,388.55</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2.46</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6,391.01</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6,391.01</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6,391.01</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6,388.55</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4,556.71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1,831.84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4,923.75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3,091.91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1,831.84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卫生健康管理事务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4,922.46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3,091.91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1,830.54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疾病预防控制机构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3,404.13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3,091.91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312.22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351.82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621.83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621.83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544.67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544.67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江阴市疾病预防控制中心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4,556.71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4,335.20</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221.51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4,137.35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4,137.35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6,388.55</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4,556.71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1,831.84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443.31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4,923.75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3,091.91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1,831.84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卫生健康管理事务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4,922.46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3,091.91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1,830.54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疾病预防控制机构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3,404.13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3,091.91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312.22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351.82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621.83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621.83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544.67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1,021.49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4,556.71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4,335.20</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221.51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4,137.35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4,137.35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683.40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1,789.14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68.13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49.87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49.34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13.91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22.50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20.50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20.50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0.91</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0.91</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2.20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106</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320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江阴市疾病预防控制中心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12,074.16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11,986.01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88.15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2022年度收入、支出决算总计17,261.66万元。与上年相比，收、支总计各增加1,738.39万元，增长11.2%。其中：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（一）收入决算总计17,261.66万元。包括：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1.本年收入决算合计17,259.2万元。与上年相比，增加1,737.55万元，增长11.19%，变动原因：主要为非税收入成本较上年增加。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3.年初结转和结余2.46万元。与上年相比，增加0.84万元，增长51.85%，变动原因：主要为部分个人社会保障费尚未托收缴纳。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（二）支出决算总计17,261.66万元。包括：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1.本年支出决算合计17,259.2万元。与上年相比，增加1,738.44万元，增长11.2%，变动原因：主要为非税收入成本较上年增加。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3.年末结转和结余2.46万元。结转和结余事项：主要为部分个人社会保障费、个人所得税尚未托收缴纳。与上年相比，减少0.06万元，减少2.38%，变动原因：结余资金支出。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17,259.2万元，其中：财政拨款收入6,388.55万元，占37.02%；上级补助收入0万元，占0%；财政专户管理教育收费0万元，占0%；事业收入（不含专户管理教育收费）10,870.65万元，占62.98%；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2022年度本年支出决算合计17,259.2万元，其中：基本支出4,556.71万元，占26.4%；项目支出12,702.49万元，占73.6%；上缴上级支出0万元，占0%；经营支出0万元，占0%；对附属单位补助支出0万元，占0%。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2022年度财政拨款收入、支出决算总计6,391.01万元。与上年相比，收、支总计各减少9,132.26万元，减少58.83%，变动原因：根据财政政策调整，非税收入成本指标从财政拨款收支调整为事业收支。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2022年度财政拨款支出决算6,388.55万元，占本年支出合计的37.02%。与2022年度财政拨款支出年初预算12,008.09万元相比，完成年初预算的53.2%。其中：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224.5万元，支出决算224.14万元，完成年初预算的99.84%。决算数与年初预算数的差异原因：2022年初预算以2021年工资为基数计算，2022年当年缴费基数实际未按年初预算基数调增，故实际支出数低于年初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112.26万元，支出决算112.07万元，完成年初预算的99.83%。决算数与年初预算数的差异原因：2022年初预算以2021年工资为基数计算，2022年当年缴费基数实际未按年初预算基数调增，故实际支出数低于年初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107.09万元，支出决算107.1万元，完成年初预算的100.01%。决算数与年初预算数的差异原因：当年新增多名在编新职工，故实际支出数高于年初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管理事务（款）其他卫生健康管理事务支出（项）。年初预算0万元，支出决算1.3万元，（年初预算数为0万元，无法计算完成比率）决算数与年初预算数的差异原因：上级下达项目资金，导致决算数大于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共卫生（款）疾病预防控制机构（项）。年初预算10,552.98万元，支出决算3,404.13万元，完成年初预算的32.26%。决算数与年初预算数的差异原因：根据财政政策调整，非税收入成本指标从财政拨款收支调整为事业收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3.公共卫生（款）基本公共卫生服务（项）。年初预算0万元，支出决算351.82万元，（年初预算数为0万元，无法计算完成比率）决算数与年初预算数的差异原因：上级下达项目资金，导致决算数大于预算数。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4.公共卫生（款）重大公共卫生服务（项）。年初预算0万元，支出决算621.83万元，（年初预算数为0万元，无法计算完成比率）决算数与年初预算数的差异原因：上级下达项目资金，导致决算数大于预算数。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5.公共卫生（款）其他公共卫生支出（项）。年初预算0万元，支出决算544.67万元，（年初预算数为0万元，无法计算完成比率）决算数与年初预算数的差异原因：上级下达项目资金，导致决算数大于预算数。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1.住房改革支出（款）住房公积金（项）。年初预算267.36万元，支出决算270.35万元，完成年初预算的101.12%。决算数与年初预算数的差异原因：今年新增在编职工多名，故实际支出决算数高于年初预算数。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2.住房改革支出（款）提租补贴（项）。年初预算456.17万元，支出决算451.13万元，完成年初预算的98.9%。决算数与年初预算数的差异原因：今年有职工退休，故实际支出决算数低于年初预算数。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3.住房改革支出（款）购房补贴（项）。年初预算287.73万元，支出决算300.01万元，完成年初预算的104.27%。决算数与年初预算数的差异原因：今年新增在编职工多名，故实际支出决算数高于年初预算数。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2022年度财政拨款基本支出决算4,556.71万元，其中：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（一）人员经费4,335.2万元。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伙食补助费、绩效工资、机关事业单位基本养老保险缴费、职业年金缴费、职工基本医疗保险缴费、公务员医疗补助缴费、其他社会保障缴费、住房公积金、医疗费、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（二）公用经费221.51万元。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主要包括：办公费、印刷费、水费、电费、邮电费、取暖费、差旅费、维修（护）费、培训费、公务接待费、劳务费、委托业务费、工会经费、其他交通费用、其他商品和服务支出、办公设备购置。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2022年度一般公共预算财政拨款支出决算6,388.55万元。与上年相比，减少8,132.21万元，减少56%，变动原因：根据财政政策调整，非税收入成本指标从财政拨款收支调整为事业收支。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2022年度一般公共预算财政拨款基本支出决算4,556.71万元，其中：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（一）人员经费4,335.2万元。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伙食补助费、绩效工资、机关事业单位基本养老保险缴费、职业年金缴费、职工基本医疗保险缴费、公务员医疗补助缴费、其他社会保障缴费、住房公积金、医疗费、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（二）公用经费221.51万元。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主要包括：办公费、印刷费、水费、电费、邮电费、取暖费、差旅费、维修（护）费、培训费、公务接待费、劳务费、委托业务费、工会经费、其他交通费用、其他商品和服务支出、办公设备购置。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0.91万元（其中：一般公共预算支出0.91万元；政府性基金预算支出0万元；国有资本经营预算支出0万元）。与上年相比，减少38.4万元，变动原因：本年车辆类别调整，我单位车辆属于特种专业用车及业务用车，相应车辆购置及运行维护费在其他交通工具购置及其他交通费用中体现。本年因记账科目调整，故三公经费支出较上年减少。其中，因公出国（境）费支出0万元，占“三公”经费的0%；公务用车购置及运行维护费支出0万元，占“三公”经费的0%；公务接待费支出0.91万元，占“三公”经费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20.5万元（其中：一般公共预算支出20.5万元；政府性基金预算支出0万元；国有资本经营预算支出0万元），支出决算0万元（其中：一般公共预算支出0万元；政府性基金预算支出0万元；国有资本经营预算支出0万元），完成调整后预算的0%，决算数与预算数的差异原因：本年车辆类别调整，我单位车辆属于特种专业用车及业务用车，相应车辆购置及运行维护费在其他交通工具购置及其他交通费用中体现。本年因记账科目调整，故公务用车购置及运行维护费支出为0。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2万元（其中：一般公共预算支出2万元；政府性基金预算支出0万元；国有资本经营预算支出0万元），支出决算0.91万元（其中：一般公共预算支出0.91万元；政府性基金预算支出0万元；国有资本经营预算支出0万元），完成调整后预算的45.5%，决算数与预算数的差异原因：受疫情影响，公务接待较少。其中：国内公务接待支出0.91万元，接待11批次，106人次，开支内容：主要是上级各项业务工作督导等用餐费；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3万元（其中：一般公共预算支出3万元；政府性基金预算支出0万元；国有资本经营预算支出0万元），支出决算2.2万元（其中：一般公共预算支出2.2万元；政府性基金预算支出0万元；国有资本经营预算支出0万元），完成调整后预算的73.33%，决算数与预算数的差异原因：受疫情影响，增加了线上培训，实际培训费用较少。2022年度全年组织培训11个，组织培训320人次，开支内容：主要为各项目条线组织的线下业务培训用便餐及职工外出培训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2022年度政府性基金预算财政拨款支出决算0万元。与上年相比，减少1,000万元，减少100%，变动原因：本年无该项经费。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12,074.16万元，其中：政府采购货物支出11,986.01万元、政府采购工程支出0万元、政府采购服务支出88.15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16辆，其中：副部(省)级及以上领导用车0辆、主要领导干部用车0辆、机要通信用车0辆、应急保障用车0辆、执法执勤用车0辆、特种专业技术用车5辆、离退休干部用车0辆、其他用车11辆；单价50万元（含）以上的通用设备0台（套），单价100万元（含）以上的专用设备7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本单位共对上年度已实施完成的6个项目开展了绩效自评价，涉及财政性资金合计7,261.69万元；本单位共开展1项单位整体支出绩效自评价，涉及财政性资金合计11,577.72万元。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二十二、卫生健康支出(类)卫生健康管理事务(款)其他卫生健康管理事务支出(项)</w:t>
      </w:r>
      <w:r>
        <w:rPr>
          <w:rFonts w:ascii="仿宋" w:hAnsi="仿宋" w:cs="仿宋" w:eastAsia="仿宋"/>
          <w:b w:val="true"/>
        </w:rPr>
        <w:t>：</w:t>
      </w:r>
      <w:r>
        <w:rPr>
          <w:rFonts w:hint="eastAsia" w:ascii="仿宋" w:hAnsi="仿宋" w:eastAsia="仿宋" w:cs="仿宋"/>
        </w:rPr>
        <w:t>反映除上述项目以外其他用于卫生健康管理事务方面的支出。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二十三、卫生健康支出(类)公共卫生(款)疾病预防控制机构(项)</w:t>
      </w:r>
      <w:r>
        <w:rPr>
          <w:rFonts w:ascii="仿宋" w:hAnsi="仿宋" w:cs="仿宋" w:eastAsia="仿宋"/>
          <w:b w:val="true"/>
        </w:rPr>
        <w:t>：</w:t>
      </w:r>
      <w:r>
        <w:rPr>
          <w:rFonts w:hint="eastAsia" w:ascii="仿宋" w:hAnsi="仿宋" w:eastAsia="仿宋" w:cs="仿宋"/>
        </w:rPr>
        <w:t>反映卫生健康部门所属疾病预防控制机构的支出。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江阴市疾病预防控制中心</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