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江阴市卫生健康委员会（机关）</w:t>
            </w:r>
            <w:r>
              <w:rPr>
                <w:rFonts w:ascii="宋体" w:hAnsi="宋体" w:cs="宋体" w:eastAsia="宋体"/>
                <w:b w:val="true"/>
                <w:sz w:val="52"/>
              </w:rPr>
              <w:t xml:space="preserve"></w:t>
              <w:br w:type="textWrapping"/>
              <w:t>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贯彻实施国民健康政策，拟订全市卫生健康事业发展的政策、规划并组织实施，制定地方标准和技术规范。统筹规划卫生健康资源配置和信息化建设工作。制定并组织实施推进卫生健康基本公共服务均等化、普惠化、便捷化和公共资源向基层延伸等政策措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（二）负责“健康江阴”战略协调推进工作，研究提出“健康江阴”建设的政策建议、制度措施和职责分工并协调实施。统筹全市健康促进与健康服务工作。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协调推进深化医药卫生体制改革，会同有关部门研究提出深化医药卫生体制改革重大部署、政策、措施的建议。组织推动公立医院综合改革，推进管办分离，健全现代医院管理制度，制定并推动实施卫生健康公共服务提供主体多元化、提供方式多样化的政策措施，提出医疗服务和药品价格政策的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贯彻实施国家中医药法律法规，拟订并组织实施中医药中长期发展规划、政策措施，并纳入全市卫生健康事业发展总体规划和战略目标。负责中医药和中西医结合工作的管理。推动中医药的继承、创新和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制定并组织落实疾病预防控制规划、免疫规划以及严重危害人民健康公共卫生问题的干预措施。制定全市卫生应急和紧急医学救援预案、突发公共卫生事件监测预警和风险评估计划；组织指导全市突发公共卫生事件的预防控制和各类突发公共事件的医疗卫生救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（六）组织拟订并协调落实全市应对人口老龄化政策措施，负责推进全市老年健康服务体系建设和医养结合工作。承担市老龄工作委员会的具体工作。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（七）开展药品使用监测、临床综合评价和短缺药品预警。提出基本药物价格政策的建议。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监督实施国家颁布的医疗机构和医疗服务全行业管理办法、卫生健康专业技术人员资格标准、执业规则和服务规范。建立全市医疗服务评价和监督管理体系。制定并组织实施医疗服务地方规范、标准和卫生健康专业技术人员执业规则、服务规范。牵头组织无偿献血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（九）拟订职业卫生、放射卫生相关政策并组织实施。组织开展职业病专项调查和职业人群健康管理工作；参与职业病监测和职业健康风险评估工作。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负责职责范围内的职业卫生、放射卫生、学校卫生、公共场所卫生、饮用水卫生等公共卫生的监督管理，负责传染病、职业病防治监督，健全卫生健康综合监督体系，推进全市卫生健康诚信体系建设。参与食品安全风险监测、评估相关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（十一）负责计划生育管理和服务工作，开展人口监测预警，研究提出人口与家庭发展相关政策建议，完善计划生育政策，落实人口发展规划相关任务。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（十二）指导全市基层卫生健康工作，推进基层医疗卫生、妇幼健康服务体系和全科医生队伍建设。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（十三）拟订全市卫生健康科技发展规划，组织实施卫生健康相关科研项目。推进卫生健康科技创新发展。组织实施毕业后医学教育和继续医学教育。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（十四）拟订全市卫生健康人才发展规划，指导卫生健康人才队伍建设。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（十五）负责卫生健康宣传、健康教育等工作。组织指导对外交流合作和援外工作，开展与港澳台的交流与合作。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（十六）负责全市保健对象的医疗保健工作，负责市级有关干部医疗管理工作，负责重要会议与重大活动的医疗卫生保障工作。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（十七）承担“健康江阴”建设领导小组、市爱国卫生运动委员会的具体工作。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（十八）按照职责分工做好相关行业、领域的安全生产监督管理工作，承担公共安全体系建设的相关任务。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（十九）负责赋予镇街园区经济社会管理权限有关事项的法律法规宣传、政策制定、协调指导、业务培训等工作。牵头负责江苏政务服务网上有关赋权事项的动态调整和日常维护工作。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（二十）完成市委、市政府交办的其他任务。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十一）职能转变。进一步转变职能，深化简政放权、放管结合、优化服务，优化营商环境，创新监管方式，加强事中事后监管。牢固树立大卫生、大健康理念，推动实施“健康江阴”战略，以改革创新为动力，以促健康、转模式、强基层、重保障为着力点，把以治病为中心转变到以人民健康为中心，为人民群众提供全方位全周期健康服务。更加注重预防为主和健康促进，加强预防控制重大疾病工作，积极应对人口老龄化，健全健康服务体系。更加注重工作重心下移和资源下沉，推进卫生健康公共资源向基层延伸、向农村覆盖和生活困难群众倾斜。更加注重提高服务质量和水平，推进卫生健康基本公共服务均等化、普惠化、便捷化。协调推进深化医药卫生体制改革，加大公立医院改革力度，推进管办分离，推动卫生健康公共服务提供主体多元化、提供方式多样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（二十二）有关职责分工。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与市发展和改革委员会的有关职责分工。市卫生健康委员会负责开展人口监测预警工作，实施生育政策，研究提出与生育相关的人口政策建议，参与制定全市人口发展规划和政策，落实国家和全省人口发展规划中的有关任务。市发展和改革委员会负责组织监测和评估人口变动情况及趋势影响，建立健全人口预测预报制度，开展重大决策人口影响评估，完善重大人口政策咨询机制，研究提出全市人口发展战略，拟订人口发展规划和人口政策，研究提出人口与经济、社会、资源、环境协调可持续发展，以及统筹促进人口长期均衡发展的政策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与市民政局的有关职责分工。市卫生健康委员会负责拟订全市应对人口老龄化、医养结合政策措施，综合协调、督促指导、组织推进老龄事业发展，承担老年疾病防治、老年人医疗照护、老年人心理健康与关怀服务等老年健康工作。市民政局负责统筹推进、督促指导、监督管理养老服务工作，拟订全市养老服务体系建设规划，执行有关法规、政策、标准，承担老年人福利和特殊困难老年人救助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与市市场监督管理局的有关职责分工。市卫生健康委员会参与食品安全风险监测、评估相关工作。市卫生健康委员会对通过食品安全风险监测发现食品可能存在安全隐患的，及时向市市场监督管理局通报食品安全风险监测结果。对得出不安全结论的食品，市市场监督管理局应当立即采取措施予以处置。市市场监督管理局会同市卫生健康委员会组织实施国家药典，建立重大药品不良反应和医疗器械不良事件相互通报机制和联合处置机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4．与市医疗保障局的有关职责分工。市卫生健康委员会、市医疗保障局等部门在医疗、医保、医药等方面加强制度、政策衔接，建立沟通协商机制，协同推进改革，提高医疗资源使用效率和医疗保障水平。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医政科、中医科（保健科）、综合监督科（政策法规科、职业健康科）、疾病预防控制科（卫生应急办公室）、妇幼健康科、人口监测与家庭发展科、健康促进科（市爱国卫生运动委员会办公室）、老龄健康科（市老龄工作委员会办公室）、规划信息科、财务审计科、组织人事科、安全生产监督管理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是十四五深化之年，我委工作总体思路是：紧紧围绕“保障人民健康、守护城市安全”的政治使命，对标新目标新定位，聚焦高质量、竞争力、现代化，加快构建与江阴经济社会发展地位相匹配的优质高效整合型医疗卫生服务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要继续打好疫情防控持久战。巩固新冠肺炎疫情防控成果，总结提炼新冠肺炎疫情防控经验，按照无锡“八项能力”建设要求，全面提升各项应急能力储备。进一步抓好疾病预防控制，完善部门间协作机制，提高联合应急处置能力。强化重点场所疫情防控，加强重点场所疫情防控指导检查，细化集中隔离场所、集中采样点、集中接种点以及各医疗机构的管理制度和工作流程，加强人员培训演练，强化应急值守。扎实做好加强针及3-11岁儿童、60岁以上老年人新冠病毒疫苗接种承接工作，持续加强医务人员疫苗接种应急处置能力培训，全力筑牢疫情防控网底。强化医疗卫生机构的“哨点”监控职责，严格落实医疗机构预检分诊制度，确保医院和社区卫生服务中心能第一时间及时发现和处置潜在风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要推动优质医疗资源扩容和均衡布局。充分利用科教兴卫和暨阳英才资金，加强与省级、上海市知名医院合作，通过实习医院、附属医院、教学医院等形式建立合作联盟，针对江阴市域疾病谱如恶性肿瘤、心血管、代谢性疾病等，积极对接上海市中山医院、上海肿瘤医院等开展技术合作，打造省市重点临床专科，降低市域内疑难危重患者外转率，市域转诊率控制在92%左右。以科教强卫工程项目为抓手，通过引进人才、上级医院帮扶、加入专科联盟等形式，补齐医疗服务短板。优化调整市人民医院一院两址运营模式，逐步缩小市域内医疗服务的供给差别。加大公立医疗卫生机构建设力度，组建江阴市口腔医院，有序推进市中医院异地新建工程、妇幼保健院改建工程建设，推动人民医院敔山湾院区住院大楼建设和疾控中心实验大楼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要推进紧密型医共体网格化管理。全面开展医共体建设回头看，促进医共体合理布局，推动医联体实质性运作，强化网格化建设和规范化管理，有序推进分级诊疗制度建设。完善并落实医疗机构首诊负责制和转诊审核责任制，以联合病房和专家工作室建设为抓手，推动优质资源下沉基层，居民2周患病首选基层就诊率在73%左右，二三级医疗向基层下转人次/基层上转人次≥25%。加强医共体绩效考核和效益评价，引导医联体更加注重疾病预防、提升基层服务能力。鼓励社会办医疗机构良性发展，并积极加入医共体，为网格内居民提供医疗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要实施公共医疗服务惠民工程。以“健康校长”校卫联动为重点构建青少年疾病早期防控体系，实施肿瘤标记物筛查、适龄女生免费接种HPV疫苗等民生实事工程，提升居民群众的健康幸福感和获得感。持续推进“优质服务基层行”活动和“甲级村卫生室”建设，按照“一院一品”开展特色科室建设，打造特色品牌，推动“一类保障、二类管理”绩效体制改革，不断提升基层服务能力。深入推进农村区域医疗中心建设，加快实现乡镇卫生院和社区卫生服务中心服务能力同质化。出台江阴“三名战略”实施方案，实施卫生人才“强基工程”。积极对接协调上级医保部门，加快医保在线支付功能开发，完善银医通智慧医疗项目、推广互联网医院建设成果；改进全市公立医院信息化建设机制，研究启动基层“云HIS”项目，实现全市医院系统互联互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要全力推动中医药振兴发展。出台振兴江阴中医药事业发展实施办法，加强与省中医院合作，力争把江苏省中医临床研究院江阴分院、江苏省中医临床医学研究中心江阴分中心落地江阴。深化中医药医疗服务体系建设，进一步推动龙砂医派学术传承，支持中医院三甲创建工作。推进中医药特色社区卫生服务中心和示范区（中医馆）创建工作，提升基层中医药服务能力。</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江阴市卫生健康委员会（机关）</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江阴市卫生健康委员会（机关）</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38,537.85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175.84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37,824.54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537.47</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38,537.85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38,537.85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38,537.85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38,537.85</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149" w:type="dxa"/>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097"/>
        <w:gridCol w:w="1800"/>
        <w:gridCol w:w="1063"/>
        <w:gridCol w:w="943"/>
        <w:gridCol w:w="789"/>
        <w:gridCol w:w="754"/>
        <w:gridCol w:w="686"/>
        <w:gridCol w:w="754"/>
        <w:gridCol w:w="754"/>
        <w:gridCol w:w="720"/>
        <w:gridCol w:w="754"/>
        <w:gridCol w:w="738"/>
        <w:gridCol w:w="720"/>
        <w:gridCol w:w="925"/>
        <w:gridCol w:w="772"/>
        <w:gridCol w:w="720"/>
        <w:gridCol w:w="754"/>
        <w:gridCol w:w="686"/>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149"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572"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457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97"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106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7612"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57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06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897"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38,537.85</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38,537.85</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38,537.85</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9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361002</w:t>
            </w:r>
          </w:p>
        </w:tc>
        <w:tc>
          <w:tcPr>
            <w:tcW w:w="18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江阴市卫生健康委员会（机关）</w:t>
            </w:r>
          </w:p>
        </w:tc>
        <w:tc>
          <w:tcPr>
            <w:tcW w:w="106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38,537.85</w:t>
            </w:r>
          </w:p>
        </w:tc>
        <w:tc>
          <w:tcPr>
            <w:tcW w:w="94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38,537.85</w:t>
            </w:r>
          </w:p>
        </w:tc>
        <w:tc>
          <w:tcPr>
            <w:tcW w:w="78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38,537.85</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3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2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5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72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57" w:right="0" w:firstLine="221" w:firstLineChars="100"/>
        <w:jc w:val="left"/>
        <w:rPr>
          <w:rFonts w:hint="eastAsia" w:ascii="仿宋" w:hAnsi="仿宋" w:eastAsia="仿宋" w:cs="仿宋"/>
          <w:b/>
          <w:bCs/>
          <w:sz w:val="22"/>
          <w:szCs w:val="22"/>
        </w:rPr>
        <w:sectPr>
          <w:footerReference r:id="rId9" w:type="default"/>
          <w:pgSz w:w="16838" w:h="11906" w:orient="landscape"/>
          <w:pgMar w:top="720" w:right="720" w:bottom="720" w:left="5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38,537.85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1,953.78</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36,584.07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135.98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135.98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37,824.54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36,584.07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1,317.27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2100101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公立医院</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2100299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其他公立医院支出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16,406.15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16,406.15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2100717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医疗救助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其他医疗救助支出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2101601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121.87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121.87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江阴市卫生健康委员会（机关）</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38,537.85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38,537.85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38,537.85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175.84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37,824.54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537.47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38,537.85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38,537.85</w:t>
            </w:r>
          </w:p>
        </w:tc>
      </w:tr>
    </w:tbl>
    <w:p>
      <w:pPr>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38,537.85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1,953.78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1,877.43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36,584.07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175.84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37,824.54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36,584.07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1,317.27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2100101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1,240.47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1,164.12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76.35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公立医院</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2100299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其他公立医院支出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16,406.15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16,406.15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3,860.00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11,996.00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11,996.00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550.15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550.15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5,381.40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5,381.40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2100717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5,323.40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5,323.40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医疗救助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其他医疗救助支出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2101601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166.72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166.72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537.47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121.87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江阴市卫生健康委员会（机关）</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1,953.78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1,877.43</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76.35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1,695.40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673.64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673.64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76.35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182.03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38,537.85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1,953.78</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1,877.43</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36,584.07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135.98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135.98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37,824.54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36,584.07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1,317.27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1,240.47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1,164.12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76.80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公立医院</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2100299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其他公立医院支出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13,468.00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16,406.15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16,406.15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11,996.00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其他公共卫生支出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550.15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5,381.40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2100717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5,323.40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医疗救助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其他医疗救助支出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2101601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老龄卫生健康事务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166.72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537.47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121.87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121.87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121.87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1,953.78</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1,877.43</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76.35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1,695.40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164.12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673.64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673.64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541.87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90.65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76.35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76.35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182.03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182.03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76.35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49.45</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10.20</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江阴市卫生健康委员会（机关）</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江阴市卫生健康委员会（机关）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计划生育专项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其他保险服务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116.00</w:t>
            </w:r>
          </w:p>
        </w:tc>
      </w:tr>
    </w:tbl>
    <w:p>
      <w:pPr>
        <w:bidi w:val="0"/>
        <w:rPr>
          <w:rFonts w:hint="eastAsia" w:ascii="仿宋" w:hAnsi="仿宋" w:eastAsia="仿宋" w:cs="仿宋"/>
          <w:b/>
          <w:bCs/>
          <w:sz w:val="22"/>
          <w:szCs w:val="22"/>
        </w:rPr>
        <w:sectPr>
          <w:footerReference r:id="rId19"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江阴市卫生健康委员会（机关）2022年度收入、支出预算总计38,537.85万元，与上年相比收、支预算总计各增加22,555.41万元，增长141.13%。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（一）收入预算总计38,537.85万元。包括：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1．本年收入合计38,537.85万元。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（1）一般公共预算拨款收入38,537.85万元，与上年相比增加22,555.41万元，增长141.13%。主要原因是预算口径调整，政府专项纳入部门预算，增加项目收入。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（二）支出预算总计38,537.85万元。包括：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1．本年支出合计38,537.85万元。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（1）社会保障和就业支出（类）支出175.84万元，主要用于单位在社会保障与就业方面的支出。与上年相比增加39.07万元，增长28.57%。主要原因是政策性调整，缴纳基数调整。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（2）卫生健康支出（类）支出37,824.54万元，主要用于卫生健康方面的支出。与上年相比增加22,381.3万元，增长144.93%。主要原因是预算口径调整，政府专项支出纳入部门预算，增加项目经费。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537.47万元，主要用于按照国家有关规定为职工缴存住房公积金、发放提租补贴及新职工缴存的住房补贴。与上年相比增加135.04万元，增长33.56%。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江阴市卫生健康委员会（机关）2022年收入预算合计38,537.85万元，包括本年收入38,537.85万元，上年结转结余0万元。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本年一般公共预算收入38,537.85万元，占100%；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江阴市卫生健康委员会（机关）2022年支出预算合计38,537.85万元，其中：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基本支出1,953.78万元，占5.07%；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项目支出36,584.07万元，占94.93%；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江阴市卫生健康委员会（机关）2022年度财政拨款收、支总预算38,537.85万元。与上年相比，财政拨款收、支总计各增加22,555.41万元，增长141.13%。主要原因是预算口径调整，政府专项纳入部门预算，增加项目经费。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财政拨款预算支出38,537.85万元，占本年支出合计的100%。与上年相比，财政拨款支出增加22,555.41万元，增长141.13%。主要原因是预算口径调整，政府专项纳入部门预算，增加项目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1.行政事业单位养老支出（款）机关事业单位基本养老保险缴费支出（项）支出90.65万元，与上年相比减少0.53万元，减少0.58%。主要原因是政策性调整，缴纳基数调整。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2.行政事业单位养老支出（款）机关事业单位职业年金缴费支出（项）支出45.33万元，与上年相比减少0.26万元，减少0.57%。主要原因是政策性调整，缴纳基数调整。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3.其他社会保障和就业支出（款）其他社会保障和就业支出（项）支出39.86万元，与上年相比增加39.86万元（去年预算数为0万元，无法计算增减比率）。主要原因是预算口径调整，医疗保险费单列功能分类科目。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1.卫生健康管理事务（款）行政运行（项）支出1,240.47万元，与上年相比增加16.57万元，增长1.35%。主要原因是政策性调整，增加人员经费。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2.卫生健康管理事务（款）其他卫生健康管理事务支出（项）支出76.8万元，与上年相比减少342.72万元，减少81.69%。主要原因是预算口径调整，涉及信息化项目统一由大数据中心列支。</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立医院（款）其他公立医院支出（项）支出13,468万元，与上年相比增加9,868万元，增长274.11%。主要原因是政府加大对公立医院的投入，具体包括：市级在职人员补助标准提高，市级医院离退休人员补助费用、科教兴卫专项、药品耗材零差率补助、对基层医疗卫生机构专项补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基层医疗卫生机构（款）其他基层医疗卫生机构支出（项）支出500万元，与上年相比增加500万元（去年预算数为0万元，无法计算增减比率）。主要原因是预算口径调整，政府对基层医疗卫生机构的日常运行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5.公共卫生（款）基本公共卫生服务（项）支出3,860万元，与上年相比增加33万元，增长0.86%。主要原因是根据辖区服务人口和补助标准测算，本年增加基本公共卫生服务支出数。</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6.公共卫生（款）重大公共卫生服务（项）支出11,996万元，与上年相比增加11,210万元，增长1,426.21%。主要原因是预算口径调整，增加全市抗疫专项支出。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7.公共卫生（款）其他公共卫生支出（项）支出550.15万元，与上年相比减少99.85万元，减少15.36%。主要原因是预算口径调整，减少其他公共卫生支出。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8.计划生育事务（款）计划生育服务（项）支出5,323.4万元，与上年相比增加983.4万元，增长22.66%。主要原因是持证退休职工一次性奖励金发放时间调整，由原来次年发放调整为当年发放，故本年应发放二年。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9.计划生育事务（款）其他计划生育事务支出（项）支出58万元，与上年相比增加58万元（去年预算数为0万元，无法计算增减比率）。主要原因是预算口径调整，特扶住院护工保险支出单列功能分类科目。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医疗救助（款）其他医疗救助支出（项）支出555万元，与上年相比增加555万元（去年预算数为0万元，无法计算增减比率）。主要原因是预算口径调整，政府专项（严重精神障碍患者监护以奖代补、精神病人门诊服药及住院补助经费）纳入部门预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11.老龄卫生健康事务（款）老龄卫生健康事务（项）支出30万元，与上年预算数相同。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12.其他卫生健康支出（款）其他卫生健康支出（项）支出166.72万元，与上年相比减少100.1万元，减少37.52%。主要原因是改制医院退休人员补助经费减少。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1.住房改革支出（款）住房公积金（项）支出121.87万元，与上年相比增加27.08万元，增长28.57%。主要原因是政策性调整，缴纳基数调整。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2.住房改革支出（款）提租补贴（项）支出344.28万元，与上年相比增加83.97万元，增长32.26%。主要原因是政策性调整，缴纳基数调整。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3.住房改革支出（款）购房补贴（项）支出71.32万元，与上年相比增加23.99万元，增长50.69%。主要原因是政策性调整，缴纳基数调整。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江阴市卫生健康委员会（机关）2022年度财政拨款基本支出预算1,953.78万元，其中：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1,877.43万元。主要包括：基本工资、津贴补贴、奖金、伙食补助费、机关事业单位基本养老保险缴费、职业年金缴费、职工基本医疗保险缴费、其他社会保障缴费、住房公积金、医疗费、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（二）公用经费76.35万元。主要包括：办公费、差旅费、会议费、公务接待费、工会经费、其他商品和服务支出。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江阴市卫生健康委员会（机关）2022年一般公共预算财政拨款支出预算38,537.85万元，与上年相比增加22,555.41万元，增长141.13%。主要原因是预算口径调整，政府专项纳入部门预算，增加项目收入。</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江阴市卫生健康委员会（机关）2022年度一般公共预算财政拨款基本支出预算1,953.78万元，其中：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1,877.43万元。主要包括：基本工资、津贴补贴、奖金、伙食补助费、机关事业单位基本养老保险缴费、职业年金缴费、职工基本医疗保险缴费、其他社会保障缴费、住房公积金、医疗费、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（二）公用经费76.35万元。主要包括：办公费、差旅费、会议费、公务接待费、工会经费、其他商品和服务支出。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一般公共预算拨款安排的“三公”经费预算支出中，因公出国（境）费支出0万元，占“三公”经费的0%；公务用车购置及运行维护费支出0万元，占“三公”经费的0%；公务接待费支出3.5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3．公务接待费预算支出3.5万元，比上年预算减少1.5万元，主要原因是厉行节约，控制接待批次与人次。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江阴市卫生健康委员会（机关）2022年度一般公共预算拨款安排的会议费预算支出2万元，比上年预算减少3万元，主要原因是厉行节约，控制会议规模和参会人次。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江阴市卫生健康委员会（机关）2022年度一般公共预算拨款安排的培训费预算支出0万元，比上年预算减少3万元，主要原因是厉行节约，控制培训批次和人次。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江阴市卫生健康委员会（机关）2022年国有资本经营预算支出0万元。与上年预算数相同。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2022年本单位一般公共预算机关运行经费预算支出76.35万元。与上年相比减少44.66万元，减少36.91%。主要原因是预算口径调整，本年将上下班交通补贴及车改补贴列入人员经费。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2022年度政府采购支出预算总额116万元，其中：拟采购货物支出0万元、拟采购工程支出0万元、拟购买服务支出116万元。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一般公务用车0辆、执法执勤用车0辆、特种专业技术用车0辆、业务用车0辆、其他用车0辆等。单价50万元（含）以上的通用设备0台（套），单价100万元（含）以上的专用设备3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2022年度，本单位整体支出纳入绩效目标管理，涉及四本预算资金38,537.85万元；本单位共14个项目纳入绩效目标管理，涉及四本预算资金合计36,584.07万元，占四本预算资金(基本支出除外)总额的比例为100%。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十一、卫生健康支出(类)卫生健康管理事务(款)行政运行(项)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十二、卫生健康支出(类)卫生健康管理事务(款)其他卫生健康管理事务支出(项)</w:t>
      </w:r>
      <w:r>
        <w:rPr>
          <w:rFonts w:ascii="仿宋" w:hAnsi="仿宋" w:cs="仿宋" w:eastAsia="仿宋"/>
          <w:b w:val="true"/>
        </w:rPr>
        <w:t>：</w:t>
      </w:r>
      <w:r>
        <w:rPr>
          <w:rFonts w:hint="eastAsia" w:ascii="仿宋" w:hAnsi="仿宋" w:eastAsia="仿宋" w:cs="仿宋"/>
        </w:rPr>
        <w:t>反映除上述项目以外其他用于卫生健康管理事务方面的支出。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十三、卫生健康支出(类)公立医院(款)其他公立医院支出(项)</w:t>
      </w:r>
      <w:r>
        <w:rPr>
          <w:rFonts w:ascii="仿宋" w:hAnsi="仿宋" w:cs="仿宋" w:eastAsia="仿宋"/>
          <w:b w:val="true"/>
        </w:rPr>
        <w:t>：</w:t>
      </w:r>
      <w:r>
        <w:rPr>
          <w:rFonts w:hint="eastAsia" w:ascii="仿宋" w:hAnsi="仿宋" w:eastAsia="仿宋" w:cs="仿宋"/>
        </w:rPr>
        <w:t>反映除上述项目以外的其他用于公立医院方面的支出。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十四、卫生健康支出(类)基层医疗卫生机构(款)其他基层医疗卫生机构支出(项)</w:t>
      </w:r>
      <w:r>
        <w:rPr>
          <w:rFonts w:ascii="仿宋" w:hAnsi="仿宋" w:cs="仿宋" w:eastAsia="仿宋"/>
          <w:b w:val="true"/>
        </w:rPr>
        <w:t>：</w:t>
      </w:r>
      <w:r>
        <w:rPr>
          <w:rFonts w:hint="eastAsia" w:ascii="仿宋" w:hAnsi="仿宋" w:eastAsia="仿宋" w:cs="仿宋"/>
        </w:rPr>
        <w:t>反映除上述项目以外的其他用于基层医疗卫生机构的支出。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十五、卫生健康支出(类)公共卫生(款)基本公共卫生服务(项)</w:t>
      </w:r>
      <w:r>
        <w:rPr>
          <w:rFonts w:ascii="仿宋" w:hAnsi="仿宋" w:cs="仿宋" w:eastAsia="仿宋"/>
          <w:b w:val="true"/>
        </w:rPr>
        <w:t>：</w:t>
      </w:r>
      <w:r>
        <w:rPr>
          <w:rFonts w:hint="eastAsia" w:ascii="仿宋" w:hAnsi="仿宋" w:eastAsia="仿宋" w:cs="仿宋"/>
        </w:rPr>
        <w:t>反映基本公共卫生服务支出。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十七、卫生健康支出(类)公共卫生(款)其他公共卫生支出(项)</w:t>
      </w:r>
      <w:r>
        <w:rPr>
          <w:rFonts w:ascii="仿宋" w:hAnsi="仿宋" w:cs="仿宋" w:eastAsia="仿宋"/>
          <w:b w:val="true"/>
        </w:rPr>
        <w:t>：</w:t>
      </w:r>
      <w:r>
        <w:rPr>
          <w:rFonts w:hint="eastAsia" w:ascii="仿宋" w:hAnsi="仿宋" w:eastAsia="仿宋" w:cs="仿宋"/>
        </w:rPr>
        <w:t>其他公共卫生支出反映除上述项目以外的其他用于公共卫生方面的支出。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十八、卫生健康支出(类)计划生育事务(款)计划生育服务(项)</w:t>
      </w:r>
      <w:r>
        <w:rPr>
          <w:rFonts w:ascii="仿宋" w:hAnsi="仿宋" w:cs="仿宋" w:eastAsia="仿宋"/>
          <w:b w:val="true"/>
        </w:rPr>
        <w:t>：</w:t>
      </w:r>
      <w:r>
        <w:rPr>
          <w:rFonts w:hint="eastAsia" w:ascii="仿宋" w:hAnsi="仿宋" w:eastAsia="仿宋" w:cs="仿宋"/>
        </w:rPr>
        <w:t>反映计划生育服务支出。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十九、卫生健康支出(类)计划生育事务(款)其他计划生育事务支出(项)</w:t>
      </w:r>
      <w:r>
        <w:rPr>
          <w:rFonts w:ascii="仿宋" w:hAnsi="仿宋" w:cs="仿宋" w:eastAsia="仿宋"/>
          <w:b w:val="true"/>
        </w:rPr>
        <w:t>：</w:t>
      </w:r>
      <w:r>
        <w:rPr>
          <w:rFonts w:hint="eastAsia" w:ascii="仿宋" w:hAnsi="仿宋" w:eastAsia="仿宋" w:cs="仿宋"/>
        </w:rPr>
        <w:t>反映除上述项目以外其他用于计划生育管理事务方面的支出。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二十、卫生健康支出(类)医疗救助(款)其他医疗救助支出(项)</w:t>
      </w:r>
      <w:r>
        <w:rPr>
          <w:rFonts w:ascii="仿宋" w:hAnsi="仿宋" w:cs="仿宋" w:eastAsia="仿宋"/>
          <w:b w:val="true"/>
        </w:rPr>
        <w:t>：</w:t>
      </w:r>
      <w:r>
        <w:rPr>
          <w:rFonts w:hint="eastAsia" w:ascii="仿宋" w:hAnsi="仿宋" w:eastAsia="仿宋" w:cs="仿宋"/>
        </w:rPr>
        <w:t>反映除上述项目以外的其他用于医疗救助方面的支出。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二十一、卫生健康支出(类)老龄卫生健康事务(款)老龄卫生健康事务(项)</w:t>
      </w:r>
      <w:r>
        <w:rPr>
          <w:rFonts w:ascii="仿宋" w:hAnsi="仿宋" w:cs="仿宋" w:eastAsia="仿宋"/>
          <w:b w:val="true"/>
        </w:rPr>
        <w:t>：</w:t>
      </w:r>
      <w:r>
        <w:rPr>
          <w:rFonts w:hint="eastAsia" w:ascii="仿宋" w:hAnsi="仿宋" w:eastAsia="仿宋" w:cs="仿宋"/>
        </w:rPr>
        <w:t>反映老龄卫生健康事务方面的支出。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江阴市卫生健康委员会（机关）</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48</TotalTime>
  <ScaleCrop>false</ScaleCrop>
  <LinksUpToDate>false</LinksUpToDate>
  <CharactersWithSpaces>7399</CharactersWithSpaces>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有光的地方</cp:lastModifiedBy>
  <dcterms:modified xsi:type="dcterms:W3CDTF">2022-02-09T14:56:23Z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2052-11.1.0.11294</vt:lpwstr>
  </property>
  <property fmtid="{D5CDD505-2E9C-101B-9397-08002B2CF9AE}" pid="6" name="LastSaved">
    <vt:filetime>2021-04-15T00:00:00Z</vt:filetime>
  </property>
</Properties>
</file>