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footer+xml" PartName="/word/footer15.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4"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r>
              <w:rPr>
                <w:rFonts w:hint="eastAsia" w:ascii="仿宋" w:hAnsi="仿宋" w:eastAsia="仿宋" w:cs="仿宋"/>
                <w:b/>
                <w:bCs/>
                <w:color w:val="FF000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r>
              <w:rPr>
                <w:rFonts w:hint="eastAsia" w:ascii="宋体" w:hAnsi="宋体" w:eastAsia="宋体" w:cs="宋体"/>
                <w:b/>
                <w:bCs/>
                <w:sz w:val="52"/>
                <w:szCs w:val="52"/>
                <w:lang w:val="en-US" w:eastAsia="zh-CN"/>
              </w:rPr>
              <w:t/>
            </w:r>
            <w:r>
              <w:rPr>
                <w:rFonts w:ascii="宋体" w:hAnsi="宋体" w:cs="宋体" w:eastAsia="宋体"/>
                <w:b w:val="true"/>
                <w:sz w:val="52"/>
              </w:rPr>
              <w:t>2022年度江阴市急救中心单位预算公开</w:t>
            </w:r>
            <w:r>
              <w:rPr>
                <w:rFonts w:ascii="宋体" w:hAnsi="宋体" w:cs="宋体" w:eastAsia="宋体"/>
                <w:b w:val="true"/>
                <w:sz w:val="52"/>
              </w:rPr>
              <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70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单位</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单位</w:t>
      </w:r>
      <w:r>
        <w:rPr>
          <w:rFonts w:hint="eastAsia" w:ascii="仿宋" w:hAnsi="仿宋" w:eastAsia="仿宋" w:cs="仿宋"/>
        </w:rPr>
        <w:t>机构设置及预算单位构成情况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2022</w:t>
      </w:r>
      <w:r>
        <w:rPr>
          <w:rFonts w:hint="eastAsia" w:ascii="仿宋" w:hAnsi="仿宋" w:eastAsia="仿宋" w:cs="仿宋"/>
        </w:rPr>
        <w:t>年度</w:t>
      </w:r>
      <w:r>
        <w:rPr>
          <w:rFonts w:hint="eastAsia" w:ascii="仿宋" w:hAnsi="仿宋" w:eastAsia="仿宋" w:cs="仿宋"/>
          <w:lang w:val="en-US" w:eastAsia="zh-CN"/>
        </w:rPr>
        <w:t>单位</w:t>
      </w:r>
      <w:r>
        <w:rPr>
          <w:rFonts w:hint="eastAsia" w:ascii="仿宋" w:hAnsi="仿宋" w:eastAsia="仿宋" w:cs="仿宋"/>
        </w:rPr>
        <w:t>主要工作任务及目标</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2022</w:t>
      </w:r>
      <w:r>
        <w:rPr>
          <w:rFonts w:hint="eastAsia" w:ascii="仿宋" w:hAnsi="仿宋" w:eastAsia="仿宋" w:cs="仿宋"/>
          <w:b/>
          <w:bCs/>
          <w:lang w:val="en-US" w:eastAsia="zh-CN"/>
        </w:rPr>
        <w:t>年度</w:t>
      </w:r>
      <w:r>
        <w:rPr>
          <w:rFonts w:ascii="仿宋" w:hAnsi="仿宋" w:cs="仿宋" w:eastAsia="仿宋"/>
          <w:b w:val="true"/>
        </w:rPr>
        <w:t>单位</w:t>
      </w:r>
      <w:r>
        <w:rPr>
          <w:rFonts w:ascii="仿宋" w:hAnsi="仿宋" w:cs="仿宋" w:eastAsia="仿宋"/>
          <w:b w:val="true"/>
        </w:rPr>
        <w:t>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w:t>
      </w:r>
      <w:r>
        <w:rPr>
          <w:rFonts w:hint="eastAsia" w:ascii="仿宋" w:hAnsi="仿宋" w:eastAsia="仿宋" w:cs="仿宋"/>
          <w:lang w:val="en-US" w:eastAsia="zh-CN"/>
        </w:rPr>
        <w:t>预算</w:t>
      </w:r>
      <w:r>
        <w:rPr>
          <w:rFonts w:hint="eastAsia" w:ascii="仿宋" w:hAnsi="仿宋" w:eastAsia="仿宋" w:cs="仿宋"/>
        </w:rPr>
        <w:t>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2022</w:t>
      </w:r>
      <w:r>
        <w:rPr>
          <w:rFonts w:hint="eastAsia" w:ascii="仿宋" w:hAnsi="仿宋" w:eastAsia="仿宋" w:cs="仿宋"/>
          <w:b/>
          <w:bCs/>
          <w:color w:val="000000"/>
          <w:sz w:val="30"/>
          <w:szCs w:val="30"/>
          <w:lang w:val="en-US" w:bidi="ar"/>
        </w:rPr>
        <w:t>年度</w:t>
      </w:r>
      <w:r>
        <w:rPr>
          <w:rFonts w:ascii="仿宋" w:hAnsi="仿宋" w:cs="仿宋" w:eastAsia="仿宋"/>
          <w:b w:val="true"/>
          <w:color w:val="000000"/>
          <w:sz w:val="30"/>
        </w:rPr>
        <w:t>单位</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6" w:type="default"/>
          <w:pgSz w:w="11906" w:h="16838"/>
          <w:pgMar w:top="1580" w:right="700" w:bottom="770" w:left="1020" w:header="170"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单位</w:t>
      </w:r>
      <w:r>
        <w:rPr>
          <w:rFonts w:hint="eastAsia" w:ascii="仿宋" w:hAnsi="仿宋" w:eastAsia="仿宋" w:cs="仿宋"/>
          <w:b/>
          <w:bCs/>
        </w:rPr>
        <w:t>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（一）负责区域呼救电话的受理工作。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（二）负责全市院前急救医疗及指挥调度工作。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（三）为重要会议、重大活动及上级部门指派的其他相关任务提供保障服务和院前医疗急救。</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（四）承担各类突发性事件的现场紧急医疗救援任务。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（五）负责对下级急救站（点）指导、质量考核和急救人员业务培训。</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（六）对市民开展急救知识的宣传、普及和培训工作。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（七）落实本单位安全生产主体责任。</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（八）完成市卫生健康委员会交办的其他任务。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cs="仿宋" w:eastAsia="仿宋"/>
          <w:b w:val="true"/>
        </w:rPr>
        <w:t>单位</w:t>
      </w:r>
      <w:r>
        <w:rPr>
          <w:rFonts w:hint="eastAsia" w:ascii="仿宋" w:hAnsi="仿宋" w:eastAsia="仿宋" w:cs="仿宋"/>
          <w:b/>
          <w:bCs/>
        </w:rPr>
        <w:t>机构设置及预算单位构成情况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1.</w:t>
      </w:r>
      <w:r>
        <w:rPr>
          <w:rFonts w:hint="eastAsia" w:ascii="仿宋" w:hAnsi="仿宋" w:eastAsia="仿宋" w:cs="仿宋"/>
        </w:rPr>
        <w:t>根据</w:t>
      </w:r>
      <w:r>
        <w:rPr>
          <w:rFonts w:hint="eastAsia" w:ascii="仿宋" w:hAnsi="仿宋" w:eastAsia="仿宋" w:cs="仿宋"/>
          <w:lang w:val="en-US" w:eastAsia="zh-CN"/>
        </w:rPr>
        <w:t>单位</w:t>
      </w:r>
      <w:r>
        <w:rPr>
          <w:rFonts w:hint="eastAsia" w:ascii="仿宋" w:hAnsi="仿宋" w:eastAsia="仿宋" w:cs="仿宋"/>
        </w:rPr>
        <w:t>职责分工，</w:t>
      </w:r>
      <w:r>
        <w:rPr>
          <w:rFonts w:hint="eastAsia" w:ascii="仿宋" w:hAnsi="仿宋" w:eastAsia="仿宋" w:cs="仿宋"/>
          <w:lang w:val="en-US"/>
        </w:rPr>
        <w:t/>
      </w:r>
      <w:r>
        <w:rPr>
          <w:rFonts w:ascii="仿宋" w:hAnsi="仿宋" w:cs="仿宋" w:eastAsia="仿宋"/>
        </w:rPr>
        <w:t/>
      </w:r>
      <w:r>
        <w:rPr>
          <w:rFonts w:ascii="仿宋" w:hAnsi="仿宋" w:cs="仿宋" w:eastAsia="仿宋"/>
        </w:rPr>
        <w:t>本单位内设机构包括：</w:t>
      </w:r>
      <w:r>
        <w:rPr>
          <w:rFonts w:ascii="仿宋" w:hAnsi="仿宋" w:cs="仿宋" w:eastAsia="仿宋"/>
        </w:rPr>
        <w:t/>
      </w:r>
      <w:r>
        <w:rPr>
          <w:rFonts w:ascii="仿宋" w:hAnsi="仿宋" w:cs="仿宋" w:eastAsia="仿宋"/>
        </w:rPr>
        <w:t/>
      </w:r>
      <w:r>
        <w:rPr>
          <w:rFonts w:ascii="仿宋" w:hAnsi="仿宋" w:cs="仿宋" w:eastAsia="仿宋"/>
        </w:rPr>
        <w:t>（一）办公室。负责中心党务、财务、人事、安全、宣传等综合管理工作。（二）调度科。负责中心“120”接警、急救调度等工作。（三）急救科。负责中心医疗急救、纠纷处理、业务培训考核等工作。（四）车管科。负责中心救护车辆的维修保养等工作；负责建立驾驶员的安全档案、车辆管理技术档案、维修记录及油料、材料、行驶里程等各种统计数据；负责中心车辆的交通安全管理；负责全市急救车驾驶员的业务培训及考核指导工作。</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本单位无下属单位。</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2022</w:t>
      </w:r>
      <w:r>
        <w:rPr>
          <w:rFonts w:hint="eastAsia" w:ascii="仿宋" w:hAnsi="仿宋" w:eastAsia="仿宋" w:cs="仿宋"/>
          <w:b/>
          <w:bCs/>
        </w:rPr>
        <w:t>年度</w:t>
      </w:r>
      <w:r>
        <w:rPr>
          <w:rFonts w:ascii="仿宋" w:hAnsi="仿宋" w:cs="仿宋" w:eastAsia="仿宋"/>
          <w:b w:val="true"/>
        </w:rPr>
        <w:t>单位</w:t>
      </w:r>
      <w:r>
        <w:rPr>
          <w:rFonts w:ascii="仿宋" w:hAnsi="仿宋" w:cs="仿宋" w:eastAsia="仿宋"/>
          <w:b w:val="true"/>
        </w:rPr>
        <w:t>主要工作任务及目标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2022年，本中心将继续以习近平新时代中国特色社会主义思想为指导，以深化学习、提升质量、完善服务为目标，努力提升院前急救服务水平，推动院前急救事业向高质量发展。</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院感防控抓紧抓实，疫情防控不松懈。2022年，进一步加强院感防控、医废处理、消毒隔离措施，在建的标准化洗消中心即将建设完工并投入使用，届时全市院前急救感染防控措施将得到进一步规范，疫情转运能力和水平将得到进一步提升。</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全面实现院前院内无缝衔接。以卒中、胸痛、创伤、高危孕产、新生儿危急重症五大救治中心为龙头，以医疗机构为依托、信息化手段为支撑，加快实现院前院内信息交互和业务协同，逐步全面建立救护车生命体征传输系统，规范交接工作流程，强化患者信息共享、远程急救指导和院内急救于一体的院前院内无缝衔接。争取早日推进与公安、交通、应急管理等相关部门的信息交换和共享。</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加强院前急救能力建设。引导院前医护人员开展院前急救医疗技术创新，不断增强院前急救现场救护、途中救护的专业能力，提高抢救成功率，充分调动院前急救人员钻研业务、提升能力的积极性。建立健全并落实院前急救人员岗位培训制度，开展新进职工岗前培训。以常见急症现场初步处理常规、各种创伤现场初步救治常规、现场心肺复苏、搬运和护送规范为重点，进一步掌握33种危急重症救治规范。通过经常性岗位技能培训，不断提升院前急救专业队伍的医疗救护、突发事件处置和紧急医疗救援能力。做到2分钟出车率达95%，实现急救病人处置率100%，危重病人现场处置符合率100%。</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4、信息化项目硬件更新。逐步更新对讲机实现5G传输功能，满足日常的急救工作需求，进一步提高急救质量。</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5、加强宣传工作，提升急救中心整体形象。做到宣传载体多元化，宣传渠道多种化，宣传内容多样化，让广大市民朋友了解院前急救工作，从而提升120的整体社会形象。</w:t>
      </w:r>
      <w:r>
        <w:rPr>
          <w:rFonts w:ascii="仿宋" w:hAnsi="仿宋" w:cs="仿宋" w:eastAsia="仿宋"/>
        </w:rPr>
        <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70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2022</w:t>
      </w:r>
      <w:r>
        <w:rPr>
          <w:rFonts w:hint="eastAsia" w:ascii="仿宋" w:hAnsi="仿宋" w:eastAsia="仿宋" w:cs="仿宋"/>
          <w:b/>
          <w:bCs/>
          <w:sz w:val="44"/>
          <w:szCs w:val="44"/>
        </w:rPr>
        <w:t>年度</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江阴市急救中心</w:t>
      </w:r>
    </w:p>
    <w:p>
      <w:pPr>
        <w:pStyle w:val="21"/>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单位</w:t>
      </w:r>
      <w:r>
        <w:rPr>
          <w:rFonts w:ascii="仿宋" w:hAnsi="仿宋" w:cs="仿宋" w:eastAsia="仿宋"/>
          <w:b w:val="true"/>
          <w:sz w:val="44"/>
        </w:rPr>
        <w:t>预算表</w:t>
      </w:r>
    </w:p>
    <w:tbl>
      <w:tblPr>
        <w:tblStyle w:val="12"/>
        <w:tblW w:w="11331" w:type="dxa"/>
        <w:jc w:val="center"/>
        <w:tblLayout w:type="fixed"/>
        <w:tblCellMar>
          <w:top w:w="0" w:type="dxa"/>
          <w:left w:w="108" w:type="dxa"/>
          <w:bottom w:w="0" w:type="dxa"/>
          <w:right w:w="108" w:type="dxa"/>
        </w:tblCellMar>
      </w:tblPr>
      <w:tblGrid>
        <w:gridCol w:w="3908"/>
        <w:gridCol w:w="1869"/>
        <w:gridCol w:w="3704"/>
        <w:gridCol w:w="67"/>
        <w:gridCol w:w="1781"/>
        <w:gridCol w:w="2"/>
      </w:tblGrid>
      <w:tr>
        <w:tblPrEx>
          <w:tblCellMar>
            <w:top w:w="0" w:type="dxa"/>
            <w:left w:w="108" w:type="dxa"/>
            <w:bottom w:w="0" w:type="dxa"/>
            <w:right w:w="108" w:type="dxa"/>
          </w:tblCellMar>
        </w:tblPrEx>
        <w:trPr>
          <w:trHeight w:val="116" w:hRule="atLeast"/>
          <w:jc w:val="center"/>
        </w:trPr>
        <w:tc>
          <w:tcPr>
            <w:tcW w:w="11329" w:type="dxa"/>
            <w:gridSpan w:val="5"/>
            <w:vAlign w:val="center"/>
          </w:tcPr>
          <w:p>
            <w:pPr>
              <w:pageBreakBefore/>
              <w:widowControl w:val="0"/>
              <w:ind w:left="0" w:right="0" w:firstLine="0"/>
              <w:jc w:val="both"/>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公开01表</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348" w:hRule="atLeast"/>
          <w:jc w:val="center"/>
        </w:trPr>
        <w:tc>
          <w:tcPr>
            <w:tcW w:w="11329" w:type="dxa"/>
            <w:gridSpan w:val="5"/>
          </w:tcPr>
          <w:p>
            <w:pPr>
              <w:widowControl w:val="0"/>
              <w:ind w:left="0" w:right="0" w:firstLine="0"/>
              <w:jc w:val="center"/>
              <w:textAlignment w:val="auto"/>
              <w:rPr>
                <w:rFonts w:hint="eastAsia" w:ascii="仿宋" w:hAnsi="仿宋" w:eastAsia="仿宋" w:cs="仿宋"/>
                <w:color w:val="000000"/>
                <w:sz w:val="22"/>
              </w:rPr>
            </w:pPr>
            <w:r>
              <w:rPr>
                <w:rFonts w:hint="eastAsia" w:ascii="仿宋" w:hAnsi="仿宋" w:eastAsia="仿宋" w:cs="仿宋"/>
                <w:b/>
                <w:bCs/>
                <w:color w:val="000000"/>
                <w:sz w:val="44"/>
                <w:szCs w:val="44"/>
                <w:lang w:eastAsia="ar-SA"/>
              </w:rPr>
              <w:t>收支总表</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color w:val="000000"/>
                <w:sz w:val="22"/>
                <w:szCs w:val="22"/>
                <w:lang w:eastAsia="ar-SA"/>
              </w:rPr>
              <w:t>江阴市急救中心</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lang w:eastAsia="zh-CN"/>
              </w:rPr>
              <w:t>单位</w:t>
            </w:r>
            <w:r>
              <w:rPr>
                <w:rFonts w:hint="eastAsia" w:ascii="仿宋" w:hAnsi="仿宋" w:eastAsia="仿宋" w:cs="仿宋"/>
                <w:color w:val="000000"/>
                <w:sz w:val="22"/>
              </w:rPr>
              <w:t>：万元</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支出</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r>
              <w:rPr>
                <w:rFonts w:hint="eastAsia" w:ascii="仿宋" w:hAnsi="仿宋" w:eastAsia="仿宋" w:cs="仿宋"/>
                <w:b/>
                <w:bCs/>
                <w:color w:val="000000"/>
                <w:sz w:val="22"/>
                <w:szCs w:val="22"/>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2,215.47</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98.29</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1,925.93</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十八、援助其他地区支出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191.25</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val="0"/>
                <w:bCs w:val="0"/>
                <w:color w:val="000000"/>
                <w:sz w:val="22"/>
                <w:szCs w:val="22"/>
                <w:lang w:eastAsia="ar-SA"/>
              </w:rPr>
              <w:t/>
            </w: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2,215.47</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2,215.47</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lang w:val="zh-CN" w:eastAsia="ar-SA"/>
              </w:rPr>
            </w:pPr>
            <w:r>
              <w:rPr>
                <w:rFonts w:hint="eastAsia" w:ascii="仿宋" w:hAnsi="仿宋" w:eastAsia="仿宋" w:cs="仿宋"/>
                <w:color w:val="000000"/>
                <w:sz w:val="22"/>
                <w:szCs w:val="22"/>
                <w:lang w:val="zh-CN" w:eastAsia="ar-SA"/>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收入</w:t>
            </w: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2,215.47</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支出</w:t>
            </w:r>
            <w:r>
              <w:rPr>
                <w:rFonts w:hint="eastAsia" w:ascii="仿宋" w:hAnsi="仿宋" w:eastAsia="仿宋" w:cs="仿宋"/>
                <w:b/>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2,215.47</w:t>
            </w:r>
          </w:p>
        </w:tc>
        <w:tc>
          <w:tcPr>
            <w:tcW w:w="2" w:type="dxa"/>
          </w:tcPr>
          <w:p>
            <w:pPr>
              <w:widowControl w:val="0"/>
              <w:jc w:val="left"/>
              <w:rPr>
                <w:rFonts w:hint="eastAsia" w:ascii="仿宋" w:hAnsi="仿宋" w:eastAsia="仿宋" w:cs="仿宋"/>
                <w:sz w:val="20"/>
              </w:rPr>
            </w:pPr>
          </w:p>
        </w:tc>
      </w:tr>
    </w:tbl>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8" w:type="default"/>
          <w:pgSz w:w="11906" w:h="16838"/>
          <w:pgMar w:top="1580" w:right="70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149" w:type="dxa"/>
        <w:tblInd w:w="-25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097"/>
        <w:gridCol w:w="1800"/>
        <w:gridCol w:w="1063"/>
        <w:gridCol w:w="943"/>
        <w:gridCol w:w="789"/>
        <w:gridCol w:w="754"/>
        <w:gridCol w:w="686"/>
        <w:gridCol w:w="754"/>
        <w:gridCol w:w="754"/>
        <w:gridCol w:w="720"/>
        <w:gridCol w:w="754"/>
        <w:gridCol w:w="738"/>
        <w:gridCol w:w="720"/>
        <w:gridCol w:w="925"/>
        <w:gridCol w:w="772"/>
        <w:gridCol w:w="720"/>
        <w:gridCol w:w="754"/>
        <w:gridCol w:w="686"/>
        <w:gridCol w:w="7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149"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149"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sz w:val="44"/>
                <w:szCs w:val="44"/>
              </w:rPr>
              <w:t>收入</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1572"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both"/>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江阴市急救中心</w:t>
            </w:r>
          </w:p>
        </w:tc>
        <w:tc>
          <w:tcPr>
            <w:tcW w:w="4577"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lang w:eastAsia="zh-CN"/>
              </w:rPr>
              <w:t>单位</w:t>
            </w:r>
            <w:r>
              <w:rPr>
                <w:rFonts w:hint="eastAsia" w:ascii="仿宋" w:hAnsi="仿宋" w:eastAsia="仿宋" w:cs="仿宋"/>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097"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代码</w:t>
            </w:r>
          </w:p>
        </w:tc>
        <w:tc>
          <w:tcPr>
            <w:tcW w:w="180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名称</w:t>
            </w:r>
          </w:p>
        </w:tc>
        <w:tc>
          <w:tcPr>
            <w:tcW w:w="1063"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合计</w:t>
            </w:r>
          </w:p>
        </w:tc>
        <w:tc>
          <w:tcPr>
            <w:tcW w:w="7612"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本年收入</w:t>
            </w:r>
          </w:p>
        </w:tc>
        <w:tc>
          <w:tcPr>
            <w:tcW w:w="4577"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84" w:hRule="atLeast"/>
        </w:trPr>
        <w:tc>
          <w:tcPr>
            <w:tcW w:w="1097"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063"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4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78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5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75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75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事业</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72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事业单位经营收入</w:t>
            </w:r>
          </w:p>
        </w:tc>
        <w:tc>
          <w:tcPr>
            <w:tcW w:w="75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上级补助收入</w:t>
            </w:r>
          </w:p>
        </w:tc>
        <w:tc>
          <w:tcPr>
            <w:tcW w:w="73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附属单位上缴收入</w:t>
            </w:r>
          </w:p>
        </w:tc>
        <w:tc>
          <w:tcPr>
            <w:tcW w:w="72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其他</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92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7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2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75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72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4" w:hRule="atLeast"/>
        </w:trPr>
        <w:tc>
          <w:tcPr>
            <w:tcW w:w="2897"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center"/>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r>
              <w:rPr>
                <w:rFonts w:hint="eastAsia" w:ascii="仿宋" w:hAnsi="仿宋" w:eastAsia="仿宋" w:cs="仿宋"/>
                <w:color w:val="000000"/>
                <w:sz w:val="15"/>
                <w:szCs w:val="15"/>
                <w:lang w:val="en-US" w:eastAsia="zh-CN"/>
              </w:rPr>
              <w:t>合计</w:t>
            </w:r>
          </w:p>
        </w:tc>
        <w:tc>
          <w:tcPr>
            <w:tcW w:w="106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2,215.47</w:t>
            </w:r>
          </w:p>
        </w:tc>
        <w:tc>
          <w:tcPr>
            <w:tcW w:w="94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2,215.47</w:t>
            </w:r>
          </w:p>
        </w:tc>
        <w:tc>
          <w:tcPr>
            <w:tcW w:w="78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2,215.47</w:t>
            </w:r>
          </w:p>
        </w:tc>
        <w:tc>
          <w:tcPr>
            <w:tcW w:w="75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75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75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72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75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73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72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2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7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72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75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72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0" w:hRule="atLeast"/>
        </w:trPr>
        <w:tc>
          <w:tcPr>
            <w:tcW w:w="109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361060</w:t>
            </w:r>
          </w:p>
        </w:tc>
        <w:tc>
          <w:tcPr>
            <w:tcW w:w="18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江阴市急救中心</w:t>
            </w:r>
          </w:p>
        </w:tc>
        <w:tc>
          <w:tcPr>
            <w:tcW w:w="106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2,215.47</w:t>
            </w:r>
          </w:p>
        </w:tc>
        <w:tc>
          <w:tcPr>
            <w:tcW w:w="94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2,215.47</w:t>
            </w:r>
          </w:p>
        </w:tc>
        <w:tc>
          <w:tcPr>
            <w:tcW w:w="78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2,215.47</w:t>
            </w:r>
          </w:p>
        </w:tc>
        <w:tc>
          <w:tcPr>
            <w:tcW w:w="75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75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75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72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75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73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72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2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7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72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75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72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bl>
    <w:p>
      <w:pPr>
        <w:widowControl w:val="0"/>
        <w:suppressAutoHyphens/>
        <w:bidi w:val="0"/>
        <w:spacing w:before="66" w:after="0"/>
        <w:ind w:left="57" w:right="0" w:firstLine="221" w:firstLineChars="100"/>
        <w:jc w:val="left"/>
        <w:rPr>
          <w:rFonts w:hint="eastAsia" w:ascii="仿宋" w:hAnsi="仿宋" w:eastAsia="仿宋" w:cs="仿宋"/>
          <w:b/>
          <w:bCs/>
          <w:sz w:val="22"/>
          <w:szCs w:val="22"/>
        </w:rPr>
        <w:sectPr>
          <w:footerReference r:id="rId9" w:type="default"/>
          <w:pgSz w:w="16838" w:h="11906" w:orient="landscape"/>
          <w:pgMar w:top="720" w:right="720" w:bottom="720" w:left="50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CellMar>
            <w:top w:w="55" w:type="dxa"/>
            <w:left w:w="55" w:type="dxa"/>
            <w:bottom w:w="55" w:type="dxa"/>
            <w:right w:w="55" w:type="dxa"/>
          </w:tblCellMar>
        </w:tblPrEx>
        <w:trPr>
          <w:trHeight w:val="341" w:hRule="atLeast"/>
        </w:trPr>
        <w:tc>
          <w:tcPr>
            <w:tcW w:w="15347" w:type="dxa"/>
            <w:gridSpan w:val="8"/>
            <w:vAlign w:val="center"/>
          </w:tcPr>
          <w:p>
            <w:pPr>
              <w:pStyle w:val="5"/>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321" w:hRule="atLeast"/>
        </w:trPr>
        <w:tc>
          <w:tcPr>
            <w:tcW w:w="15347" w:type="dxa"/>
            <w:gridSpan w:val="8"/>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b/>
                <w:bCs/>
                <w:sz w:val="44"/>
                <w:szCs w:val="44"/>
              </w:rPr>
              <w:t>支出</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trHeight w:val="218" w:hRule="atLeast"/>
        </w:trPr>
        <w:tc>
          <w:tcPr>
            <w:tcW w:w="12030" w:type="dxa"/>
            <w:gridSpan w:val="6"/>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江阴市急救中心</w:t>
            </w:r>
          </w:p>
        </w:tc>
        <w:tc>
          <w:tcPr>
            <w:tcW w:w="3317" w:type="dxa"/>
            <w:gridSpan w:val="2"/>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right"/>
              <w:textAlignment w:val="auto"/>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533" w:hRule="atLeast"/>
        </w:trPr>
        <w:tc>
          <w:tcPr>
            <w:tcW w:w="1556"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科目名称</w:t>
            </w:r>
          </w:p>
        </w:tc>
        <w:tc>
          <w:tcPr>
            <w:tcW w:w="192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合计</w:t>
            </w:r>
          </w:p>
        </w:tc>
        <w:tc>
          <w:tcPr>
            <w:tcW w:w="1714"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事业单位</w:t>
            </w:r>
          </w:p>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lang w:val="en-US" w:eastAsia="zh-CN"/>
              </w:rPr>
              <w:t>经营支出</w:t>
            </w:r>
          </w:p>
        </w:tc>
        <w:tc>
          <w:tcPr>
            <w:tcW w:w="168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375"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19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2,215.47</w:t>
            </w:r>
          </w:p>
        </w:tc>
        <w:tc>
          <w:tcPr>
            <w:tcW w:w="171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1,611.07</w:t>
            </w:r>
          </w:p>
        </w:tc>
        <w:tc>
          <w:tcPr>
            <w:tcW w:w="174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604.40</w:t>
            </w:r>
          </w:p>
        </w:tc>
        <w:tc>
          <w:tcPr>
            <w:tcW w:w="186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98.29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98.29</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78.95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78.95</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2080505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52.63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52.63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2080506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26.32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26.32</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19.34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19.34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2089999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19.34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19.34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210</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卫生健康支出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1,925.93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1,321.53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604.40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21004</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公共卫生</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1,925.93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1,321.53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604.40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2100405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应急救治机构</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1,925.93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1,321.53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604.40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住房保障支出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191.25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191.25</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住房改革支出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191.25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191.25</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2210201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住房公积金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60.40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60.40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2210202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提租补贴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54.54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54.54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2210203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购房补贴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76.31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76.31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789" w:type="dxa"/>
        <w:tblInd w:w="-123"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trHeight w:val="319" w:hRule="atLeast"/>
        </w:trPr>
        <w:tc>
          <w:tcPr>
            <w:tcW w:w="15789" w:type="dxa"/>
            <w:gridSpan w:val="4"/>
          </w:tcPr>
          <w:p>
            <w:pPr>
              <w:pStyle w:val="22"/>
              <w:widowControl w:val="0"/>
              <w:jc w:val="left"/>
              <w:rPr>
                <w:rFonts w:hint="eastAsia" w:ascii="仿宋" w:hAnsi="仿宋" w:eastAsia="仿宋" w:cs="仿宋"/>
                <w:b/>
                <w:bCs/>
                <w:sz w:val="44"/>
                <w:szCs w:val="44"/>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5789" w:type="dxa"/>
            <w:gridSpan w:val="4"/>
          </w:tcPr>
          <w:p>
            <w:pPr>
              <w:pStyle w:val="22"/>
              <w:widowControl w:val="0"/>
              <w:jc w:val="center"/>
              <w:rPr>
                <w:rFonts w:hint="eastAsia" w:ascii="仿宋" w:hAnsi="仿宋" w:eastAsia="仿宋" w:cs="仿宋"/>
                <w:sz w:val="22"/>
                <w:szCs w:val="22"/>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trHeight w:val="319" w:hRule="atLeast"/>
        </w:trPr>
        <w:tc>
          <w:tcPr>
            <w:tcW w:w="11890" w:type="dxa"/>
            <w:gridSpan w:val="3"/>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江阴市急救中心</w:t>
            </w:r>
          </w:p>
        </w:tc>
        <w:tc>
          <w:tcPr>
            <w:tcW w:w="3899" w:type="dxa"/>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196" w:hRule="atLeast"/>
        </w:trPr>
        <w:tc>
          <w:tcPr>
            <w:tcW w:w="7947"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收</w:t>
            </w:r>
            <w:r>
              <w:rPr>
                <w:rFonts w:hint="eastAsia" w:ascii="仿宋" w:hAnsi="仿宋" w:eastAsia="仿宋" w:cs="仿宋"/>
                <w:b/>
                <w:bCs/>
                <w:sz w:val="22"/>
                <w:szCs w:val="22"/>
              </w:rPr>
              <w:tab/>
            </w:r>
            <w:r>
              <w:rPr>
                <w:rFonts w:hint="eastAsia" w:ascii="仿宋" w:hAnsi="仿宋" w:eastAsia="仿宋" w:cs="仿宋"/>
                <w:b/>
                <w:bCs/>
                <w:sz w:val="22"/>
                <w:szCs w:val="22"/>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支</w:t>
            </w:r>
            <w:r>
              <w:rPr>
                <w:rFonts w:hint="eastAsia" w:ascii="仿宋" w:hAnsi="仿宋" w:eastAsia="仿宋" w:cs="仿宋"/>
                <w:b/>
                <w:bCs/>
                <w:sz w:val="22"/>
                <w:szCs w:val="22"/>
              </w:rPr>
              <w:tab/>
            </w:r>
            <w:r>
              <w:rPr>
                <w:rFonts w:hint="eastAsia" w:ascii="仿宋" w:hAnsi="仿宋" w:eastAsia="仿宋" w:cs="仿宋"/>
                <w:b/>
                <w:bCs/>
                <w:sz w:val="22"/>
                <w:szCs w:val="22"/>
              </w:rPr>
              <w:t>出</w:t>
            </w:r>
          </w:p>
        </w:tc>
      </w:tr>
      <w:tr>
        <w:tblPrEx>
          <w:tblCellMar>
            <w:top w:w="55" w:type="dxa"/>
            <w:left w:w="55" w:type="dxa"/>
            <w:bottom w:w="55" w:type="dxa"/>
            <w:right w:w="55" w:type="dxa"/>
          </w:tblCellMar>
        </w:tblPrEx>
        <w:trPr>
          <w:trHeight w:val="468" w:hRule="atLeas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
            </w:r>
            <w:r>
              <w:rPr>
                <w:rFonts w:ascii="仿宋" w:hAnsi="仿宋" w:cs="仿宋" w:eastAsia="仿宋"/>
                <w:b w:val="true"/>
                <w:sz w:val="22"/>
              </w:rPr>
              <w:t>项</w:t>
            </w:r>
            <w:r>
              <w:rPr>
                <w:rFonts w:hint="eastAsia" w:ascii="仿宋" w:hAnsi="仿宋" w:eastAsia="仿宋" w:cs="仿宋"/>
                <w:b/>
                <w:bCs/>
                <w:sz w:val="22"/>
                <w:szCs w:val="22"/>
              </w:rPr>
              <w:tab/>
            </w:r>
            <w:r>
              <w:rPr>
                <w:rFonts w:hint="eastAsia" w:ascii="仿宋" w:hAnsi="仿宋" w:eastAsia="仿宋" w:cs="仿宋"/>
                <w:b/>
                <w:bCs/>
                <w:sz w:val="22"/>
                <w:szCs w:val="22"/>
              </w:rPr>
              <w:t>目</w:t>
            </w:r>
          </w:p>
        </w:tc>
        <w:tc>
          <w:tcPr>
            <w:tcW w:w="396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c>
          <w:tcPr>
            <w:tcW w:w="3943" w:type="dxa"/>
            <w:tcBorders>
              <w:left w:val="single" w:color="000000" w:sz="4" w:space="0"/>
              <w:bottom w:val="single" w:color="000000" w:sz="4" w:space="0"/>
            </w:tcBorders>
            <w:vAlign w:val="center"/>
          </w:tcPr>
          <w:p>
            <w:pPr>
              <w:widowControl w:val="0"/>
              <w:jc w:val="cente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项目</w:t>
            </w:r>
          </w:p>
        </w:tc>
        <w:tc>
          <w:tcPr>
            <w:tcW w:w="3899" w:type="dxa"/>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2,215.47</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2,215.47</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2,215.47</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98.29</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1,925.93</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（十八）援助其他地区支出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191.25</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收入</w:t>
            </w:r>
            <w:r>
              <w:rPr>
                <w:rFonts w:hint="eastAsia" w:ascii="仿宋" w:hAnsi="仿宋" w:eastAsia="仿宋" w:cs="仿宋"/>
                <w:b/>
                <w:bCs/>
                <w:sz w:val="22"/>
                <w:szCs w:val="22"/>
              </w:rPr>
              <w:t>总计</w:t>
            </w:r>
          </w:p>
        </w:tc>
        <w:tc>
          <w:tcPr>
            <w:tcW w:w="396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2,215.47</w:t>
            </w:r>
          </w:p>
        </w:tc>
        <w:tc>
          <w:tcPr>
            <w:tcW w:w="39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支出</w:t>
            </w:r>
            <w:r>
              <w:rPr>
                <w:rFonts w:hint="eastAsia" w:ascii="仿宋" w:hAnsi="仿宋" w:eastAsia="仿宋" w:cs="仿宋"/>
                <w:b/>
                <w:bCs/>
                <w:sz w:val="22"/>
                <w:szCs w:val="22"/>
              </w:rPr>
              <w:t>总计</w:t>
            </w:r>
          </w:p>
        </w:tc>
        <w:tc>
          <w:tcPr>
            <w:tcW w:w="3899"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2,215.47</w:t>
            </w:r>
          </w:p>
        </w:tc>
      </w:tr>
    </w:tbl>
    <w:p>
      <w:pPr>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trHeight w:val="321" w:hRule="atLeast"/>
        </w:trPr>
        <w:tc>
          <w:tcPr>
            <w:tcW w:w="15216" w:type="dxa"/>
            <w:gridSpan w:val="7"/>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trHeight w:val="321" w:hRule="atLeast"/>
        </w:trPr>
        <w:tc>
          <w:tcPr>
            <w:tcW w:w="15216" w:type="dxa"/>
            <w:gridSpan w:val="7"/>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trHeight w:val="309" w:hRule="atLeast"/>
        </w:trPr>
        <w:tc>
          <w:tcPr>
            <w:tcW w:w="13552" w:type="dxa"/>
            <w:gridSpan w:val="6"/>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江阴市急救中心</w:t>
            </w:r>
          </w:p>
        </w:tc>
        <w:tc>
          <w:tcPr>
            <w:tcW w:w="1664" w:type="dxa"/>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846"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科目编码</w:t>
            </w:r>
          </w:p>
        </w:tc>
        <w:tc>
          <w:tcPr>
            <w:tcW w:w="4213"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科目名称</w:t>
            </w:r>
          </w:p>
        </w:tc>
        <w:tc>
          <w:tcPr>
            <w:tcW w:w="2040"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5453" w:type="dxa"/>
            <w:gridSpan w:val="3"/>
            <w:tcBorders>
              <w:top w:val="single" w:color="000000" w:sz="6" w:space="0"/>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296" w:hRule="atLeast"/>
        </w:trPr>
        <w:tc>
          <w:tcPr>
            <w:tcW w:w="1846"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4213"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2040" w:type="dxa"/>
            <w:vMerge w:val="continue"/>
            <w:tcBorders>
              <w:left w:val="single" w:color="000000" w:sz="6" w:space="0"/>
              <w:bottom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c>
          <w:tcPr>
            <w:tcW w:w="1827"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64" w:type="dxa"/>
            <w:vMerge w:val="continue"/>
            <w:tcBorders>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trHeight w:val="350" w:hRule="exact"/>
        </w:trPr>
        <w:tc>
          <w:tcPr>
            <w:tcW w:w="6059" w:type="dxa"/>
            <w:gridSpan w:val="2"/>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2040"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2,215.47</w:t>
            </w:r>
          </w:p>
        </w:tc>
        <w:tc>
          <w:tcPr>
            <w:tcW w:w="1827"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1,611.07</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1,393.95</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217.12</w:t>
            </w:r>
          </w:p>
        </w:tc>
        <w:tc>
          <w:tcPr>
            <w:tcW w:w="1664" w:type="dxa"/>
            <w:tcBorders>
              <w:left w:val="single" w:color="000000" w:sz="6" w:space="0"/>
              <w:bottom w:val="single" w:color="000000" w:sz="6" w:space="0"/>
              <w:right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604.40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98.29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98.29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98.29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78.95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78.95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78.95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2080505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52.63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52.63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52.63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2080506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26.32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26.32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26.32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19.34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19.34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19.34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2089999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19.34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19.34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19.34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210</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卫生健康支出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1,925.93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1,321.53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1,104.41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217.12</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604.40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21004</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公共卫生</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1,925.93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1,321.53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1,104.41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217.12</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604.40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2100405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应急救治机构</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1,925.93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1,321.53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1,104.41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217.12</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604.40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住房保障支出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191.25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191.25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191.25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住房改革支出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191.25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191.25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191.25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2210201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住房公积金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60.40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60.40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60.40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2210202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提租补贴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54.54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54.54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54.54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2210203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购房补贴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76.31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76.31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76.31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2"/>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trHeight w:val="319" w:hRule="atLeast"/>
        </w:trPr>
        <w:tc>
          <w:tcPr>
            <w:tcW w:w="10817" w:type="dxa"/>
            <w:gridSpan w:val="5"/>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10817"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trHeight w:val="319" w:hRule="atLeast"/>
        </w:trPr>
        <w:tc>
          <w:tcPr>
            <w:tcW w:w="8760"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江阴市急救中心</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trHeight w:val="267"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50"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1,611.07</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1,393.95</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217.12</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1,393.75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1,393.75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109.30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109.30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151.52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151.52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280.00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36.04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36.04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绩效工资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219.63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219.63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52.63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52.63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26.32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26.32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16.14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16.14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60.40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60.40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医疗费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435.21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435.21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217.12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217.12</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10.85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10.85</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印刷费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2.25</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被装购置费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4.62</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8.50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150.40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150.40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CellMar>
            <w:top w:w="55" w:type="dxa"/>
            <w:left w:w="55" w:type="dxa"/>
            <w:bottom w:w="55" w:type="dxa"/>
            <w:right w:w="55" w:type="dxa"/>
          </w:tblCellMar>
        </w:tblPrEx>
        <w:trPr>
          <w:trHeight w:val="321" w:hRule="atLeast"/>
        </w:trPr>
        <w:tc>
          <w:tcPr>
            <w:tcW w:w="15216" w:type="dxa"/>
            <w:gridSpan w:val="7"/>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eastAsia="zh-CN"/>
              </w:rPr>
              <w:t>7</w:t>
            </w:r>
            <w:r>
              <w:rPr>
                <w:rFonts w:hint="eastAsia" w:ascii="仿宋" w:hAnsi="仿宋" w:eastAsia="仿宋" w:cs="仿宋"/>
              </w:rPr>
              <w:t>表</w:t>
            </w:r>
          </w:p>
        </w:tc>
      </w:tr>
      <w:tr>
        <w:tblPrEx>
          <w:tblCellMar>
            <w:top w:w="55" w:type="dxa"/>
            <w:left w:w="55" w:type="dxa"/>
            <w:bottom w:w="55" w:type="dxa"/>
            <w:right w:w="55" w:type="dxa"/>
          </w:tblCellMar>
        </w:tblPrEx>
        <w:trPr>
          <w:trHeight w:val="321" w:hRule="atLeast"/>
        </w:trPr>
        <w:tc>
          <w:tcPr>
            <w:tcW w:w="15216" w:type="dxa"/>
            <w:gridSpan w:val="7"/>
          </w:tcPr>
          <w:p>
            <w:pPr>
              <w:pStyle w:val="22"/>
              <w:widowControl w:val="0"/>
              <w:jc w:val="center"/>
              <w:rPr>
                <w:rFonts w:hint="eastAsia"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trHeight w:val="288" w:hRule="atLeast"/>
        </w:trPr>
        <w:tc>
          <w:tcPr>
            <w:tcW w:w="13566" w:type="dxa"/>
            <w:gridSpan w:val="6"/>
          </w:tcPr>
          <w:p>
            <w:pPr>
              <w:pStyle w:val="22"/>
              <w:widowControl w:val="0"/>
              <w:jc w:val="left"/>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江阴市急救中心</w:t>
            </w:r>
          </w:p>
        </w:tc>
        <w:tc>
          <w:tcPr>
            <w:tcW w:w="1650" w:type="dxa"/>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792"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307"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1960"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5507" w:type="dxa"/>
            <w:gridSpan w:val="3"/>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792"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4307"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1960"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1693"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98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2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50"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378" w:hRule="exact"/>
        </w:trPr>
        <w:tc>
          <w:tcPr>
            <w:tcW w:w="6099"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1960"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2,215.47</w:t>
            </w:r>
          </w:p>
        </w:tc>
        <w:tc>
          <w:tcPr>
            <w:tcW w:w="1693"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1,611.07</w:t>
            </w:r>
          </w:p>
        </w:tc>
        <w:tc>
          <w:tcPr>
            <w:tcW w:w="198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1,393.95</w:t>
            </w:r>
          </w:p>
        </w:tc>
        <w:tc>
          <w:tcPr>
            <w:tcW w:w="182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217.12</w:t>
            </w:r>
          </w:p>
        </w:tc>
        <w:tc>
          <w:tcPr>
            <w:tcW w:w="1650"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604.40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98.29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98.29</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98.29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78.95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78.95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78.95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52.63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52.63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52.63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2080506</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26.32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26.32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26.32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19.34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19.34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19.34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2089999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19.34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19.34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19.34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卫生健康支出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1,925.93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1,321.53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1,104.41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217.12</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604.40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21004</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公共卫生</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1,925.93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1,321.53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1,104.41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217.12</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604.40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2100405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应急救治机构</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1,925.93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1,321.53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1,104.41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217.12</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604.40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191.25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191.25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191.25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住房改革支出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191.25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191.25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191.25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住房公积金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60.40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60.40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60.40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提租补贴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54.54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54.54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54.54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购房补贴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76.31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76.31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76.31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954" w:type="dxa"/>
        <w:tblInd w:w="-206"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trHeight w:val="319" w:hRule="atLeast"/>
        </w:trPr>
        <w:tc>
          <w:tcPr>
            <w:tcW w:w="10954" w:type="dxa"/>
            <w:gridSpan w:val="5"/>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trHeight w:val="189" w:hRule="atLeast"/>
        </w:trPr>
        <w:tc>
          <w:tcPr>
            <w:tcW w:w="10954"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trHeight w:val="138" w:hRule="atLeast"/>
        </w:trPr>
        <w:tc>
          <w:tcPr>
            <w:tcW w:w="9281"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江阴市急救中心</w:t>
            </w:r>
          </w:p>
        </w:tc>
        <w:tc>
          <w:tcPr>
            <w:tcW w:w="1673"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180" w:hRule="atLeast"/>
        </w:trPr>
        <w:tc>
          <w:tcPr>
            <w:tcW w:w="4894" w:type="dxa"/>
            <w:gridSpan w:val="2"/>
            <w:tcBorders>
              <w:top w:val="single" w:color="000000" w:sz="4" w:space="0"/>
              <w:left w:val="single" w:color="000000" w:sz="4" w:space="0"/>
              <w:bottom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本年一般公共预算基本支出</w:t>
            </w:r>
          </w:p>
        </w:tc>
      </w:tr>
      <w:tr>
        <w:tblPrEx>
          <w:tblCellMar>
            <w:top w:w="55" w:type="dxa"/>
            <w:left w:w="55" w:type="dxa"/>
            <w:bottom w:w="55" w:type="dxa"/>
            <w:right w:w="55" w:type="dxa"/>
          </w:tblCellMar>
        </w:tblPrEx>
        <w:trPr>
          <w:trHeight w:val="190" w:hRule="atLeast"/>
        </w:trPr>
        <w:tc>
          <w:tcPr>
            <w:tcW w:w="122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82" w:hRule="exact"/>
        </w:trPr>
        <w:tc>
          <w:tcPr>
            <w:tcW w:w="489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1,611.07</w:t>
            </w:r>
          </w:p>
        </w:tc>
        <w:tc>
          <w:tcPr>
            <w:tcW w:w="19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1,393.95</w:t>
            </w:r>
          </w:p>
        </w:tc>
        <w:tc>
          <w:tcPr>
            <w:tcW w:w="167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217.12</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1,393.75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1,393.75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109.30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109.30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151.52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151.52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280.00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280.00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36.04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36.04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绩效工资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219.63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219.63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52.63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52.63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26.32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26.32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16.14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16.14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60.40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60.40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30114</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医疗费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435.21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435.21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217.12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217.12</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10.85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10.85</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印刷费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2.25</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电费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30224</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被装购置费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4.62</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8.50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8.50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150.40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150.40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trHeight w:val="321" w:hRule="atLeast"/>
        </w:trPr>
        <w:tc>
          <w:tcPr>
            <w:tcW w:w="15909" w:type="dxa"/>
            <w:gridSpan w:val="8"/>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trHeight w:val="207" w:hRule="atLeast"/>
        </w:trPr>
        <w:tc>
          <w:tcPr>
            <w:tcW w:w="15909" w:type="dxa"/>
            <w:gridSpan w:val="8"/>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trHeight w:val="103" w:hRule="atLeast"/>
        </w:trPr>
        <w:tc>
          <w:tcPr>
            <w:tcW w:w="12069" w:type="dxa"/>
            <w:gridSpan w:val="6"/>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江阴市急救中心</w:t>
            </w:r>
          </w:p>
        </w:tc>
        <w:tc>
          <w:tcPr>
            <w:tcW w:w="3840" w:type="dxa"/>
            <w:gridSpan w:val="2"/>
            <w:tcBorders>
              <w:bottom w:val="single" w:color="auto" w:sz="4" w:space="0"/>
            </w:tcBorders>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0.50</w:t>
            </w:r>
          </w:p>
        </w:tc>
        <w:tc>
          <w:tcPr>
            <w:tcW w:w="233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85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0.50</w:t>
            </w:r>
          </w:p>
        </w:tc>
        <w:tc>
          <w:tcPr>
            <w:tcW w:w="205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r>
    </w:tbl>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6"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812" w:type="dxa"/>
        <w:tblInd w:w="-106"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rPr>
              <w:t>公开</w:t>
            </w:r>
            <w:r>
              <w:rPr>
                <w:rFonts w:hint="eastAsia" w:ascii="仿宋" w:hAnsi="仿宋" w:eastAsia="仿宋" w:cs="仿宋"/>
                <w:lang w:val="en-US" w:eastAsia="zh-CN"/>
              </w:rPr>
              <w:t>10</w:t>
            </w:r>
            <w:r>
              <w:rPr>
                <w:rFonts w:hint="eastAsia" w:ascii="仿宋" w:hAnsi="仿宋" w:eastAsia="仿宋" w:cs="仿宋"/>
              </w:rPr>
              <w:t>表</w:t>
            </w:r>
          </w:p>
        </w:tc>
      </w:tr>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center"/>
              <w:rPr>
                <w:rFonts w:hint="eastAsia"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trHeight w:val="213" w:hRule="atLeast"/>
        </w:trPr>
        <w:tc>
          <w:tcPr>
            <w:tcW w:w="8327" w:type="dxa"/>
            <w:gridSpan w:val="4"/>
            <w:tcBorders>
              <w:top w:val="nil"/>
              <w:left w:val="nil"/>
              <w:bottom w:val="single" w:color="auto" w:sz="4" w:space="0"/>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江阴市急救中心</w:t>
            </w:r>
          </w:p>
        </w:tc>
        <w:tc>
          <w:tcPr>
            <w:tcW w:w="2485" w:type="dxa"/>
            <w:tcBorders>
              <w:top w:val="nil"/>
              <w:left w:val="nil"/>
              <w:bottom w:val="single" w:color="auto" w:sz="4" w:space="0"/>
              <w:right w:val="nil"/>
            </w:tcBorders>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c>
          <w:tcPr>
            <w:tcW w:w="2834"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hint="eastAsia" w:ascii="仿宋" w:hAnsi="仿宋" w:eastAsia="仿宋" w:cs="仿宋"/>
          <w:b/>
          <w:bCs/>
          <w:sz w:val="22"/>
          <w:szCs w:val="22"/>
        </w:rPr>
        <w:t>注：</w:t>
      </w:r>
      <w:r>
        <w:rPr>
          <w:rFonts w:hint="eastAsia" w:ascii="仿宋" w:hAnsi="仿宋" w:eastAsia="仿宋" w:cs="仿宋"/>
          <w:b/>
          <w:bCs/>
          <w:sz w:val="22"/>
          <w:szCs w:val="22"/>
          <w:lang w:val="en-US" w:eastAsia="zh-CN"/>
        </w:rPr>
        <w:t>本</w:t>
      </w:r>
      <w:r>
        <w:rPr>
          <w:rFonts w:ascii="仿宋" w:hAnsi="仿宋" w:cs="仿宋" w:eastAsia="仿宋"/>
          <w:b w:val="true"/>
          <w:sz w:val="22"/>
        </w:rPr>
        <w:t>单位</w:t>
      </w:r>
      <w:r>
        <w:rPr>
          <w:rFonts w:ascii="仿宋" w:hAnsi="仿宋" w:cs="仿宋" w:eastAsia="仿宋"/>
          <w:b w:val="true"/>
          <w:sz w:val="22"/>
        </w:rPr>
        <w:t>无政府性基金预算，也没有使用政府性基金安排的支出，故本表无数据。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7"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trHeight w:val="447" w:hRule="atLeast"/>
          <w:jc w:val="center"/>
        </w:trPr>
        <w:tc>
          <w:tcPr>
            <w:tcW w:w="14695" w:type="dxa"/>
            <w:gridSpan w:val="5"/>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公开11表</w:t>
            </w:r>
          </w:p>
        </w:tc>
      </w:tr>
      <w:tr>
        <w:tblPrEx>
          <w:tblCellMar>
            <w:top w:w="0" w:type="dxa"/>
            <w:left w:w="108" w:type="dxa"/>
            <w:bottom w:w="0" w:type="dxa"/>
            <w:right w:w="108" w:type="dxa"/>
          </w:tblCellMar>
        </w:tblPrEx>
        <w:trPr>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44"/>
                <w:szCs w:val="44"/>
                <w:lang w:val="zh-CN" w:eastAsia="zh-CN" w:bidi="zh-CN"/>
              </w:rPr>
              <w:t>国有资本经营预算支出预算表</w:t>
            </w:r>
          </w:p>
        </w:tc>
      </w:tr>
      <w:tr>
        <w:tblPrEx>
          <w:tblCellMar>
            <w:top w:w="0" w:type="dxa"/>
            <w:left w:w="108" w:type="dxa"/>
            <w:bottom w:w="0" w:type="dxa"/>
            <w:right w:w="108" w:type="dxa"/>
          </w:tblCellMar>
        </w:tblPrEx>
        <w:trPr>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江阴市急救中心</w:t>
            </w:r>
          </w:p>
        </w:tc>
        <w:tc>
          <w:tcPr>
            <w:tcW w:w="3091" w:type="dxa"/>
            <w:tcBorders>
              <w:top w:val="nil"/>
              <w:left w:val="nil"/>
              <w:bottom w:val="nil"/>
              <w:right w:val="nil"/>
            </w:tcBorders>
            <w:shd w:val="clear" w:color="auto" w:fill="auto"/>
            <w:noWrap/>
            <w:vAlign w:val="center"/>
          </w:tcPr>
          <w:p>
            <w:pPr>
              <w:widowControl/>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blPrEx>
          <w:tblCellMar>
            <w:top w:w="0" w:type="dxa"/>
            <w:left w:w="108" w:type="dxa"/>
            <w:bottom w:w="0" w:type="dxa"/>
            <w:right w:w="108" w:type="dxa"/>
          </w:tblCellMar>
        </w:tblPrEx>
        <w:trPr>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0" w:type="dxa"/>
            <w:left w:w="108" w:type="dxa"/>
            <w:bottom w:w="0" w:type="dxa"/>
            <w:right w:w="108" w:type="dxa"/>
          </w:tblCellMar>
        </w:tblPrEx>
        <w:trPr>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CellMar>
            <w:top w:w="0" w:type="dxa"/>
            <w:left w:w="108" w:type="dxa"/>
            <w:bottom w:w="0" w:type="dxa"/>
            <w:right w:w="108" w:type="dxa"/>
          </w:tblCellMar>
        </w:tblPrEx>
        <w:trPr>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r>
              <w:rPr>
                <w:rFonts w:hint="eastAsia" w:ascii="仿宋" w:hAnsi="仿宋" w:eastAsia="仿宋" w:cs="仿宋"/>
                <w:color w:val="auto"/>
                <w:kern w:val="0"/>
                <w:sz w:val="22"/>
                <w:szCs w:val="22"/>
                <w:lang w:val="zh-CN" w:eastAsia="zh-CN" w:bidi="zh-CN"/>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ind w:firstLine="442" w:firstLineChars="20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ascii="仿宋" w:hAnsi="仿宋" w:cs="仿宋" w:eastAsia="仿宋"/>
          <w:b w:val="true"/>
          <w:sz w:val="22"/>
        </w:rPr>
        <w:t>注：本</w:t>
      </w:r>
      <w:r>
        <w:rPr>
          <w:rFonts w:ascii="仿宋" w:hAnsi="仿宋" w:cs="仿宋" w:eastAsia="仿宋"/>
          <w:b w:val="true"/>
          <w:sz w:val="22"/>
        </w:rPr>
        <w:t>单位</w:t>
      </w:r>
      <w:r>
        <w:rPr>
          <w:rFonts w:ascii="仿宋" w:hAnsi="仿宋" w:cs="仿宋" w:eastAsia="仿宋"/>
          <w:b w:val="true"/>
          <w:sz w:val="22"/>
        </w:rPr>
        <w:t>无</w:t>
      </w:r>
      <w:r>
        <w:rPr>
          <w:rFonts w:hint="eastAsia" w:ascii="仿宋" w:hAnsi="仿宋" w:eastAsia="仿宋" w:cs="仿宋"/>
          <w:b/>
          <w:bCs/>
          <w:sz w:val="22"/>
          <w:szCs w:val="22"/>
          <w:lang w:val="zh-CN" w:eastAsia="zh-CN"/>
        </w:rPr>
        <w:t>国有资本经营预算支出</w:t>
      </w:r>
      <w:r>
        <w:rPr>
          <w:rFonts w:hint="eastAsia" w:ascii="仿宋" w:hAnsi="仿宋" w:eastAsia="仿宋" w:cs="仿宋"/>
          <w:b/>
          <w:bCs/>
          <w:sz w:val="22"/>
          <w:szCs w:val="22"/>
          <w:lang w:val="en-US" w:eastAsia="zh-CN"/>
        </w:rPr>
        <w:t>，故本表无数据。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trHeight w:val="319" w:hRule="atLeast"/>
        </w:trPr>
        <w:tc>
          <w:tcPr>
            <w:tcW w:w="10235" w:type="dxa"/>
            <w:gridSpan w:val="4"/>
          </w:tcPr>
          <w:p>
            <w:pPr>
              <w:pStyle w:val="22"/>
              <w:widowControl w:val="0"/>
              <w:tabs>
                <w:tab w:val="left" w:pos="610"/>
              </w:tabs>
              <w:spacing w:before="28" w:after="0"/>
              <w:ind w:left="8" w:firstLine="0"/>
              <w:jc w:val="left"/>
              <w:rPr>
                <w:rFonts w:hint="eastAsia"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10235" w:type="dxa"/>
            <w:gridSpan w:val="4"/>
          </w:tcPr>
          <w:p>
            <w:pPr>
              <w:pStyle w:val="22"/>
              <w:widowControl w:val="0"/>
              <w:jc w:val="center"/>
              <w:rPr>
                <w:rFonts w:hint="eastAsia"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trHeight w:val="90" w:hRule="atLeast"/>
        </w:trPr>
        <w:tc>
          <w:tcPr>
            <w:tcW w:w="7884" w:type="dxa"/>
            <w:gridSpan w:val="3"/>
            <w:tcBorders>
              <w:bottom w:val="single" w:color="auto" w:sz="4" w:space="0"/>
            </w:tcBorders>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江阴市急救中心</w:t>
            </w:r>
          </w:p>
        </w:tc>
        <w:tc>
          <w:tcPr>
            <w:tcW w:w="2351" w:type="dxa"/>
            <w:tcBorders>
              <w:bottom w:val="single" w:color="auto" w:sz="4" w:space="0"/>
            </w:tcBorders>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63" w:hRule="atLeast"/>
        </w:trPr>
        <w:tc>
          <w:tcPr>
            <w:tcW w:w="308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w:t>
            </w:r>
          </w:p>
        </w:tc>
      </w:tr>
      <w:tr>
        <w:tblPrEx>
          <w:tblCellMar>
            <w:top w:w="55" w:type="dxa"/>
            <w:left w:w="55" w:type="dxa"/>
            <w:bottom w:w="55" w:type="dxa"/>
            <w:right w:w="55" w:type="dxa"/>
          </w:tblCellMar>
        </w:tblPrEx>
        <w:trPr>
          <w:cantSplit/>
          <w:trHeight w:val="227" w:hRule="atLeast"/>
        </w:trPr>
        <w:tc>
          <w:tcPr>
            <w:tcW w:w="5964" w:type="dxa"/>
            <w:gridSpan w:val="2"/>
            <w:tcBorders>
              <w:top w:val="single" w:color="000000" w:sz="4" w:space="0"/>
              <w:left w:val="single" w:color="auto" w:sz="4" w:space="0"/>
              <w:bottom w:val="single" w:color="auto" w:sz="4" w:space="0"/>
              <w:right w:val="single" w:color="000000" w:sz="4" w:space="0"/>
            </w:tcBorders>
            <w:vAlign w:val="top"/>
          </w:tcPr>
          <w:p>
            <w:pPr>
              <w:pStyle w:val="22"/>
              <w:widowControl w:val="0"/>
              <w:jc w:val="center"/>
              <w:rPr>
                <w:rFonts w:hint="default" w:ascii="仿宋" w:hAnsi="仿宋" w:eastAsia="仿宋" w:cs="仿宋"/>
                <w:sz w:val="22"/>
                <w:szCs w:val="22"/>
                <w:lang w:val="en-US" w:eastAsia="zh-CN"/>
              </w:rPr>
            </w:pPr>
            <w:r>
              <w:rPr>
                <w:rFonts w:hint="eastAsia" w:ascii="仿宋" w:hAnsi="仿宋" w:eastAsia="仿宋" w:cs="仿宋"/>
                <w:sz w:val="22"/>
                <w:szCs w:val="22"/>
              </w:rPr>
              <w:t/>
            </w:r>
            <w:r>
              <w:rPr>
                <w:rFonts w:hint="eastAsia" w:ascii="仿宋" w:hAnsi="仿宋" w:eastAsia="仿宋" w:cs="仿宋"/>
                <w:sz w:val="22"/>
                <w:szCs w:val="22"/>
                <w:lang w:val="en-US" w:eastAsia="zh-CN"/>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numPr>
          <w:ilvl w:val="0"/>
          <w:numId w:val="0"/>
        </w:numPr>
        <w:tabs>
          <w:tab w:val="left" w:pos="0"/>
        </w:tabs>
        <w:spacing w:before="25" w:after="0"/>
        <w:ind w:left="-1" w:left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注：1.</w:t>
      </w:r>
      <w:r>
        <w:rPr>
          <w:rFonts w:hint="eastAsia" w:ascii="仿宋" w:hAnsi="仿宋" w:eastAsia="仿宋" w:cs="仿宋"/>
          <w:b/>
          <w:bCs/>
          <w:sz w:val="22"/>
          <w:szCs w:val="22"/>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numPr>
          <w:ilvl w:val="0"/>
          <w:numId w:val="0"/>
        </w:numPr>
        <w:tabs>
          <w:tab w:val="left" w:pos="0"/>
        </w:tabs>
        <w:spacing w:before="25" w:after="0"/>
        <w:ind w:left="-1" w:leftChars="0"/>
        <w:rPr>
          <w:rFonts w:hint="eastAsia" w:ascii="仿宋" w:hAnsi="仿宋" w:eastAsia="仿宋" w:cs="仿宋"/>
          <w:b/>
          <w:bCs/>
          <w:sz w:val="22"/>
          <w:szCs w:val="22"/>
        </w:rPr>
      </w:pPr>
      <w:r>
        <w:rPr>
          <w:rFonts w:hint="eastAsia" w:ascii="仿宋" w:hAnsi="仿宋" w:eastAsia="仿宋" w:cs="仿宋"/>
          <w:b/>
          <w:bCs/>
          <w:sz w:val="22"/>
          <w:szCs w:val="22"/>
        </w:rPr>
        <w:t/>
      </w:r>
      <w:r>
        <w:rPr>
          <w:rFonts w:hint="eastAsia" w:ascii="仿宋" w:hAnsi="仿宋" w:eastAsia="仿宋" w:cs="仿宋"/>
          <w:b/>
          <w:bCs/>
          <w:sz w:val="22"/>
          <w:szCs w:val="22"/>
          <w:lang w:val="en-US" w:eastAsia="zh-CN"/>
        </w:rPr>
        <w:t>2.</w:t>
      </w:r>
      <w:r>
        <w:rPr>
          <w:rFonts w:hint="eastAsia" w:ascii="仿宋" w:hAnsi="仿宋" w:eastAsia="仿宋" w:cs="仿宋"/>
          <w:b/>
          <w:bCs/>
          <w:sz w:val="22"/>
          <w:szCs w:val="22"/>
          <w:lang w:eastAsia="zh-CN"/>
        </w:rPr>
        <w:t>本</w:t>
      </w:r>
      <w:r>
        <w:rPr>
          <w:rFonts w:ascii="仿宋" w:hAnsi="仿宋" w:cs="仿宋" w:eastAsia="仿宋"/>
          <w:b w:val="true"/>
          <w:sz w:val="22"/>
        </w:rPr>
        <w:t>单位</w:t>
      </w:r>
      <w:r>
        <w:rPr>
          <w:rFonts w:ascii="仿宋" w:hAnsi="仿宋" w:cs="仿宋" w:eastAsia="仿宋"/>
          <w:b w:val="true"/>
          <w:sz w:val="22"/>
        </w:rPr>
        <w:t>无一般公共预算机关运行经费支出，故本表无数据。</w:t>
      </w:r>
      <w:r>
        <w:rPr>
          <w:rFonts w:ascii="仿宋" w:hAnsi="仿宋" w:cs="仿宋" w:eastAsia="仿宋"/>
          <w:b w:val="true"/>
          <w:sz w:val="22"/>
        </w:rPr>
        <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8" w:type="default"/>
          <w:pgSz w:w="11906" w:h="16838"/>
          <w:pgMar w:top="1100" w:right="1320" w:bottom="770" w:left="13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08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2"/>
        <w:gridCol w:w="2502"/>
        <w:gridCol w:w="1440"/>
        <w:gridCol w:w="2280"/>
        <w:gridCol w:w="1852"/>
        <w:gridCol w:w="1114"/>
        <w:gridCol w:w="965"/>
        <w:gridCol w:w="928"/>
        <w:gridCol w:w="1141"/>
        <w:gridCol w:w="13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089"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b/>
                <w:bCs/>
                <w:color w:val="auto"/>
                <w:kern w:val="0"/>
                <w:sz w:val="44"/>
                <w:szCs w:val="44"/>
                <w:lang w:val="en-US" w:eastAsia="zh-CN" w:bidi="zh-CN"/>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089"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color w:val="auto"/>
                <w:kern w:val="0"/>
                <w:sz w:val="44"/>
                <w:szCs w:val="44"/>
                <w:lang w:val="en-US" w:eastAsia="zh-CN" w:bidi="zh-CN"/>
              </w:rPr>
              <w:t>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9586"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江阴市急救中心</w:t>
            </w:r>
          </w:p>
        </w:tc>
        <w:tc>
          <w:tcPr>
            <w:tcW w:w="4148"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p>
        </w:tc>
        <w:tc>
          <w:tcPr>
            <w:tcW w:w="1355"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采购品目名称</w:t>
            </w:r>
          </w:p>
        </w:tc>
        <w:tc>
          <w:tcPr>
            <w:tcW w:w="185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采购组织形式</w:t>
            </w:r>
          </w:p>
        </w:tc>
        <w:tc>
          <w:tcPr>
            <w:tcW w:w="4148"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资金来源</w:t>
            </w:r>
          </w:p>
        </w:tc>
        <w:tc>
          <w:tcPr>
            <w:tcW w:w="1355"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85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lang w:val="en-US"/>
              </w:rPr>
            </w:pPr>
            <w:r>
              <w:rPr>
                <w:rFonts w:hint="eastAsia" w:ascii="仿宋" w:hAnsi="仿宋" w:eastAsia="仿宋" w:cs="仿宋"/>
                <w:lang w:val="en-US" w:eastAsia="zh-CN"/>
              </w:rPr>
              <w:t>一般公共预算资金</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政府性基金</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其他资金</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上年结转和结余资金</w:t>
            </w:r>
          </w:p>
        </w:tc>
        <w:tc>
          <w:tcPr>
            <w:tcW w:w="1355"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7"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sz w:val="22"/>
                <w:szCs w:val="22"/>
              </w:rPr>
              <w:t/>
            </w:r>
            <w:r>
              <w:rPr>
                <w:rFonts w:hint="eastAsia" w:ascii="仿宋" w:hAnsi="仿宋" w:eastAsia="仿宋" w:cs="仿宋"/>
                <w:lang w:val="en-US" w:eastAsia="zh-CN"/>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135.00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货物类</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135.00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江阴市急救中心</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135.00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专用材料费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专用材料费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药品、卫生材料等</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20.00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医疗设备购置</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专用设备购置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其他医疗设备</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115.00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115.00</w:t>
            </w:r>
          </w:p>
        </w:tc>
      </w:tr>
    </w:tbl>
    <w:p>
      <w:pPr>
        <w:bidi w:val="0"/>
        <w:rPr>
          <w:rFonts w:hint="eastAsia" w:ascii="仿宋" w:hAnsi="仿宋" w:eastAsia="仿宋" w:cs="仿宋"/>
          <w:b/>
          <w:bCs/>
          <w:sz w:val="22"/>
          <w:szCs w:val="22"/>
        </w:rPr>
        <w:sectPr>
          <w:footerReference r:id="rId19" w:type="default"/>
          <w:pgSz w:w="16838" w:h="11906" w:orient="landscape"/>
          <w:pgMar w:top="1320" w:right="1100" w:bottom="1320" w:left="77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2022</w:t>
      </w:r>
      <w:r>
        <w:rPr>
          <w:rFonts w:hint="eastAsia" w:ascii="仿宋" w:hAnsi="仿宋" w:eastAsia="仿宋" w:cs="仿宋"/>
          <w:b/>
          <w:bCs/>
          <w:sz w:val="44"/>
          <w:szCs w:val="44"/>
        </w:rPr>
        <w:t>年度</w:t>
      </w:r>
      <w:r>
        <w:rPr>
          <w:rFonts w:ascii="仿宋" w:hAnsi="仿宋" w:cs="仿宋" w:eastAsia="仿宋"/>
          <w:b w:val="true"/>
          <w:sz w:val="44"/>
        </w:rPr>
        <w:t>单位</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江阴市急救中心2022年度收入、支出预算总计2,215.47万元，与上年相比收、支预算总计各增加474.38万元，增长27.25%。</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（一）收入预算总计2,215.47万元。包括：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1．本年收入合计2,215.47万元。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（1）一般公共预算拨款收入2,215.47万元，与上年相比增加474.38万元，增长27.25%。主要原因是人员增加和项目支出增加。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（2）政府性基金预算拨款收入0万元，与上年预算数相同。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（3）国有资本经营预算拨款收入0万元，与上年预算数相同。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（4）财政专户管理资金收入0万元，与上年预算数相同。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（5）事业收入0万元，与上年预算数相同。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（6）事业单位经营收入0万元，与上年预算数相同。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（7）上级补助收入0万元，与上年预算数相同。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（8）附属单位上缴收入0万元，与上年预算数相同。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（9）其他收入0万元，与上年预算数相同。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2．上年结转结余为0万元。与上年预算数相同。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（二）支出预算总计2,215.47万元。包括：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1．本年支出合计2,215.47万元。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（1）社会保障和就业支出（类）支出98.29万元，主要用于单位在社会保障与就业方面的支出。与上年相比增加14.52万元，增长17.33%。主要原因是政策性调整，养老保险、职业年金基数调整。还有人员增加。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（2）卫生健康支出（类）支出1,925.93万元，主要用于卫生健康方面的支出。与上年相比增加403.31万元，增长26.49%。主要原因是项目支出增加，成本性支出增加。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（3）住房保障支出（类）支出191.25万元，主要用于按照国家有关规定为职工缴纳住房公积金、发放提租补贴及新职工住房补贴。与上年相比增加56.55万元，增长41.98%。主要原因是政策性调整因素，还有人员增加。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2．年终结转结余为0万元。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二、收入预算情况说明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江阴市急救中心2022年收入预算合计2,215.47万元，包括本年收入2,215.47万元，上年结转结余0万元。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本年一般公共预算收入2,215.47万元，占100%；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本年事业单位经营收入0万元，占0%；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本年上级补助收入0万元，占0%；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本年附属单位上缴收入0万元，占0%；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本年其他收入0万元，占0%；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上年结转结余的一般公共预算收入0万元，占0%；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上年结转结余的单位资金0万元，占0%。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1" name="Drawing 1" descr="Generated"/>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true"/>
                    </pic:cNvPicPr>
                  </pic:nvPicPr>
                  <pic:blipFill>
                    <a:blip r:embed="rId24"/>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江阴市急救中心2022年支出预算合计2,215.47万元，其中：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基本支出1,611.07万元，占72.72%；</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项目支出604.4万元，占27.28%；</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事业单位经营支出0万元，占0%；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上缴上级支出0万元，占0%；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对附属单位补助支出0万元，占0%。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2" name="Drawing 2" descr="Generated"/>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true"/>
                    </pic:cNvPicPr>
                  </pic:nvPicPr>
                  <pic:blipFill>
                    <a:blip r:embed="rId25"/>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江阴市急救中心2022年度财政拨款收、支总预算2,215.47万元。与上年相比，财政拨款收、支总计各增加474.38万元，增长27.25%。主要原因是人员增加和项目支出增加。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五、财政拨款支出预算情况说明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江阴市急救中心2022年财政拨款预算支出2,215.47万元，占本年支出合计的100%。与上年相比，财政拨款支出增加474.38万元，增长27.25%。主要原因是人员增加和项目支出增加。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（一）社会保障和就业支出（类）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1.行政事业单位养老支出（款）机关事业单位基本养老保险缴费支出（项）支出52.63万元，与上年相比增加8.77万元，增长20%。主要原因是政策性调整因素，养老保险金缴纳基数调整。还有人员增加。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2.行政事业单位养老支出（款）机关事业单位职业年金缴费支出（项）支出26.32万元，与上年相比增加4.39万元，增长20.02%。主要原因是政策性调整因素，职业年金缴纳基数调整。还有人员增加。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3.其他社会保障和就业支出（款）其他社会保障和就业支出（项）支出19.34万元，与上年相比增加1.36万元，增长7.56%。主要原因是人员增加。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（二）卫生健康支出（类）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公共卫生（款）应急救治机构（项）支出1,925.93万元，与上年相比增加403.31万元，增长26.49%。主要原因是项目支出增加，成本性支出增加。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（三）住房保障支出（类）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1.住房改革支出（款）住房公积金（项）支出60.4万元，与上年相比增加17.86万元，增长41.98%。主要原因是政策性调整因素，公积金缴存基数调整。还有人员增加。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2.住房改革支出（款）提租补贴（项）支出54.54万元，与上年相比增加7.86万元，增长16.84%。主要原因是政策性调整因素，提租补贴计提基数调整。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3.住房改革支出（款）购房补贴（项）支出76.31万元，与上年相比增加30.83万元，增长67.79%。主要原因是政策性调整因素，住房补贴计提基数调整。还有人员增加。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六、财政拨款基本支出预算情况说明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江阴市急救中心2022年度财政拨款基本支出预算1,611.07万元，其中：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1,393.95万元。主要包括：基本工资、津贴补贴、奖金、伙食补助费、绩效工资、机关事业单位基本养老保险缴费、职业年金缴费、职工基本医疗保险缴费、其他社会保障缴费、住房公积金、医疗费、其他工资福利支出、其他对个人和家庭的补助。</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（二）公用经费217.12万元。主要包括：办公费、印刷费、水费、电费、会议费、培训费、公务接待费、被装购置费、工会经费、其他交通费用。</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七、一般公共预算支出预算情况说明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江阴市急救中心2022年一般公共预算财政拨款支出预算2,215.47万元，与上年相比增加474.38万元，增长27.25%。主要原因是项目支出增加，成本性支出增加。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八、一般公共预算基本支出预算情况说明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江阴市急救中心2022年度一般公共预算财政拨款基本支出预算1,611.07万元，其中：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1,393.95万元。主要包括：基本工资、津贴补贴、奖金、伙食补助费、绩效工资、机关事业单位基本养老保险缴费、职业年金缴费、职工基本医疗保险缴费、其他社会保障缴费、住房公积金、医疗费、其他工资福利支出、其他对个人和家庭的补助。</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（二）公用经费217.12万元。主要包括：办公费、印刷费、水费、电费、会议费、培训费、公务接待费、被装购置费、工会经费、其他交通费用。</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九、一般公共预算“三公”经费、会议费、培训费支出预算情况说明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急救中心2022年度一般公共预算拨款安排的“三公”经费预算支出中，因公出国（境）费支出0万元，占“三公”经费的0%；公务用车购置及运行维护费支出0万元，占“三公”经费的0%；公务接待费支出0.5万元，占“三公”经费的100%。具体情况如下：</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1．因公出国（境）费预算支出0万元，与上年预算数相同。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2．公务用车购置及运行维护费预算支出0万元。其中：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（1）公务用车购置预算支出0万元，与上年预算数相同。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（2）公务用车运行维护费预算支出0万元，与上年预算数相同。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3．公务接待费预算支出0.5万元，比上年预算减少0.5万元，主要原因是厉行节约，控制接待批次和人次。</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江阴市急救中心2022年度一般公共预算拨款安排的会议费预算支出1万元，与上年预算数相同。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江阴市急救中心2022年度一般公共预算拨款安排的培训费预算支出1万元，比上年预算减少1万元，主要原因是厉行节约，控制培训批次和人次。</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十、政府性基金预算支出预算情况说明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江阴市急救中心2022年政府性基金支出预算支出0万元。与上年预算数相同。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十一、国有资本经营预算支出预算情况说明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江阴市急救中心2022年国有资本经营预算支出0万元。与上年预算数相同。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十二、一般公共预算机关运行经费支出预算情况说明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2022年本单位一般公共预算机关运行经费预算支出0万元。与上年预算数相同。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十三、政府采购支出预算情况说明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2022年度政府采购支出预算总额135万元，其中：拟采购货物支出135万元、拟采购工程支出0万元、拟购买服务支出0万元。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十四、国有资产占用情况说明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单位共有车辆26辆，其中，一般公务用车0辆、执法执勤用车0辆、特种专业技术用车24辆、业务用车0辆、其他用车2辆等。单价50万元（含）以上的通用设备0台（套），单价100万元（含）以上的专用设备0台（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十五、预算绩效目标设置情况说明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2022年度，本单位整体支出纳入绩效目标管理，涉及四本预算资金2,215.47万元；本单位共6个项目纳入绩效目标管理，涉及四本预算资金合计604.4万元，占四本预算资金(基本支出除外)总额的比例为100%。</w:t>
      </w:r>
      <w:r>
        <w:rPr>
          <w:rFonts w:ascii="仿宋" w:hAnsi="仿宋" w:cs="仿宋" w:eastAsia="仿宋"/>
        </w:rPr>
        <w:t/>
      </w: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cs="仿宋" w:eastAsia="仿宋"/>
          <w:b w:val="true"/>
        </w:rPr>
        <w:t>：</w:t>
      </w:r>
      <w:r>
        <w:rPr>
          <w:rFonts w:hint="eastAsia" w:ascii="仿宋" w:hAnsi="仿宋" w:eastAsia="仿宋" w:cs="仿宋"/>
        </w:rPr>
        <w:t>单位从同级财政部门取得的各类财政拨款，包括一般公共预算拨款、政府性基金预算拨款、国有资本经营预算拨款。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cs="仿宋" w:eastAsia="仿宋"/>
          <w:b w:val="true"/>
        </w:rPr>
        <w:t>：</w:t>
      </w:r>
      <w:r>
        <w:rPr>
          <w:rFonts w:hint="eastAsia" w:ascii="仿宋" w:hAnsi="仿宋" w:eastAsia="仿宋" w:cs="仿宋"/>
        </w:rPr>
        <w:t>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cs="仿宋" w:eastAsia="仿宋"/>
          <w:b w:val="true"/>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cs="仿宋" w:eastAsia="仿宋"/>
          <w:b w:val="true"/>
        </w:rPr>
        <w:t>：</w:t>
      </w:r>
      <w:r>
        <w:rPr>
          <w:rFonts w:hint="eastAsia" w:ascii="仿宋" w:hAnsi="仿宋" w:eastAsia="仿宋" w:cs="仿宋"/>
        </w:rPr>
        <w:t>指为保障机构正常运转、完成工作任务而发生的人员支出和公用支出。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cs="仿宋" w:eastAsia="仿宋"/>
          <w:b w:val="true"/>
        </w:rPr>
        <w:t>：</w:t>
      </w:r>
      <w:r>
        <w:rPr>
          <w:rFonts w:hint="eastAsia" w:ascii="仿宋" w:hAnsi="仿宋" w:eastAsia="仿宋" w:cs="仿宋"/>
        </w:rPr>
        <w:t>指在基本支出之外为完成特定工作任务和事业发展目标所发生的支出。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cs="仿宋" w:eastAsia="仿宋"/>
          <w:b w:val="true"/>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cs="仿宋" w:eastAsia="仿宋"/>
          <w:b w:val="true"/>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八、社会保障和就业支出(类)行政事业单位养老支出(款)机关事业单位基本养老保险缴费支出(项)</w:t>
      </w:r>
      <w:r>
        <w:rPr>
          <w:rFonts w:ascii="仿宋" w:hAnsi="仿宋" w:cs="仿宋" w:eastAsia="仿宋"/>
          <w:b w:val="true"/>
        </w:rPr>
        <w:t>：</w:t>
      </w:r>
      <w:r>
        <w:rPr>
          <w:rFonts w:hint="eastAsia" w:ascii="仿宋" w:hAnsi="仿宋" w:eastAsia="仿宋" w:cs="仿宋"/>
        </w:rPr>
        <w:t>反映机关事业单位实施养老保险制度由单位缴纳的基本养老保险费支出。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九、社会保障和就业支出(类)行政事业单位养老支出(款)机关事业单位职业年金缴费支出(项)</w:t>
      </w:r>
      <w:r>
        <w:rPr>
          <w:rFonts w:ascii="仿宋" w:hAnsi="仿宋" w:cs="仿宋" w:eastAsia="仿宋"/>
          <w:b w:val="true"/>
        </w:rPr>
        <w:t>：</w:t>
      </w:r>
      <w:r>
        <w:rPr>
          <w:rFonts w:hint="eastAsia" w:ascii="仿宋" w:hAnsi="仿宋" w:eastAsia="仿宋" w:cs="仿宋"/>
        </w:rPr>
        <w:t>反映机关事业单位实施养老保险制度由单位实际缴纳的职业年金支出。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十、社会保障和就业支出(类)其他社会保障和就业支出(款)其他社会保障和就业支出(项)</w:t>
      </w:r>
      <w:r>
        <w:rPr>
          <w:rFonts w:ascii="仿宋" w:hAnsi="仿宋" w:cs="仿宋" w:eastAsia="仿宋"/>
          <w:b w:val="true"/>
        </w:rPr>
        <w:t>：</w:t>
      </w:r>
      <w:r>
        <w:rPr>
          <w:rFonts w:hint="eastAsia" w:ascii="仿宋" w:hAnsi="仿宋" w:eastAsia="仿宋" w:cs="仿宋"/>
        </w:rPr>
        <w:t>反映除上述项目以外其他用于社会保障和就业方面的支出。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十一、卫生健康支出(类)公共卫生(款)应急救治机构(项)</w:t>
      </w:r>
      <w:r>
        <w:rPr>
          <w:rFonts w:ascii="仿宋" w:hAnsi="仿宋" w:cs="仿宋" w:eastAsia="仿宋"/>
          <w:b w:val="true"/>
        </w:rPr>
        <w:t>：</w:t>
      </w:r>
      <w:r>
        <w:rPr>
          <w:rFonts w:hint="eastAsia" w:ascii="仿宋" w:hAnsi="仿宋" w:eastAsia="仿宋" w:cs="仿宋"/>
        </w:rPr>
        <w:t>反映卫生健康部门所属应急救治机构的支出。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十二、住房保障支出(类)住房改革支出(款)住房公积金(项)</w:t>
      </w:r>
      <w:r>
        <w:rPr>
          <w:rFonts w:ascii="仿宋" w:hAnsi="仿宋" w:cs="仿宋" w:eastAsia="仿宋"/>
          <w:b w:val="true"/>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十三、住房保障支出(类)住房改革支出(款)提租补贴(项)</w:t>
      </w:r>
      <w:r>
        <w:rPr>
          <w:rFonts w:ascii="仿宋" w:hAnsi="仿宋" w:cs="仿宋" w:eastAsia="仿宋"/>
          <w:b w:val="true"/>
        </w:rPr>
        <w:t>：</w:t>
      </w:r>
      <w:r>
        <w:rPr>
          <w:rFonts w:hint="eastAsia" w:ascii="仿宋" w:hAnsi="仿宋" w:eastAsia="仿宋" w:cs="仿宋"/>
        </w:rPr>
        <w:t>反映按房改政策规定的标准，行政事业单位向职工（含离退休人员）发放的租金补贴。</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十四、住房保障支出(类)住房改革支出(款)购房补贴(项)</w:t>
      </w:r>
      <w:r>
        <w:rPr>
          <w:rFonts w:ascii="仿宋" w:hAnsi="仿宋" w:cs="仿宋" w:eastAsia="仿宋"/>
          <w:b w:val="true"/>
        </w:rPr>
        <w:t>：</w:t>
      </w:r>
      <w:r>
        <w:rPr>
          <w:rFonts w:hint="eastAsia" w:ascii="仿宋" w:hAnsi="仿宋" w:eastAsia="仿宋" w:cs="仿宋"/>
        </w:rPr>
        <w:t>反映按房改政策规定，行政事业单位向符合条件职工（含离退休人员）、军队(含武警)向转役复员离退休人员发放的用于购买住房的补贴。</w:t>
      </w:r>
    </w:p>
    <w:sectPr>
      <w:pgSz w:w="11906" w:h="16838"/>
      <w:pgMar w:top="1580" w:right="820" w:bottom="770" w:left="900"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panose1 w:val="020B0604020202020204"/>
    <w:charset w:val="86"/>
    <w:family w:val="roman"/>
    <w:pitch w:val="default"/>
    <w:sig w:usb0="E0000AFF" w:usb1="500078FF" w:usb2="00000021" w:usb3="00000000" w:csb0="600001BF" w:csb1="DFF70000"/>
  </w:font>
  <w:font w:name="Liberation Mono">
    <w:panose1 w:val="02070409020205020404"/>
    <w:charset w:val="86"/>
    <w:family w:val="roman"/>
    <w:pitch w:val="default"/>
    <w:sig w:usb0="E0000AFF" w:usb1="400078FF" w:usb2="00000001" w:usb3="00000000" w:csb0="600001BF" w:csb1="DFF70000"/>
  </w:font>
  <w:font w:name="新宋体">
    <w:panose1 w:val="02010609030101010101"/>
    <w:charset w:val="86"/>
    <w:family w:val="auto"/>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7" o:spid="_x0000_s4107"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8" o:spid="_x0000_s4108"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7155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江阴市急救中心</w:t>
    </w:r>
    <w:r>
      <w:t>2022</w:t>
    </w:r>
    <w:r>
      <w:t>年度</w:t>
    </w:r>
    <w:r>
      <w:t>单位</w:t>
    </w:r>
    <w:r>
      <w:t>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00064984"/>
    <w:rsid w:val="00071288"/>
    <w:rsid w:val="00071789"/>
    <w:rsid w:val="000F12AB"/>
    <w:rsid w:val="001C31F9"/>
    <w:rsid w:val="00407CA7"/>
    <w:rsid w:val="00413AD8"/>
    <w:rsid w:val="00671ED7"/>
    <w:rsid w:val="00672164"/>
    <w:rsid w:val="00867423"/>
    <w:rsid w:val="008B5B05"/>
    <w:rsid w:val="00925913"/>
    <w:rsid w:val="009965EA"/>
    <w:rsid w:val="00A61D7A"/>
    <w:rsid w:val="00A6752E"/>
    <w:rsid w:val="00BD7F33"/>
    <w:rsid w:val="00C15920"/>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C526F"/>
    <w:rsid w:val="0598316E"/>
    <w:rsid w:val="059F005F"/>
    <w:rsid w:val="05AB4AE4"/>
    <w:rsid w:val="05BD2716"/>
    <w:rsid w:val="05BE0290"/>
    <w:rsid w:val="05C26309"/>
    <w:rsid w:val="05C73A91"/>
    <w:rsid w:val="05DB339C"/>
    <w:rsid w:val="05FE3016"/>
    <w:rsid w:val="06006806"/>
    <w:rsid w:val="0603001C"/>
    <w:rsid w:val="060D1C4C"/>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A333FC"/>
    <w:rsid w:val="08B16290"/>
    <w:rsid w:val="08BD1AAD"/>
    <w:rsid w:val="08D342E7"/>
    <w:rsid w:val="08E134F8"/>
    <w:rsid w:val="08FC0605"/>
    <w:rsid w:val="08FE52B0"/>
    <w:rsid w:val="090F5FB7"/>
    <w:rsid w:val="09165D85"/>
    <w:rsid w:val="092660BA"/>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C6242A"/>
    <w:rsid w:val="0DD06A00"/>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201C61"/>
    <w:rsid w:val="10223EE6"/>
    <w:rsid w:val="1027035F"/>
    <w:rsid w:val="102A69EF"/>
    <w:rsid w:val="103D6600"/>
    <w:rsid w:val="10566122"/>
    <w:rsid w:val="106204CB"/>
    <w:rsid w:val="10A90FB7"/>
    <w:rsid w:val="10EE0376"/>
    <w:rsid w:val="10F05AC0"/>
    <w:rsid w:val="11037A82"/>
    <w:rsid w:val="1106739D"/>
    <w:rsid w:val="11092167"/>
    <w:rsid w:val="110C3973"/>
    <w:rsid w:val="110D47B0"/>
    <w:rsid w:val="11110225"/>
    <w:rsid w:val="111930E1"/>
    <w:rsid w:val="11252430"/>
    <w:rsid w:val="1143676B"/>
    <w:rsid w:val="11471791"/>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3016E3"/>
    <w:rsid w:val="143164E8"/>
    <w:rsid w:val="14341A45"/>
    <w:rsid w:val="14677E98"/>
    <w:rsid w:val="146856DB"/>
    <w:rsid w:val="14933F94"/>
    <w:rsid w:val="14A601B4"/>
    <w:rsid w:val="14AA0D30"/>
    <w:rsid w:val="14BA3B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F1A6B"/>
    <w:rsid w:val="16971C37"/>
    <w:rsid w:val="16BC7A59"/>
    <w:rsid w:val="16BE14E7"/>
    <w:rsid w:val="16BE34FA"/>
    <w:rsid w:val="16E22E32"/>
    <w:rsid w:val="16ED632E"/>
    <w:rsid w:val="1717031D"/>
    <w:rsid w:val="171E4E0F"/>
    <w:rsid w:val="174C5C53"/>
    <w:rsid w:val="175D47C3"/>
    <w:rsid w:val="17A3379A"/>
    <w:rsid w:val="17AA17F9"/>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63B76"/>
    <w:rsid w:val="1B394ECA"/>
    <w:rsid w:val="1B401513"/>
    <w:rsid w:val="1B6F2A95"/>
    <w:rsid w:val="1B7011A6"/>
    <w:rsid w:val="1B785235"/>
    <w:rsid w:val="1B792ACF"/>
    <w:rsid w:val="1B840862"/>
    <w:rsid w:val="1B894395"/>
    <w:rsid w:val="1BB55613"/>
    <w:rsid w:val="1BC50E0F"/>
    <w:rsid w:val="1BC6758D"/>
    <w:rsid w:val="1BC84BF9"/>
    <w:rsid w:val="1BCA1AE9"/>
    <w:rsid w:val="1BD968B0"/>
    <w:rsid w:val="1BE008E5"/>
    <w:rsid w:val="1BE426E0"/>
    <w:rsid w:val="1BEF5EDC"/>
    <w:rsid w:val="1BF3045F"/>
    <w:rsid w:val="1C0C63DC"/>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E4D1B"/>
    <w:rsid w:val="1D0F64B4"/>
    <w:rsid w:val="1D103F06"/>
    <w:rsid w:val="1D201166"/>
    <w:rsid w:val="1D3214B5"/>
    <w:rsid w:val="1D383DB3"/>
    <w:rsid w:val="1D387361"/>
    <w:rsid w:val="1D387D1B"/>
    <w:rsid w:val="1D5A4782"/>
    <w:rsid w:val="1D623037"/>
    <w:rsid w:val="1D672CB3"/>
    <w:rsid w:val="1D7C0925"/>
    <w:rsid w:val="1D817975"/>
    <w:rsid w:val="1D906641"/>
    <w:rsid w:val="1D93356C"/>
    <w:rsid w:val="1D951979"/>
    <w:rsid w:val="1DA8336C"/>
    <w:rsid w:val="1DAF110E"/>
    <w:rsid w:val="1DB61054"/>
    <w:rsid w:val="1DB87467"/>
    <w:rsid w:val="1DC94431"/>
    <w:rsid w:val="1DD028C9"/>
    <w:rsid w:val="1DF402E5"/>
    <w:rsid w:val="1E107489"/>
    <w:rsid w:val="1E120047"/>
    <w:rsid w:val="1E2456FC"/>
    <w:rsid w:val="1E2B042A"/>
    <w:rsid w:val="1E387717"/>
    <w:rsid w:val="1E4314E9"/>
    <w:rsid w:val="1E5227F5"/>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4421"/>
    <w:rsid w:val="1F8122F8"/>
    <w:rsid w:val="1F8B39C7"/>
    <w:rsid w:val="1F8C1569"/>
    <w:rsid w:val="1FA17CC2"/>
    <w:rsid w:val="1FD5645B"/>
    <w:rsid w:val="1FD866E0"/>
    <w:rsid w:val="1FEA282E"/>
    <w:rsid w:val="1FF92872"/>
    <w:rsid w:val="1FFE4976"/>
    <w:rsid w:val="200945DD"/>
    <w:rsid w:val="200B03E4"/>
    <w:rsid w:val="200E293D"/>
    <w:rsid w:val="201802D4"/>
    <w:rsid w:val="203E1A00"/>
    <w:rsid w:val="20571955"/>
    <w:rsid w:val="20594713"/>
    <w:rsid w:val="20623C07"/>
    <w:rsid w:val="20632091"/>
    <w:rsid w:val="20900DEF"/>
    <w:rsid w:val="209B6228"/>
    <w:rsid w:val="20C60ED2"/>
    <w:rsid w:val="20C936CA"/>
    <w:rsid w:val="20CA3D8E"/>
    <w:rsid w:val="20D220E2"/>
    <w:rsid w:val="20F544F1"/>
    <w:rsid w:val="21203D8A"/>
    <w:rsid w:val="2148186B"/>
    <w:rsid w:val="21776D10"/>
    <w:rsid w:val="21866291"/>
    <w:rsid w:val="218F0CEB"/>
    <w:rsid w:val="218F78F2"/>
    <w:rsid w:val="21A55BAA"/>
    <w:rsid w:val="21D50133"/>
    <w:rsid w:val="21EA64FE"/>
    <w:rsid w:val="223D4452"/>
    <w:rsid w:val="223F0861"/>
    <w:rsid w:val="224F77DA"/>
    <w:rsid w:val="227347E3"/>
    <w:rsid w:val="227D4749"/>
    <w:rsid w:val="22812FB7"/>
    <w:rsid w:val="229E476C"/>
    <w:rsid w:val="22B66C67"/>
    <w:rsid w:val="22B96619"/>
    <w:rsid w:val="22C32A6D"/>
    <w:rsid w:val="22C9349D"/>
    <w:rsid w:val="22CF4CB9"/>
    <w:rsid w:val="22E5714F"/>
    <w:rsid w:val="22E640D2"/>
    <w:rsid w:val="22F9307D"/>
    <w:rsid w:val="23017A9F"/>
    <w:rsid w:val="23073234"/>
    <w:rsid w:val="23153D35"/>
    <w:rsid w:val="231859C4"/>
    <w:rsid w:val="233651B2"/>
    <w:rsid w:val="233C5C01"/>
    <w:rsid w:val="234F51B0"/>
    <w:rsid w:val="23655593"/>
    <w:rsid w:val="237119E0"/>
    <w:rsid w:val="23873CA0"/>
    <w:rsid w:val="239B7C6E"/>
    <w:rsid w:val="23A668C2"/>
    <w:rsid w:val="23C56A83"/>
    <w:rsid w:val="23CC14AA"/>
    <w:rsid w:val="23D87A5D"/>
    <w:rsid w:val="23F81D1C"/>
    <w:rsid w:val="23F87AE8"/>
    <w:rsid w:val="24004EF0"/>
    <w:rsid w:val="241C168B"/>
    <w:rsid w:val="242403FF"/>
    <w:rsid w:val="24361C71"/>
    <w:rsid w:val="2443382C"/>
    <w:rsid w:val="244706D0"/>
    <w:rsid w:val="244E4876"/>
    <w:rsid w:val="2455798C"/>
    <w:rsid w:val="246E4FE1"/>
    <w:rsid w:val="247771B1"/>
    <w:rsid w:val="24797436"/>
    <w:rsid w:val="24893698"/>
    <w:rsid w:val="248A0DA1"/>
    <w:rsid w:val="248B0DC9"/>
    <w:rsid w:val="24EF440E"/>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62926"/>
    <w:rsid w:val="25A7022D"/>
    <w:rsid w:val="25AA772C"/>
    <w:rsid w:val="25BD0276"/>
    <w:rsid w:val="25E2513A"/>
    <w:rsid w:val="25F45922"/>
    <w:rsid w:val="25FD2F48"/>
    <w:rsid w:val="260419A0"/>
    <w:rsid w:val="262D4206"/>
    <w:rsid w:val="262E21CA"/>
    <w:rsid w:val="2650449B"/>
    <w:rsid w:val="26523500"/>
    <w:rsid w:val="26713F63"/>
    <w:rsid w:val="26753166"/>
    <w:rsid w:val="267C5A99"/>
    <w:rsid w:val="2682148D"/>
    <w:rsid w:val="26874807"/>
    <w:rsid w:val="268D22B5"/>
    <w:rsid w:val="269240CC"/>
    <w:rsid w:val="26955595"/>
    <w:rsid w:val="269A47B4"/>
    <w:rsid w:val="26CC2C3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62668E"/>
    <w:rsid w:val="2B7874BE"/>
    <w:rsid w:val="2B7A42C1"/>
    <w:rsid w:val="2B82668D"/>
    <w:rsid w:val="2B8F49BB"/>
    <w:rsid w:val="2BBA10FA"/>
    <w:rsid w:val="2BBF0C02"/>
    <w:rsid w:val="2BDD28EB"/>
    <w:rsid w:val="2BF43094"/>
    <w:rsid w:val="2BF909AA"/>
    <w:rsid w:val="2C0757B7"/>
    <w:rsid w:val="2C365068"/>
    <w:rsid w:val="2C4B5707"/>
    <w:rsid w:val="2C57786C"/>
    <w:rsid w:val="2C595430"/>
    <w:rsid w:val="2C660130"/>
    <w:rsid w:val="2C6B03A2"/>
    <w:rsid w:val="2C95017E"/>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5628C1"/>
    <w:rsid w:val="2F5A61EE"/>
    <w:rsid w:val="2F6E6218"/>
    <w:rsid w:val="2F81781A"/>
    <w:rsid w:val="2FBA6AB0"/>
    <w:rsid w:val="2FDA5233"/>
    <w:rsid w:val="2FDC3277"/>
    <w:rsid w:val="30091058"/>
    <w:rsid w:val="30186987"/>
    <w:rsid w:val="302E6035"/>
    <w:rsid w:val="30396B3B"/>
    <w:rsid w:val="303B5C37"/>
    <w:rsid w:val="303D3D8D"/>
    <w:rsid w:val="30410449"/>
    <w:rsid w:val="304B34C7"/>
    <w:rsid w:val="304F51A4"/>
    <w:rsid w:val="30687159"/>
    <w:rsid w:val="306F3884"/>
    <w:rsid w:val="307953E8"/>
    <w:rsid w:val="30907ADE"/>
    <w:rsid w:val="30926BF6"/>
    <w:rsid w:val="309A76B3"/>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66FAD"/>
    <w:rsid w:val="35976ED7"/>
    <w:rsid w:val="35980087"/>
    <w:rsid w:val="35B3142E"/>
    <w:rsid w:val="35B45E55"/>
    <w:rsid w:val="35B543C3"/>
    <w:rsid w:val="35B84DAB"/>
    <w:rsid w:val="35C52894"/>
    <w:rsid w:val="35E92FD2"/>
    <w:rsid w:val="35F036ED"/>
    <w:rsid w:val="35F11C61"/>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535C24"/>
    <w:rsid w:val="3E600BB4"/>
    <w:rsid w:val="3E8A2129"/>
    <w:rsid w:val="3E8C3990"/>
    <w:rsid w:val="3E917B3F"/>
    <w:rsid w:val="3ECD5D56"/>
    <w:rsid w:val="3ECD79B7"/>
    <w:rsid w:val="3ED72492"/>
    <w:rsid w:val="3EDA4D3F"/>
    <w:rsid w:val="3EED7085"/>
    <w:rsid w:val="3EFA21FA"/>
    <w:rsid w:val="3F0651F8"/>
    <w:rsid w:val="3F0B745A"/>
    <w:rsid w:val="3F1708AB"/>
    <w:rsid w:val="3F305658"/>
    <w:rsid w:val="3F4C1C29"/>
    <w:rsid w:val="3F545C32"/>
    <w:rsid w:val="3F8A3D39"/>
    <w:rsid w:val="3F8D0174"/>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501155"/>
    <w:rsid w:val="405229A9"/>
    <w:rsid w:val="405C35C7"/>
    <w:rsid w:val="407E4D25"/>
    <w:rsid w:val="409E45E2"/>
    <w:rsid w:val="40A52125"/>
    <w:rsid w:val="40B61FF8"/>
    <w:rsid w:val="40BB734D"/>
    <w:rsid w:val="40BD702F"/>
    <w:rsid w:val="40C40C6F"/>
    <w:rsid w:val="40C7171A"/>
    <w:rsid w:val="40CD4E0B"/>
    <w:rsid w:val="40D2023E"/>
    <w:rsid w:val="40D724A1"/>
    <w:rsid w:val="40DD614D"/>
    <w:rsid w:val="40E72D37"/>
    <w:rsid w:val="40FE6CAA"/>
    <w:rsid w:val="411C7865"/>
    <w:rsid w:val="411D4155"/>
    <w:rsid w:val="412A1DFC"/>
    <w:rsid w:val="414141BA"/>
    <w:rsid w:val="415A1391"/>
    <w:rsid w:val="415E5B0A"/>
    <w:rsid w:val="418B295F"/>
    <w:rsid w:val="41945CF4"/>
    <w:rsid w:val="41965A41"/>
    <w:rsid w:val="41970D49"/>
    <w:rsid w:val="41B92A4F"/>
    <w:rsid w:val="41C964B4"/>
    <w:rsid w:val="41F92ABD"/>
    <w:rsid w:val="41FC1B6A"/>
    <w:rsid w:val="42125B2B"/>
    <w:rsid w:val="424D1C7F"/>
    <w:rsid w:val="425846A6"/>
    <w:rsid w:val="42624E34"/>
    <w:rsid w:val="427F218F"/>
    <w:rsid w:val="42840AD6"/>
    <w:rsid w:val="428B63CF"/>
    <w:rsid w:val="42911805"/>
    <w:rsid w:val="429A2964"/>
    <w:rsid w:val="42AF67D0"/>
    <w:rsid w:val="42BC0E70"/>
    <w:rsid w:val="42C245CE"/>
    <w:rsid w:val="42C80ECA"/>
    <w:rsid w:val="42DD0E52"/>
    <w:rsid w:val="42DD3CD5"/>
    <w:rsid w:val="43055EB8"/>
    <w:rsid w:val="431627BC"/>
    <w:rsid w:val="431A0C24"/>
    <w:rsid w:val="431A5591"/>
    <w:rsid w:val="431B1E1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F047E0"/>
    <w:rsid w:val="43FD6F00"/>
    <w:rsid w:val="440B02B4"/>
    <w:rsid w:val="441C5080"/>
    <w:rsid w:val="44233849"/>
    <w:rsid w:val="44633603"/>
    <w:rsid w:val="44680AA6"/>
    <w:rsid w:val="446B500C"/>
    <w:rsid w:val="446E17AC"/>
    <w:rsid w:val="448508DF"/>
    <w:rsid w:val="448D7707"/>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A030B"/>
    <w:rsid w:val="4C09252B"/>
    <w:rsid w:val="4C1713D3"/>
    <w:rsid w:val="4C3D55C6"/>
    <w:rsid w:val="4C427E43"/>
    <w:rsid w:val="4C5962D9"/>
    <w:rsid w:val="4C5C650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A653F2"/>
    <w:rsid w:val="4DCC74BE"/>
    <w:rsid w:val="4DE03AC2"/>
    <w:rsid w:val="4DEF02BD"/>
    <w:rsid w:val="4DF03991"/>
    <w:rsid w:val="4DF221E2"/>
    <w:rsid w:val="4E002256"/>
    <w:rsid w:val="4E0911A0"/>
    <w:rsid w:val="4E0D72D8"/>
    <w:rsid w:val="4E383ED6"/>
    <w:rsid w:val="4E5172B9"/>
    <w:rsid w:val="4E560D60"/>
    <w:rsid w:val="4E564593"/>
    <w:rsid w:val="4E5A2684"/>
    <w:rsid w:val="4E703F51"/>
    <w:rsid w:val="4E905710"/>
    <w:rsid w:val="4E942C0A"/>
    <w:rsid w:val="4E98220D"/>
    <w:rsid w:val="4EA02FF7"/>
    <w:rsid w:val="4EB7399D"/>
    <w:rsid w:val="4ECD2716"/>
    <w:rsid w:val="4EDA695D"/>
    <w:rsid w:val="4EE05B39"/>
    <w:rsid w:val="4EE54AFA"/>
    <w:rsid w:val="4EE73AF5"/>
    <w:rsid w:val="4EE84EA5"/>
    <w:rsid w:val="4EEE4AF5"/>
    <w:rsid w:val="4EF82E0F"/>
    <w:rsid w:val="4F0B544D"/>
    <w:rsid w:val="4F1E4B12"/>
    <w:rsid w:val="4F301FB1"/>
    <w:rsid w:val="4F3A2B02"/>
    <w:rsid w:val="4F4F7329"/>
    <w:rsid w:val="4F5260B5"/>
    <w:rsid w:val="4F58224C"/>
    <w:rsid w:val="4F590A64"/>
    <w:rsid w:val="4F5A4045"/>
    <w:rsid w:val="4F5A7FFE"/>
    <w:rsid w:val="4F86143C"/>
    <w:rsid w:val="4F8B2726"/>
    <w:rsid w:val="4F8B4457"/>
    <w:rsid w:val="4FAE7560"/>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74C38"/>
    <w:rsid w:val="50E76F7B"/>
    <w:rsid w:val="50EB303A"/>
    <w:rsid w:val="51025571"/>
    <w:rsid w:val="510819A0"/>
    <w:rsid w:val="51141BF6"/>
    <w:rsid w:val="511D1BC3"/>
    <w:rsid w:val="51200E5F"/>
    <w:rsid w:val="5123009E"/>
    <w:rsid w:val="512548E9"/>
    <w:rsid w:val="512C2CA7"/>
    <w:rsid w:val="512D289E"/>
    <w:rsid w:val="514152FB"/>
    <w:rsid w:val="51434ED1"/>
    <w:rsid w:val="51606C08"/>
    <w:rsid w:val="516445A0"/>
    <w:rsid w:val="518353A4"/>
    <w:rsid w:val="518956A9"/>
    <w:rsid w:val="519F6ACE"/>
    <w:rsid w:val="51C83642"/>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71534A"/>
    <w:rsid w:val="53720C63"/>
    <w:rsid w:val="537700D3"/>
    <w:rsid w:val="53811681"/>
    <w:rsid w:val="538A520F"/>
    <w:rsid w:val="538C6CFB"/>
    <w:rsid w:val="53933E3F"/>
    <w:rsid w:val="53B418CC"/>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72AA0"/>
    <w:rsid w:val="55FF52A6"/>
    <w:rsid w:val="56061751"/>
    <w:rsid w:val="56095584"/>
    <w:rsid w:val="560E0C77"/>
    <w:rsid w:val="5633198E"/>
    <w:rsid w:val="563E5469"/>
    <w:rsid w:val="565F37E0"/>
    <w:rsid w:val="56600CBF"/>
    <w:rsid w:val="566755F7"/>
    <w:rsid w:val="56681618"/>
    <w:rsid w:val="566919C6"/>
    <w:rsid w:val="566C5546"/>
    <w:rsid w:val="56745BC9"/>
    <w:rsid w:val="56CF2CF8"/>
    <w:rsid w:val="56D50BC3"/>
    <w:rsid w:val="56E34EAC"/>
    <w:rsid w:val="570203D1"/>
    <w:rsid w:val="571159E3"/>
    <w:rsid w:val="571D3ABE"/>
    <w:rsid w:val="571F6B7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E821DA"/>
    <w:rsid w:val="5AED557F"/>
    <w:rsid w:val="5AFD1904"/>
    <w:rsid w:val="5B0123E0"/>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A65278"/>
    <w:rsid w:val="5CA80B46"/>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B4981"/>
    <w:rsid w:val="5DAF2ED6"/>
    <w:rsid w:val="5DCD5EDE"/>
    <w:rsid w:val="5DDD01B0"/>
    <w:rsid w:val="5DE31BF8"/>
    <w:rsid w:val="5DEE4FE1"/>
    <w:rsid w:val="5DEE7E4B"/>
    <w:rsid w:val="5DF434DB"/>
    <w:rsid w:val="5E040F9B"/>
    <w:rsid w:val="5E163DAD"/>
    <w:rsid w:val="5E18199F"/>
    <w:rsid w:val="5E276BBA"/>
    <w:rsid w:val="5E4A34BA"/>
    <w:rsid w:val="5E555E36"/>
    <w:rsid w:val="5E572B7B"/>
    <w:rsid w:val="5E715DE0"/>
    <w:rsid w:val="5E817F26"/>
    <w:rsid w:val="5EA248D0"/>
    <w:rsid w:val="5EC875D4"/>
    <w:rsid w:val="5ED929BD"/>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60214E"/>
    <w:rsid w:val="6071387E"/>
    <w:rsid w:val="607207D7"/>
    <w:rsid w:val="607A75EB"/>
    <w:rsid w:val="60932B78"/>
    <w:rsid w:val="60B1182C"/>
    <w:rsid w:val="60B54E5F"/>
    <w:rsid w:val="60D67EB5"/>
    <w:rsid w:val="60E72435"/>
    <w:rsid w:val="60F1240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F12BA4"/>
    <w:rsid w:val="61F1712C"/>
    <w:rsid w:val="61FC795F"/>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D17A33"/>
    <w:rsid w:val="64DB0DE6"/>
    <w:rsid w:val="65192F42"/>
    <w:rsid w:val="651C413F"/>
    <w:rsid w:val="651F176C"/>
    <w:rsid w:val="652354FE"/>
    <w:rsid w:val="65243799"/>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35457B"/>
    <w:rsid w:val="663743A7"/>
    <w:rsid w:val="663B78CC"/>
    <w:rsid w:val="664C4D93"/>
    <w:rsid w:val="66645598"/>
    <w:rsid w:val="66713242"/>
    <w:rsid w:val="66A57E71"/>
    <w:rsid w:val="66A76320"/>
    <w:rsid w:val="66BD4460"/>
    <w:rsid w:val="66BD4681"/>
    <w:rsid w:val="66D37DBF"/>
    <w:rsid w:val="66D47A94"/>
    <w:rsid w:val="66D82ABA"/>
    <w:rsid w:val="66E4759D"/>
    <w:rsid w:val="67080774"/>
    <w:rsid w:val="67126F49"/>
    <w:rsid w:val="67195D19"/>
    <w:rsid w:val="672361E3"/>
    <w:rsid w:val="673212A8"/>
    <w:rsid w:val="67485617"/>
    <w:rsid w:val="674B4F4A"/>
    <w:rsid w:val="67586F6C"/>
    <w:rsid w:val="67625F8A"/>
    <w:rsid w:val="676A3DA6"/>
    <w:rsid w:val="67773A51"/>
    <w:rsid w:val="67835FB2"/>
    <w:rsid w:val="679805D8"/>
    <w:rsid w:val="67A46EF4"/>
    <w:rsid w:val="67B16006"/>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145603"/>
    <w:rsid w:val="69184B75"/>
    <w:rsid w:val="69423186"/>
    <w:rsid w:val="6942555E"/>
    <w:rsid w:val="69432BE1"/>
    <w:rsid w:val="69492E1D"/>
    <w:rsid w:val="694A3C5C"/>
    <w:rsid w:val="694D728A"/>
    <w:rsid w:val="6988057F"/>
    <w:rsid w:val="699906A2"/>
    <w:rsid w:val="69AC12C2"/>
    <w:rsid w:val="69C411D0"/>
    <w:rsid w:val="69C62FFA"/>
    <w:rsid w:val="69D86C6D"/>
    <w:rsid w:val="69FA48D7"/>
    <w:rsid w:val="6A0D6DC9"/>
    <w:rsid w:val="6A341444"/>
    <w:rsid w:val="6A4A19BA"/>
    <w:rsid w:val="6A564EBF"/>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714B6"/>
    <w:rsid w:val="6DEC1C21"/>
    <w:rsid w:val="6E0F1FEB"/>
    <w:rsid w:val="6E152319"/>
    <w:rsid w:val="6E155346"/>
    <w:rsid w:val="6E200829"/>
    <w:rsid w:val="6E3A7BFC"/>
    <w:rsid w:val="6E3B0BAF"/>
    <w:rsid w:val="6E3E0629"/>
    <w:rsid w:val="6E4E3E08"/>
    <w:rsid w:val="6E501AEB"/>
    <w:rsid w:val="6E7C11B5"/>
    <w:rsid w:val="6E7F556F"/>
    <w:rsid w:val="6E997C25"/>
    <w:rsid w:val="6E9C165A"/>
    <w:rsid w:val="6E9F07E1"/>
    <w:rsid w:val="6EA14A30"/>
    <w:rsid w:val="6EB6105A"/>
    <w:rsid w:val="6EC46D49"/>
    <w:rsid w:val="6EC629FF"/>
    <w:rsid w:val="6EC7282F"/>
    <w:rsid w:val="6ECA6C00"/>
    <w:rsid w:val="6F1C104C"/>
    <w:rsid w:val="6F26499B"/>
    <w:rsid w:val="6F2D024C"/>
    <w:rsid w:val="6F2D277B"/>
    <w:rsid w:val="6F2F3282"/>
    <w:rsid w:val="6F587A8E"/>
    <w:rsid w:val="6F5A7044"/>
    <w:rsid w:val="6F5D5506"/>
    <w:rsid w:val="6F600C59"/>
    <w:rsid w:val="6F703F1B"/>
    <w:rsid w:val="6F7E2770"/>
    <w:rsid w:val="6F8776A7"/>
    <w:rsid w:val="6F957D21"/>
    <w:rsid w:val="6F9A1B5B"/>
    <w:rsid w:val="6FA57C2A"/>
    <w:rsid w:val="6FC22E70"/>
    <w:rsid w:val="6FD175F7"/>
    <w:rsid w:val="6FD95378"/>
    <w:rsid w:val="6FF47B92"/>
    <w:rsid w:val="6FFD1488"/>
    <w:rsid w:val="700B44C9"/>
    <w:rsid w:val="70173431"/>
    <w:rsid w:val="703C1CAA"/>
    <w:rsid w:val="703E1108"/>
    <w:rsid w:val="704B7EBD"/>
    <w:rsid w:val="7051053C"/>
    <w:rsid w:val="707F7FC1"/>
    <w:rsid w:val="70830694"/>
    <w:rsid w:val="7092075C"/>
    <w:rsid w:val="70A16710"/>
    <w:rsid w:val="70AF49AD"/>
    <w:rsid w:val="70CC6CCD"/>
    <w:rsid w:val="70E234A9"/>
    <w:rsid w:val="70E51433"/>
    <w:rsid w:val="71081951"/>
    <w:rsid w:val="710C10AD"/>
    <w:rsid w:val="71195FA1"/>
    <w:rsid w:val="711F23C1"/>
    <w:rsid w:val="71252C8F"/>
    <w:rsid w:val="712D7A96"/>
    <w:rsid w:val="71334F8E"/>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A334F"/>
    <w:rsid w:val="730440C9"/>
    <w:rsid w:val="730B241D"/>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66354F"/>
    <w:rsid w:val="766B6ECD"/>
    <w:rsid w:val="767470B0"/>
    <w:rsid w:val="76855EB9"/>
    <w:rsid w:val="7692691E"/>
    <w:rsid w:val="76996365"/>
    <w:rsid w:val="769A10D0"/>
    <w:rsid w:val="76C2349E"/>
    <w:rsid w:val="76CB35EC"/>
    <w:rsid w:val="76D054CE"/>
    <w:rsid w:val="76D10C55"/>
    <w:rsid w:val="76D276DD"/>
    <w:rsid w:val="76D85DAB"/>
    <w:rsid w:val="76EA2D88"/>
    <w:rsid w:val="76FC5ECA"/>
    <w:rsid w:val="77040C67"/>
    <w:rsid w:val="773B587C"/>
    <w:rsid w:val="773F6299"/>
    <w:rsid w:val="77416C82"/>
    <w:rsid w:val="774271F2"/>
    <w:rsid w:val="77453760"/>
    <w:rsid w:val="77473689"/>
    <w:rsid w:val="77653D55"/>
    <w:rsid w:val="776A7D9F"/>
    <w:rsid w:val="77734AD9"/>
    <w:rsid w:val="77767106"/>
    <w:rsid w:val="77786FD4"/>
    <w:rsid w:val="77AB2363"/>
    <w:rsid w:val="77D71742"/>
    <w:rsid w:val="77E342D7"/>
    <w:rsid w:val="77F3466D"/>
    <w:rsid w:val="780127F5"/>
    <w:rsid w:val="7822274B"/>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8603E2"/>
    <w:rsid w:val="7D9B3D45"/>
    <w:rsid w:val="7D9C553A"/>
    <w:rsid w:val="7DBB346B"/>
    <w:rsid w:val="7DD0508B"/>
    <w:rsid w:val="7DE4119D"/>
    <w:rsid w:val="7DEE5B58"/>
    <w:rsid w:val="7DEF4E30"/>
    <w:rsid w:val="7E0B1390"/>
    <w:rsid w:val="7E2B13AE"/>
    <w:rsid w:val="7E676A56"/>
    <w:rsid w:val="7E947A7E"/>
    <w:rsid w:val="7ED03245"/>
    <w:rsid w:val="7ED25E9B"/>
    <w:rsid w:val="7ED37D6E"/>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footer6.xml" Type="http://schemas.openxmlformats.org/officeDocument/2006/relationships/footer"/><Relationship Id="rId12" Target="footer7.xml" Type="http://schemas.openxmlformats.org/officeDocument/2006/relationships/footer"/><Relationship Id="rId13" Target="footer8.xml" Type="http://schemas.openxmlformats.org/officeDocument/2006/relationships/footer"/><Relationship Id="rId14" Target="footer9.xml" Type="http://schemas.openxmlformats.org/officeDocument/2006/relationships/footer"/><Relationship Id="rId15" Target="footer10.xml" Type="http://schemas.openxmlformats.org/officeDocument/2006/relationships/footer"/><Relationship Id="rId16" Target="footer11.xml" Type="http://schemas.openxmlformats.org/officeDocument/2006/relationships/footer"/><Relationship Id="rId17" Target="footer12.xml" Type="http://schemas.openxmlformats.org/officeDocument/2006/relationships/footer"/><Relationship Id="rId18" Target="footer13.xml" Type="http://schemas.openxmlformats.org/officeDocument/2006/relationships/footer"/><Relationship Id="rId19" Target="footer14.xml" Type="http://schemas.openxmlformats.org/officeDocument/2006/relationships/footer"/><Relationship Id="rId2" Target="settings.xml" Type="http://schemas.openxmlformats.org/officeDocument/2006/relationships/settings"/><Relationship Id="rId20" Target="footer15.xml" Type="http://schemas.openxmlformats.org/officeDocument/2006/relationships/footer"/><Relationship Id="rId21" Target="theme/theme1.xml" Type="http://schemas.openxmlformats.org/officeDocument/2006/relationships/theme"/><Relationship Id="rId22" Target="../customXml/item1.xml" Type="http://schemas.openxmlformats.org/officeDocument/2006/relationships/customXml"/><Relationship Id="rId23" Target="fontTable.xml" Type="http://schemas.openxmlformats.org/officeDocument/2006/relationships/fontTable"/><Relationship Id="rId24" Target="media/image1.jpeg" Type="http://schemas.openxmlformats.org/officeDocument/2006/relationships/image"/><Relationship Id="rId25" Target="media/image2.jpeg" Type="http://schemas.openxmlformats.org/officeDocument/2006/relationships/image"/><Relationship Id="rId3" Target="footnotes.xml" Type="http://schemas.openxmlformats.org/officeDocument/2006/relationships/footnotes"/><Relationship Id="rId4" Target="header1.xml" Type="http://schemas.openxmlformats.org/officeDocument/2006/relationships/header"/><Relationship Id="rId5" Target="header2.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3386</Words>
  <Characters>7333</Characters>
  <Paragraphs>501</Paragraphs>
  <TotalTime>48</TotalTime>
  <ScaleCrop>false</ScaleCrop>
  <LinksUpToDate>false</LinksUpToDate>
  <CharactersWithSpaces>7399</CharactersWithSpaces>
  <Application>WPS Office_11.1.0.11294_F1E327BC-269C-435d-A152-05C5408002CA</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2021-04-16T03:22:00Z</dcterms:created>
  <dc:creator>陈长军(本处室套红)</dc:creator>
  <cp:lastModifiedBy>有光的地方</cp:lastModifiedBy>
  <dcterms:modified xsi:type="dcterms:W3CDTF">2022-02-09T14:56:23Z</dcterms:modified>
  <cp:revision>175</cp:revision>
  <dc:title>部门预算公开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2052-11.1.0.11294</vt:lpwstr>
  </property>
  <property fmtid="{D5CDD505-2E9C-101B-9397-08002B2CF9AE}" pid="6" name="LastSaved">
    <vt:filetime>2021-04-15T00:00:00Z</vt:filetime>
  </property>
</Properties>
</file>