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Ind w:w="-1168" w:type="dxa"/>
        <w:tblLook w:val="04A0"/>
      </w:tblPr>
      <w:tblGrid>
        <w:gridCol w:w="1560"/>
        <w:gridCol w:w="1476"/>
        <w:gridCol w:w="2425"/>
        <w:gridCol w:w="4604"/>
        <w:gridCol w:w="1276"/>
        <w:gridCol w:w="3543"/>
      </w:tblGrid>
      <w:tr w:rsidR="00171361" w:rsidTr="00171361">
        <w:trPr>
          <w:jc w:val="center"/>
        </w:trPr>
        <w:tc>
          <w:tcPr>
            <w:tcW w:w="14884" w:type="dxa"/>
            <w:gridSpan w:val="6"/>
          </w:tcPr>
          <w:p w:rsidR="00171361" w:rsidRDefault="00171361" w:rsidP="0010144D">
            <w:pPr>
              <w:jc w:val="center"/>
            </w:pPr>
            <w:r>
              <w:rPr>
                <w:rFonts w:hint="eastAsia"/>
              </w:rPr>
              <w:t>江阴市人力资源和社会保障局行政权力清单调整信息</w:t>
            </w:r>
          </w:p>
        </w:tc>
      </w:tr>
      <w:tr w:rsidR="00171361" w:rsidTr="00171361">
        <w:trPr>
          <w:jc w:val="center"/>
        </w:trPr>
        <w:tc>
          <w:tcPr>
            <w:tcW w:w="1560" w:type="dxa"/>
          </w:tcPr>
          <w:p w:rsidR="00171361" w:rsidRPr="00171361" w:rsidRDefault="00171361" w:rsidP="00171361">
            <w:pPr>
              <w:snapToGrid w:val="0"/>
              <w:jc w:val="center"/>
            </w:pPr>
            <w:r>
              <w:rPr>
                <w:rFonts w:hint="eastAsia"/>
              </w:rPr>
              <w:t>序号</w:t>
            </w:r>
          </w:p>
        </w:tc>
        <w:tc>
          <w:tcPr>
            <w:tcW w:w="1476" w:type="dxa"/>
          </w:tcPr>
          <w:p w:rsidR="00171361" w:rsidRDefault="00171361" w:rsidP="00171361">
            <w:pPr>
              <w:snapToGrid w:val="0"/>
              <w:jc w:val="center"/>
            </w:pPr>
            <w:r>
              <w:rPr>
                <w:rFonts w:hint="eastAsia"/>
              </w:rPr>
              <w:t>基本编码</w:t>
            </w:r>
          </w:p>
        </w:tc>
        <w:tc>
          <w:tcPr>
            <w:tcW w:w="2425" w:type="dxa"/>
          </w:tcPr>
          <w:p w:rsidR="00171361" w:rsidRDefault="00171361" w:rsidP="00171361">
            <w:pPr>
              <w:snapToGrid w:val="0"/>
              <w:jc w:val="center"/>
            </w:pPr>
            <w:r>
              <w:rPr>
                <w:rFonts w:hint="eastAsia"/>
              </w:rPr>
              <w:t>权力名称</w:t>
            </w:r>
          </w:p>
        </w:tc>
        <w:tc>
          <w:tcPr>
            <w:tcW w:w="4604" w:type="dxa"/>
          </w:tcPr>
          <w:p w:rsidR="00171361" w:rsidRDefault="00171361" w:rsidP="00171361">
            <w:pPr>
              <w:snapToGrid w:val="0"/>
              <w:jc w:val="center"/>
            </w:pPr>
            <w:r>
              <w:rPr>
                <w:rFonts w:hint="eastAsia"/>
              </w:rPr>
              <w:t>法律依据</w:t>
            </w:r>
          </w:p>
        </w:tc>
        <w:tc>
          <w:tcPr>
            <w:tcW w:w="1276" w:type="dxa"/>
          </w:tcPr>
          <w:p w:rsidR="00171361" w:rsidRDefault="00171361" w:rsidP="00171361">
            <w:pPr>
              <w:snapToGrid w:val="0"/>
              <w:jc w:val="center"/>
            </w:pPr>
            <w:r>
              <w:rPr>
                <w:rFonts w:hint="eastAsia"/>
              </w:rPr>
              <w:t>权力类别</w:t>
            </w:r>
          </w:p>
        </w:tc>
        <w:tc>
          <w:tcPr>
            <w:tcW w:w="3543" w:type="dxa"/>
          </w:tcPr>
          <w:p w:rsidR="00171361" w:rsidRDefault="00171361" w:rsidP="00171361">
            <w:pPr>
              <w:snapToGrid w:val="0"/>
              <w:jc w:val="center"/>
            </w:pPr>
            <w:r>
              <w:rPr>
                <w:rFonts w:hint="eastAsia"/>
              </w:rPr>
              <w:t>备注</w:t>
            </w:r>
          </w:p>
        </w:tc>
      </w:tr>
      <w:tr w:rsidR="00171361" w:rsidTr="00171361">
        <w:trPr>
          <w:jc w:val="center"/>
        </w:trPr>
        <w:tc>
          <w:tcPr>
            <w:tcW w:w="1560" w:type="dxa"/>
          </w:tcPr>
          <w:p w:rsidR="00171361" w:rsidRDefault="00171361" w:rsidP="00171361">
            <w:pPr>
              <w:snapToGrid w:val="0"/>
              <w:jc w:val="center"/>
            </w:pPr>
            <w:r>
              <w:rPr>
                <w:rFonts w:hint="eastAsia"/>
              </w:rPr>
              <w:t>1</w:t>
            </w:r>
          </w:p>
        </w:tc>
        <w:tc>
          <w:tcPr>
            <w:tcW w:w="1476" w:type="dxa"/>
          </w:tcPr>
          <w:p w:rsidR="00171361" w:rsidRDefault="00171361" w:rsidP="00171361">
            <w:pPr>
              <w:snapToGrid w:val="0"/>
              <w:jc w:val="center"/>
            </w:pPr>
            <w:r w:rsidRPr="004E3AB6">
              <w:rPr>
                <w:rFonts w:ascii="Times New Roman" w:eastAsia="方正书宋_GBK" w:hAnsi="Times New Roman" w:cs="宋体" w:hint="eastAsia"/>
                <w:kern w:val="0"/>
                <w:szCs w:val="21"/>
                <w:shd w:val="clear" w:color="auto" w:fill="FFFFFF"/>
              </w:rPr>
              <w:t>320214038000</w:t>
            </w:r>
          </w:p>
        </w:tc>
        <w:tc>
          <w:tcPr>
            <w:tcW w:w="2425" w:type="dxa"/>
          </w:tcPr>
          <w:p w:rsidR="00171361" w:rsidRDefault="00171361" w:rsidP="00171361">
            <w:pPr>
              <w:snapToGrid w:val="0"/>
              <w:jc w:val="center"/>
            </w:pPr>
            <w:r w:rsidRPr="004E3AB6">
              <w:rPr>
                <w:rFonts w:ascii="Times New Roman" w:eastAsia="方正书宋_GBK" w:hAnsi="Times New Roman" w:cs="宋体" w:hint="eastAsia"/>
                <w:kern w:val="0"/>
                <w:szCs w:val="21"/>
                <w:shd w:val="clear" w:color="auto" w:fill="FFFFFF"/>
              </w:rPr>
              <w:t>专业技术人员继续教育培训机构发布虚假培训广告的处罚</w:t>
            </w:r>
          </w:p>
        </w:tc>
        <w:tc>
          <w:tcPr>
            <w:tcW w:w="4604" w:type="dxa"/>
          </w:tcPr>
          <w:p w:rsidR="00171361" w:rsidRPr="004E3AB6" w:rsidRDefault="0010144D" w:rsidP="00171361">
            <w:pPr>
              <w:autoSpaceDE w:val="0"/>
              <w:autoSpaceDN w:val="0"/>
              <w:snapToGrid w:val="0"/>
              <w:jc w:val="left"/>
              <w:rPr>
                <w:rFonts w:ascii="Times New Roman" w:eastAsia="方正书宋_GBK" w:hAnsi="Times New Roman" w:cs="宋体"/>
                <w:kern w:val="0"/>
                <w:szCs w:val="21"/>
                <w:shd w:val="clear" w:color="auto" w:fill="FFFFFF"/>
              </w:rPr>
            </w:pPr>
            <w:r>
              <w:rPr>
                <w:rFonts w:ascii="Times New Roman" w:eastAsia="方正书宋_GBK" w:hAnsi="Times New Roman" w:cs="宋体" w:hint="eastAsia"/>
                <w:kern w:val="0"/>
                <w:szCs w:val="21"/>
                <w:shd w:val="clear" w:color="auto" w:fill="FFFFFF"/>
              </w:rPr>
              <w:t>【</w:t>
            </w:r>
            <w:r w:rsidR="00171361" w:rsidRPr="004E3AB6">
              <w:rPr>
                <w:rFonts w:ascii="Times New Roman" w:eastAsia="方正书宋_GBK" w:hAnsi="Times New Roman" w:cs="宋体" w:hint="eastAsia"/>
                <w:kern w:val="0"/>
                <w:szCs w:val="21"/>
                <w:shd w:val="clear" w:color="auto" w:fill="FFFFFF"/>
              </w:rPr>
              <w:t>地方性法规】《江苏省专业技术人员继续教育条例》第六条第二款</w:t>
            </w:r>
            <w:r w:rsidR="00171361" w:rsidRPr="004E3AB6">
              <w:rPr>
                <w:rFonts w:ascii="Times New Roman" w:eastAsia="方正书宋_GBK" w:hAnsi="Times New Roman" w:cs="宋体" w:hint="eastAsia"/>
                <w:kern w:val="0"/>
                <w:szCs w:val="21"/>
                <w:shd w:val="clear" w:color="auto" w:fill="FFFFFF"/>
              </w:rPr>
              <w:t xml:space="preserve"> </w:t>
            </w:r>
            <w:r w:rsidR="00171361" w:rsidRPr="004E3AB6">
              <w:rPr>
                <w:rFonts w:ascii="Times New Roman" w:eastAsia="方正书宋_GBK" w:hAnsi="Times New Roman" w:cs="宋体" w:hint="eastAsia"/>
                <w:kern w:val="0"/>
                <w:szCs w:val="21"/>
                <w:shd w:val="clear" w:color="auto" w:fill="FFFFFF"/>
              </w:rPr>
              <w:t>县级以上地方人民政府人事行政部门具体负责本行政区域内专业技术人员继续教育的综合协调和监督、检查。</w:t>
            </w:r>
            <w:r w:rsidR="00171361" w:rsidRPr="004E3AB6">
              <w:rPr>
                <w:rFonts w:ascii="Times New Roman" w:eastAsia="方正书宋_GBK" w:hAnsi="Times New Roman" w:cs="宋体" w:hint="eastAsia"/>
                <w:kern w:val="0"/>
                <w:szCs w:val="21"/>
                <w:shd w:val="clear" w:color="auto" w:fill="FFFFFF"/>
              </w:rPr>
              <w:t xml:space="preserve"> </w:t>
            </w:r>
            <w:r w:rsidR="00171361" w:rsidRPr="004E3AB6">
              <w:rPr>
                <w:rFonts w:ascii="Times New Roman" w:eastAsia="方正书宋_GBK" w:hAnsi="Times New Roman" w:cs="宋体" w:hint="eastAsia"/>
                <w:kern w:val="0"/>
                <w:szCs w:val="21"/>
                <w:shd w:val="clear" w:color="auto" w:fill="FFFFFF"/>
              </w:rPr>
              <w:t>第十八条</w:t>
            </w:r>
            <w:r w:rsidR="00171361" w:rsidRPr="004E3AB6">
              <w:rPr>
                <w:rFonts w:ascii="Times New Roman" w:eastAsia="方正书宋_GBK" w:hAnsi="Times New Roman" w:cs="宋体" w:hint="eastAsia"/>
                <w:kern w:val="0"/>
                <w:szCs w:val="21"/>
                <w:shd w:val="clear" w:color="auto" w:fill="FFFFFF"/>
              </w:rPr>
              <w:t xml:space="preserve"> </w:t>
            </w:r>
            <w:r w:rsidR="00171361" w:rsidRPr="004E3AB6">
              <w:rPr>
                <w:rFonts w:ascii="Times New Roman" w:eastAsia="方正书宋_GBK" w:hAnsi="Times New Roman" w:cs="宋体" w:hint="eastAsia"/>
                <w:kern w:val="0"/>
                <w:szCs w:val="21"/>
                <w:shd w:val="clear" w:color="auto" w:fill="FFFFFF"/>
              </w:rPr>
              <w:t>继续教育培训机构从事继续教育活动，应当如实向社会公示其培训范围、收费项目和标准、培训教师、培训地点及设施等情况。</w:t>
            </w:r>
            <w:r w:rsidR="00171361" w:rsidRPr="004E3AB6">
              <w:rPr>
                <w:rFonts w:ascii="Times New Roman" w:eastAsia="方正书宋_GBK" w:hAnsi="Times New Roman" w:cs="宋体" w:hint="eastAsia"/>
                <w:kern w:val="0"/>
                <w:szCs w:val="21"/>
                <w:shd w:val="clear" w:color="auto" w:fill="FFFFFF"/>
              </w:rPr>
              <w:t xml:space="preserve"> </w:t>
            </w:r>
            <w:r w:rsidR="00171361" w:rsidRPr="004E3AB6">
              <w:rPr>
                <w:rFonts w:ascii="Times New Roman" w:eastAsia="方正书宋_GBK" w:hAnsi="Times New Roman" w:cs="宋体" w:hint="eastAsia"/>
                <w:kern w:val="0"/>
                <w:szCs w:val="21"/>
                <w:shd w:val="clear" w:color="auto" w:fill="FFFFFF"/>
              </w:rPr>
              <w:t>继续教育培训机构的培训广告应当真实、合法，不得含有虚假的内容，不得进行欺骗和误导。</w:t>
            </w:r>
            <w:r w:rsidR="00171361" w:rsidRPr="004E3AB6">
              <w:rPr>
                <w:rFonts w:ascii="Times New Roman" w:eastAsia="方正书宋_GBK" w:hAnsi="Times New Roman" w:cs="宋体" w:hint="eastAsia"/>
                <w:kern w:val="0"/>
                <w:szCs w:val="21"/>
                <w:shd w:val="clear" w:color="auto" w:fill="FFFFFF"/>
              </w:rPr>
              <w:t xml:space="preserve"> </w:t>
            </w:r>
            <w:r w:rsidR="00171361" w:rsidRPr="004E3AB6">
              <w:rPr>
                <w:rFonts w:ascii="Times New Roman" w:eastAsia="方正书宋_GBK" w:hAnsi="Times New Roman" w:cs="宋体" w:hint="eastAsia"/>
                <w:kern w:val="0"/>
                <w:szCs w:val="21"/>
                <w:shd w:val="clear" w:color="auto" w:fill="FFFFFF"/>
              </w:rPr>
              <w:t>继续教育培训机构应当认真实施继续教育教学计划，保证继续教育的教学质量，如实出具专业技术人员接受继续教育情况的证明。</w:t>
            </w:r>
          </w:p>
          <w:p w:rsidR="00171361" w:rsidRDefault="00171361" w:rsidP="00171361">
            <w:pPr>
              <w:snapToGrid w:val="0"/>
              <w:jc w:val="left"/>
            </w:pPr>
            <w:r w:rsidRPr="004E3AB6">
              <w:rPr>
                <w:rFonts w:ascii="Times New Roman" w:eastAsia="方正书宋_GBK" w:hAnsi="Times New Roman" w:cs="宋体" w:hint="eastAsia"/>
                <w:kern w:val="0"/>
                <w:szCs w:val="21"/>
                <w:shd w:val="clear" w:color="auto" w:fill="FFFFFF"/>
              </w:rPr>
              <w:t>第二十八条第一款</w:t>
            </w:r>
            <w:r w:rsidRPr="004E3AB6">
              <w:rPr>
                <w:rFonts w:ascii="Times New Roman" w:eastAsia="方正书宋_GBK" w:hAnsi="Times New Roman" w:cs="宋体" w:hint="eastAsia"/>
                <w:kern w:val="0"/>
                <w:szCs w:val="21"/>
                <w:shd w:val="clear" w:color="auto" w:fill="FFFFFF"/>
              </w:rPr>
              <w:t xml:space="preserve"> </w:t>
            </w:r>
            <w:r w:rsidRPr="004E3AB6">
              <w:rPr>
                <w:rFonts w:ascii="Times New Roman" w:eastAsia="方正书宋_GBK" w:hAnsi="Times New Roman" w:cs="宋体" w:hint="eastAsia"/>
                <w:kern w:val="0"/>
                <w:szCs w:val="21"/>
                <w:shd w:val="clear" w:color="auto" w:fill="FFFFFF"/>
              </w:rPr>
              <w:t>违反本条例第十八条第二款规定，继续教育培训机构发布虚假培训广告的，由广告监督机关或者有关行政主管部门责令其限期改正，已向被培训者收取费用的，退还所收费用，并予以警告；情节严重的，责令其停止继续教育培训活动。</w:t>
            </w:r>
          </w:p>
        </w:tc>
        <w:tc>
          <w:tcPr>
            <w:tcW w:w="1276" w:type="dxa"/>
          </w:tcPr>
          <w:p w:rsidR="00171361" w:rsidRDefault="00171361" w:rsidP="00171361">
            <w:pPr>
              <w:snapToGrid w:val="0"/>
              <w:jc w:val="center"/>
            </w:pPr>
            <w:r>
              <w:rPr>
                <w:rFonts w:hint="eastAsia"/>
              </w:rPr>
              <w:t>行政处罚</w:t>
            </w:r>
          </w:p>
        </w:tc>
        <w:tc>
          <w:tcPr>
            <w:tcW w:w="3543" w:type="dxa"/>
          </w:tcPr>
          <w:p w:rsidR="00171361" w:rsidRDefault="0010144D" w:rsidP="00171361">
            <w:pPr>
              <w:snapToGrid w:val="0"/>
              <w:jc w:val="left"/>
            </w:pPr>
            <w:r>
              <w:rPr>
                <w:rFonts w:ascii="Times New Roman" w:eastAsia="方正书宋_GBK" w:hAnsi="Times New Roman" w:cs="宋体" w:hint="eastAsia"/>
                <w:kern w:val="0"/>
                <w:szCs w:val="21"/>
                <w:shd w:val="clear" w:color="auto" w:fill="FFFFFF"/>
              </w:rPr>
              <w:t>取消</w:t>
            </w:r>
          </w:p>
        </w:tc>
      </w:tr>
    </w:tbl>
    <w:p w:rsidR="00445ED4" w:rsidRDefault="00445ED4"/>
    <w:sectPr w:rsidR="00445ED4" w:rsidSect="0017136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2C" w:rsidRDefault="00AF742C" w:rsidP="0010144D">
      <w:r>
        <w:separator/>
      </w:r>
    </w:p>
  </w:endnote>
  <w:endnote w:type="continuationSeparator" w:id="0">
    <w:p w:rsidR="00AF742C" w:rsidRDefault="00AF742C" w:rsidP="00101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2C" w:rsidRDefault="00AF742C" w:rsidP="0010144D">
      <w:r>
        <w:separator/>
      </w:r>
    </w:p>
  </w:footnote>
  <w:footnote w:type="continuationSeparator" w:id="0">
    <w:p w:rsidR="00AF742C" w:rsidRDefault="00AF742C" w:rsidP="00101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DF668EF0-64B3-4738-807E-C606688B8A9C}"/>
    <w:docVar w:name="KY_MEDREF_VERSION" w:val="3"/>
  </w:docVars>
  <w:rsids>
    <w:rsidRoot w:val="00171361"/>
    <w:rsid w:val="0010144D"/>
    <w:rsid w:val="00171361"/>
    <w:rsid w:val="002825D1"/>
    <w:rsid w:val="00445ED4"/>
    <w:rsid w:val="008F3585"/>
    <w:rsid w:val="00AF742C"/>
    <w:rsid w:val="00EF0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10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0144D"/>
    <w:rPr>
      <w:sz w:val="18"/>
      <w:szCs w:val="18"/>
    </w:rPr>
  </w:style>
  <w:style w:type="paragraph" w:styleId="a5">
    <w:name w:val="footer"/>
    <w:basedOn w:val="a"/>
    <w:link w:val="Char0"/>
    <w:uiPriority w:val="99"/>
    <w:semiHidden/>
    <w:unhideWhenUsed/>
    <w:rsid w:val="001014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014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2023-11-07T01:50:00Z</dcterms:created>
  <dcterms:modified xsi:type="dcterms:W3CDTF">2023-11-07T02:10:00Z</dcterms:modified>
</cp:coreProperties>
</file>