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1</w:t>
      </w:r>
      <w:r>
        <w:rPr>
          <w:rFonts w:hint="eastAsia" w:eastAsia="方正黑体_GBK" w:cs="Times New Roman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jc w:val="center"/>
        <w:textAlignment w:val="center"/>
        <w:rPr>
          <w:rFonts w:eastAsia="方正小标宋_GBK"/>
          <w:sz w:val="44"/>
        </w:rPr>
      </w:pPr>
      <w:r>
        <w:rPr>
          <w:rFonts w:hint="eastAsia" w:eastAsia="方正小标宋_GBK"/>
          <w:sz w:val="44"/>
        </w:rPr>
        <w:t>江阴市医师定期考核提前考核申请表</w:t>
      </w:r>
    </w:p>
    <w:tbl>
      <w:tblPr>
        <w:tblStyle w:val="4"/>
        <w:tblW w:w="541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985"/>
        <w:gridCol w:w="2719"/>
        <w:gridCol w:w="3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息</w:t>
            </w: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姓名：         性别：        年龄：         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科室：         专业：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医师资格证书号码：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医师执业证书号码：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执业注册所在医疗机构名称：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已考核周期：          年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提前考核周期：        年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restart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是否具有简易程序考核条件：      是   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简易程序理由：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提前考核理由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 xml:space="preserve">                                        申请人（签名）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restart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考核意见</w:t>
            </w:r>
          </w:p>
        </w:tc>
        <w:tc>
          <w:tcPr>
            <w:tcW w:w="10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工作成绩</w:t>
            </w:r>
          </w:p>
        </w:tc>
        <w:tc>
          <w:tcPr>
            <w:tcW w:w="14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□合格  □不合格</w:t>
            </w:r>
          </w:p>
        </w:tc>
        <w:tc>
          <w:tcPr>
            <w:tcW w:w="2098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楷体_GBK" w:cs="黑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医师执业机构（公章）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10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职业道德</w:t>
            </w:r>
          </w:p>
        </w:tc>
        <w:tc>
          <w:tcPr>
            <w:tcW w:w="14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□合格  □不合格</w:t>
            </w:r>
          </w:p>
        </w:tc>
        <w:tc>
          <w:tcPr>
            <w:tcW w:w="2098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40" w:type="pct"/>
            <w:vMerge w:val="continue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楷体_GBK" w:cs="黑体"/>
                <w:color w:val="000000"/>
                <w:sz w:val="24"/>
              </w:rPr>
            </w:pPr>
          </w:p>
        </w:tc>
        <w:tc>
          <w:tcPr>
            <w:tcW w:w="10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业务水平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（一般程序填写）</w:t>
            </w:r>
          </w:p>
        </w:tc>
        <w:tc>
          <w:tcPr>
            <w:tcW w:w="3579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综合笔试    分          实践技能    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论文        分          科研        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带教        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综合结果： □合格    □不合格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 xml:space="preserve">                                       考核机构（公章）</w:t>
            </w:r>
          </w:p>
          <w:p>
            <w:pPr>
              <w:widowControl/>
              <w:spacing w:line="300" w:lineRule="exact"/>
              <w:ind w:right="253" w:rightChars="84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4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果</w:t>
            </w: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对工作成绩和职业道德的复核意见：□同意    □不同意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考核结论： □合格    □不合格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 xml:space="preserve">                                                       考核机构（公章）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34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楷体_GBK" w:cs="黑体"/>
                <w:color w:val="000000"/>
                <w:sz w:val="24"/>
              </w:rPr>
            </w:pPr>
            <w:r>
              <w:rPr>
                <w:rFonts w:hint="eastAsia" w:eastAsia="方正楷体_GBK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660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楷体_GBK" w:cs="黑体"/>
                <w:color w:val="00000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2041" w:right="1588" w:bottom="1418" w:left="1871" w:header="851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yMDFkYTA1OWQ4ZjNlZDhhOWRlMzZjZWE4Yzc4MzgifQ=="/>
  </w:docVars>
  <w:rsids>
    <w:rsidRoot w:val="00C33E87"/>
    <w:rsid w:val="00350856"/>
    <w:rsid w:val="00C33E87"/>
    <w:rsid w:val="43CE6A96"/>
    <w:rsid w:val="4B2E7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278</Words>
  <Characters>477</Characters>
  <Lines>3</Lines>
  <Paragraphs>1</Paragraphs>
  <TotalTime>0</TotalTime>
  <ScaleCrop>false</ScaleCrop>
  <LinksUpToDate>false</LinksUpToDate>
  <CharactersWithSpaces>754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2023-10-31T08:02:00Z</dcterms:created>
  <dc:creator>Administrator</dc:creator>
  <cp:lastModifiedBy>竹沌</cp:lastModifiedBy>
  <dcterms:modified xsi:type="dcterms:W3CDTF">2023-11-02T04:35:18Z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240AD19425E14C82AF96C508975E1E26_12</vt:lpwstr>
  </property>
</Properties>
</file>