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江阴市市场监督管理局</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eastAsia="黑体" w:cs="黑体"/>
        </w:rPr>
        <w:t>部门决算表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eastAsia="黑体" w:cs="黑体"/>
        </w:rPr>
        <w:t>部门决算情况说明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负责市场综合监督管理。贯彻执行国家有关市场监督管理的方针政策和法律法规，拟订市场监督管理有关规范性文件。组织实施知识产权战略、质量强市战略、食品安全战略和标准化战略，拟订并组织实施有关规划，规范和维护市场秩序，营造诚实守信、公平竞争的市场环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（二）负责参与反垄断统一执法工作。统筹推进竞争政策实施，组织指导实施公平竞争审查制度。依据授权参与本市和指定区域的反垄断执法工作。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监督管理市场秩序。依法监督管理市场交易、网络商品交易及有关服务的行为。组织指导查处价格收费违法违规、不正当竞争、违法直销、传销、侵犯商标专利知识产权和制售假冒伪劣行为。指导广告业发展，监督管理广告活动。组织指导查处无照生产经营和相关无证生产经营行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宏观质量管理。拟订实施全市质量发展的制度措施。组织实施质量奖励制度，推进品牌发展战略。按照权限会同有关部门组织实施重大工程设备质量监理、服务质量监测、重大质量事故调查制度。根据上级有关规定要求组织实施缺陷产品召回制度，监督管理产品防伪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（五）负责产品质量安全监督管理。负责组织全市生产、流通领域产品质量监督检查工作。组织实施质量分级、质量安全追溯制度。实施工业产品生产许可管理。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特种设备安全监督管理。综合管理特种设备安全监察、监督工作，监督检查高耗能特种设备节能标准和锅炉环境保护标准执行情况。按规定权限组织调查特种设备事故。组织开展特种设备安全宣传教育。</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负责食品安全监督管理。负责食品安全监督管理的综合协调，组织实施食品安全战略，组织制定并实施全市食品安全重大政策，建立健全食品安全重要信息直报制度。建立并组织实施覆盖食品生产、流通、消费全过程的监督检查制度和隐患排查治理机制，防范区域性、系统性食品安全风险。推动建立食品生产经营者主体责任落实机制，健全食品安全追溯体系。组织开展食品安全监督抽检、风险监测、核查处置和风险预警、风险交流工作。负责食品安全应急体系建设，组织指导食品安全事件应急处置工作。组织实施和监督管理食品生产经营企业许可、特殊食品备案工作。推动落实食品安全工作责任制。承担市食品安全委员会办公室的日常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（八）负责统一管理全市计量工作。贯彻实施国家计量制度，推行法定计量单位，管理计量器具及量值传递和比对工作，负责规范、监督商品量和市场计量行为。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（九）负责统一管理全市标准化工作。组织制定并实施全市标准化战略和规划，组织实施标准以及对标准制定、实施进行监督。推动参与国际标准化活动。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（十）负责统一管理全市检验检测工作。推进全市检验检测体系发展，完善全市检验检测体系。规范检验检测市场，指导协调全市检验检测行业发展。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负责统一管理全市认证认可工作。组织实施国家统一的认证认可和合格评定监督管理制度，落实认证认可工作规划，指导和监督检查全市产品认证、体系认证、服务认证工作。指导促进全市认证行业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药品、医疗器械和化妆品的质量管理。组织实施药品零售、使用，医疗器械经营、使用，化妆品经营的行政监督和技术监督工作。组织开展监管对象药品、化妆品不良反应和医疗器械不良事件监测；建立健全药品安全应急体系；配合有关部门实施国家基本药物制度。</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负责统筹协调全市知识产权工作，落实国家、省市知识产权战略，拟订并组织实施我市知识产权战略和知识产权强市建设规划、计划；指导、协调重要经济科技活动知识产权评议；贯彻执行商标、专利、地理标志等知识产权保护制度；促进知识产权创造和运用；统筹推进知识产权公共服务体系建设；开展知识产权宣传、培训工作，推动知识产权人才队伍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负责法律、法规规定由市场监督管理部门承担的市场主体登记注册以及各类行政许可工作。建立市场主体信息公示和共享机制，依法公示和共享有关信息。加强信用监管，推动市场主体信用体系建设。按规定承担技术性贸易措施有关工作。负责全市市场监督管理系统科技和信息化建设、应急和新闻宣传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负责组织和指导市场监管综合执法工作，加强市场监管综合执法队伍建设。组织查处违反市场监督管理法律、法规、规章的行为。贯彻落实市综合行政执法体制改革相关工作任务，依据划转职权依法履行知识产权、物价、文化、粮油、商务、旅游、盐务行政处罚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六）负责赋予镇街园区经济社会管理权限有关事项的法律法规宣传、政策制定、协调指导、业务培训等工作。牵头负责江苏政务服务网上有关赋权事项的动态调整和日常维护工作。承担公共安全体系建设的相关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（十七）完成市委、市政府交办的其他任务。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（十八）职能转变。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本部门无内设机构。本部门下属单位包括：江阴市市场监管综合行政执法大队、江阴市食品安全检测中心、江阴市市场监管综合服务中心。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4</w:t>
      </w:r>
      <w:r>
        <w:rPr>
          <w:rFonts w:hint="eastAsia" w:ascii="仿宋" w:hAnsi="仿宋" w:eastAsia="仿宋" w:cs="仿宋"/>
        </w:rPr>
        <w:t>家，具体包括：</w:t>
      </w:r>
      <w:r>
        <w:rPr>
          <w:rFonts w:ascii="仿宋" w:hAnsi="仿宋" w:eastAsia="仿宋" w:cs="仿宋"/>
        </w:rPr>
        <w:t>江阴市市场监督管理局（本级）、江阴市市场监管综合行政执法大队、江阴市食品安全检测中心、江阴市市场监管综合服务中心。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2022年，在市委、市政府和上级局的关心指导下，江阴市市场监督管理局围绕“稳增长、促发展、防风险、保稳定”主基调，以月度总结、双月评估、季度指导、协调调度和人事建议五项制度构建起双向互动、科学高效的干部管理体系，在新时代新征程中奋力展现市场监管新担当、新作为，获评江阴市“2022年一季度真抓实干奖”和“2022年三季度‘四争’先进集体”荣誉。蹄疾步稳，2022年工作取得扎实成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发展动能更加澎湃。新增1家江苏省省长质量奖，推出全省首个“质量贷”，建设共享实验室，“澄质汇”质量基础设施“一站式”服务项目通过全省首批试点验收。主导、参与完成79项国内外标准的制（修）订，获批三个省级标准化试点项目，获评1项省级标准创新贡献奖个人奖，标准化工作连续3年获市场监管总局领导批示。3家企业获第二十三届中国专利奖优秀奖，获评国家知识产权示范企业3家、优势企业2家。江阴知识产权工作连续3年获得全省督查激励，入选首批国家知识产权强县建设示范县，获批2022年江苏省知识产权保护示范区项目，高新区入选国家级专利导航基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安全防线更加坚固。组建“食安党建联盟”，推动全省首个多功能型“食安小屋”落成投运，发挥新业态新就业群体“暨阳红骑士”作用，为食安综合治理注入新能量。建成食品小作坊集中加工区5个、集中加工街区1个，全省食品小作坊整治提优工作总结交流会在江阴召开。开展药品经营和使用、医疗美容领域用药用械等各类专项检查，查办的“吴某等生产、销售汞含量严重超标苗皇后化妆品案”获央视每周质量报告栏目专题报道。开展特种设备安全大排查大整治百日行动，推动全市60万只液化石油气瓶和26万只工业气瓶实现扫码充装全覆盖。组织开展37个品种712个批次的市级专项监督抽查，全面排查产品质量安全隐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市场环境更加有序。发布《优化营商环境行动方案4.0版》，成立“稳经济增长、保市场主体”工作专班，持续推进市场监管大走访，累计走访市场主体1883家次，解决问题2528个。建成商业秘密保护示范点51家、维权联系点8家，揭牌成立“无锡市商业秘密保护基地”。开展民生领域案件查办“铁拳”行动，全年查办案件2331件，罚没款3478万元，省级以上督办案件2起，获评国家版权局2021年度查处重大侵权盗版案件有功单位。全面展示市场监管队伍新形象，在江阴电视台策划播放“市监进行时”专题节目29期，传播主旋律、弘扬正能量。</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江阴市市场监督管理局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江阴市市场监督管理局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22,007.41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15,847.25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1,502.72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221.95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416.07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3,949.52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69.90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22,007.41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22,007.41</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22,007.41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22,007.41</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22,007.41</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22,007.41</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15,847.25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15,847.25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知识产权事务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1,369.23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1,369.23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知识产权战略和规划</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848.50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其他知识产权事务支出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520.73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520.73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市场监督管理事务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14,478.02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14,478.02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9,984.84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9,984.84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质量基础</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药品事务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食品安全监管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2013850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975.41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975.41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其他市场监督管理事务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3,135.52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3,135.52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1,502.72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1,502.72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1,164.48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1,164.48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776.52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776.52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387.96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387.96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338.24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338.24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338.24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338.24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221.95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221.95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416.07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3,949.52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3,949.52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3,949.52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3,949.52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1,012.35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1,012.35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1,978.17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1,978.17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959.00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959.00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22,007.41</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16,412.48</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5,594.93</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15,847.25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10,960.24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4,887.00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知识产权事务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1,369.23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1,369.23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知识产权战略和规划</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其他知识产权事务支出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520.73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520.73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市场监督管理事务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14,478.02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10,960.24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3,517.78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9,984.84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9,984.84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质量基础</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药品事务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63.55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63.55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食品安全监管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2013850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975.41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975.41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其他市场监督管理事务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3,135.52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3,135.52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1,502.72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1,502.72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1,164.48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1,164.48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776.52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776.52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387.96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387.96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338.24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338.24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221.95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215.02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416.07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3,949.52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3,949.52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3,949.52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3,949.52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1,012.35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1,012.35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1,978.17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1,978.17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959.00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959.00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江阴市市场监督管理局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22,007.41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15,847.25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15,847.25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1,502.72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1,502.72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3,949.52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3,949.52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22,007.41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22,007.41</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22,007.41</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22,007.41</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22,007.41</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22,007.41</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22,007.41</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16,412.48</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5,594.93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15,847.25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10,960.24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知识产权事务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1,369.23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知识产权战略和规划</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其他知识产权事务支出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520.73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14,478.02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10,960.24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3,517.78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9,984.84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9,984.84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质量基础</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药品事务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食品安全监管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3,135.52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3,135.52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1,502.72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1,502.72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387.96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3,949.52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1,978.17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1,978.17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959.00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江阴市市场监督管理局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16,412.48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15,379.29</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14,402.08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14,402.08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1,633.24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5,476.12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5,476.12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2,836.69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2,836.69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22,007.41</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16,412.48</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5,594.93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15,847.25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10,960.24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知识产权事务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1,369.23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知识产权战略和规划</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其他知识产权事务支出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520.73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14,478.02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10,960.24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3,517.78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9,984.84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9,984.84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质量基础</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药品事务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食品安全监管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975.41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3,135.52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3,135.52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1,502.72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1,502.72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387.96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416.07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3,949.52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3,949.52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3,949.52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3,949.52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959.00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16,412.48</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15,379.29</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14,402.08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14,402.08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1,633.24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1,633.24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5,476.12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5,476.12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2,836.69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2,836.69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776.52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998.19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158.51</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153.14</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32.99</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120.15</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5.37</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4.20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156.01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150.64</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30.49</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120.15</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5.37</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4.20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1,082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827</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919.11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140.21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9.21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123.78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43.39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33.70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93.03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28.74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116.13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120.15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125.20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江阴市市场监督管理局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800.23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2022年度收入、支出决算总计22,007.41万元。与上年相比，收、支总计各减少1,830.92万元，减少7.68%。其中：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（一）收入决算总计22,007.41万元。包括：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22,007.41万元。与上年相比，减少1,830.92万元，减少7.68%，变动原因：人员变动及政策性调整导致人员经费减少；资金紧张，知识产权专项经费和品牌、质量、标准化专项资金仅部分拨付，导致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（二）支出决算总计22,007.41万元。包括：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22,007.41万元。与上年相比，减少1,830.92万元，减少7.68%，变动原因：人员变动及政策性调整导致人员经费减少；资金紧张，知识产权专项经费和品牌、质量、标准化专项资金仅部分拨付，导致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收入决算合计22,007.41万元，其中：财政拨款收入22,007.41万元，占100%；上级补助收入0万元，占0%；财政专户管理教育收费0万元，占0%；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2022年度本年支出决算合计22,007.41万元，其中：基本支出16,412.48万元，占74.58%；项目支出5,594.93万元，占25.42%；上缴上级支出0万元，占0%；经营支出0万元，占0%；对附属单位补助支出0万元，占0%。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收入、支出决算总计22,007.41万元。与上年相比，收、支总计各减少1,830.92万元，减少7.68%，变动原因：人员变动及政策性调整导致人员经费减少；资金紧张，知识产权专项经费和品牌、质量、标准化专项资金仅部分拨付，导致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2022年度财政拨款支出决算22,007.41万元，占本年支出合计的100%。与2022年度财政拨款支出年初预算23,733.7万元相比，完成年初预算的92.73%。其中：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知识产权事务（款）知识产权战略和规划（项）。年初预算0万元，支出决算848.5万元，（年初预算数为0万元，无法计算完成比率）决算数与年初预算数的差异原因：该项经费为上级拨款的知识产权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知识产权事务（款）其他知识产权事务支出（项）。年初预算1,162.5万元，支出决算520.73万元，完成年初预算的44.79%。决算数与年初预算数的差异原因：因资金紧张，知识产权专项奖补资金仅部分支付，其余下年度支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市场监督管理事务（款）行政运行（项）。年初预算12,101.03万元，支出决算9,984.84万元，完成年初预算的82.51%。决算数与年初预算数的差异原因：因资金紧张，知识产权专项经费和品牌、质量、标准化专项资金仅部分拨付，导致经费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4.市场监督管理事务（款）一般行政管理事务（项）。年初预算23万元，支出决算22.28万元，完成年初预算的96.87%。决算数与年初预算数的差异原因：该项电梯责任保险补贴按照实际申报台数支付。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市场监督管理事务（款）质量基础（项）。年初预算0万元，支出决算288.5万元，（年初预算数为0万元，无法计算完成比率）决算数与年初预算数的差异原因：该项资金为上级拨款的质量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市场监督管理事务（款）药品事务（项）。年初预算0万元，支出决算63.55万元，（年初预算数为0万元，无法计算完成比率）决算数与年初预算数的差异原因：该项资金为上级拨款的药品监管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市场监督管理事务（款）食品安全监管（项）。年初预算0万元，支出决算7.93万元，（年初预算数为0万元，无法计算完成比率）决算数与年初预算数的差异原因：该项资金为上级拨款的药品抽样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8.市场监督管理事务（款）事业运行（项）。年初预算1,131.27万元，支出决算975.41万元，完成年初预算的86.22%。决算数与年初预算数的差异原因：因疫情原因，导致零星检测和市场监管相关费用发生减少。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市场监督管理事务（款）其他市场监督管理事务（项）。年初预算3,525.04万元，支出决算3,135.52万元，完成年初预算的88.95%。决算数与年初预算数的差异原因：因资金紧张，品牌、质量、标准化专项资金未能拨付，导致经费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年初预算793.8万元，支出决算776.52万元，完成年初预算的97.82%。决算数与年初预算数的差异原因：人员退休和新录用导致人数变动及养老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年初预算396.9万元，支出决算387.96万元，完成年初预算的97.75%。决算数与年初预算数的差异原因：人员退休和新录用导致人数变动及职业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其他社会保障和就业支出（款）其他社会保障和就业支出（项）。年初预算349.91万元，支出决算338.24万元，完成年初预算的96.66%。决算数与年初预算数的差异原因：人员退休和新录用导致人数变动及其他社会保障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城乡社区环境卫生（款）城乡社区环境卫生（项）。年初预算0万元，支出决算6.93万元，（年初预算数为0万元，无法计算完成比率）决算数与年初预算数的差异原因：该项经费为年中拨付的文明创建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城乡社区支出（款）其他城乡社区支出（项）。年初预算216.9万元，支出决算215.02万元，完成年初预算的99.13%。决算数与年初预算数的差异原因：物业人员工资按照实际发生月份支付，其中人员变动及病假等导致人员费用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（四）商业服务业等支出（类）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商业服务业等支出（款）其他商业服务业等支出（项）。年初预算0万元，支出决算416.07万元，（年初预算数为0万元，无法计算完成比率）决算数与年初预算数的差异原因：该项资金为上级拨款的知识产权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1.住房改革支出（款）住房公积金（项）。年初预算1,050.19万元，支出决算1,012.35万元，完成年初预算的96.4%。决算数与年初预算数的差异原因：人员退休和新录用导致人数变动及公积金政策性调整。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2.住房改革支出（款）提租补贴（项）。年初预算2,020.68万元，支出决算1,978.17万元，完成年初预算的97.9%。决算数与年初预算数的差异原因：人员退休和新录用导致人数变动及政策性调整。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3.住房改革支出（款）购房补贴（项）。年初预算962.48万元，支出决算959万元，完成年初预算的99.64%。决算数与年初预算数的差异原因：人员退休和新录用导致人数变动及政策性调整。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支出（款）其他支出（项）。年初预算0万元，支出决算69.9万元，（年初预算数为0万元，无法计算完成比率）决算数与年初预算数的差异原因：该项资金为上级拨款的市场监管及技术能力建设专项资金，未纳入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2022年度财政拨款基本支出决算16,412.48万元，其中：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（一）人员经费15,379.29万元。</w:t>
      </w:r>
      <w:r>
        <w:rPr>
          <w:rFonts w:ascii="仿宋" w:hAnsi="仿宋" w:eastAsia="仿宋" w:cs="仿宋"/>
        </w:rPr>
        <w:t>主要包括：基本工资、津贴补贴、奖金、伙食补助费、绩效工资、机关事业单位基本养老保险缴费、职业年金缴费、职工基本医疗保险缴费、其他社会保障缴费、住房公积金、医疗费、其他工资福利支出、离休费、退休费、抚恤金、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（二）公用经费1,033.19万元。</w:t>
      </w:r>
      <w:r>
        <w:rPr>
          <w:rFonts w:ascii="仿宋" w:hAnsi="仿宋" w:eastAsia="仿宋" w:cs="仿宋"/>
        </w:rPr>
        <w:t>主要包括：办公费、印刷费、手续费、水费、电费、邮电费、物业管理费、差旅费、维修（护）费、会议费、培训费、公务接待费、被装购置费、劳务费、委托业务费、工会经费、福利费、公务用车运行维护费、其他交通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支出决算22,007.41万元。与上年相比，减少1,830.92万元，减少7.68%，变动原因：人员变动及政策性调整导致人员经费减少；资金紧张，知识产权专项经费和品牌、质量、标准化专项资金仅部分拨付，导致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2022年度一般公共预算财政拨款基本支出决算16,412.48万元，其中：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（一）人员经费15,379.29万元。</w:t>
      </w:r>
      <w:r>
        <w:rPr>
          <w:rFonts w:ascii="仿宋" w:hAnsi="仿宋" w:eastAsia="仿宋" w:cs="仿宋"/>
        </w:rPr>
        <w:t>主要包括：基本工资、津贴补贴、奖金、伙食补助费、绩效工资、机关事业单位基本养老保险缴费、职业年金缴费、职工基本医疗保险缴费、其他社会保障缴费、住房公积金、医疗费、其他工资福利支出、离休费、退休费、抚恤金、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（二）公用经费1,033.19万元。</w:t>
      </w:r>
      <w:r>
        <w:rPr>
          <w:rFonts w:ascii="仿宋" w:hAnsi="仿宋" w:eastAsia="仿宋" w:cs="仿宋"/>
        </w:rPr>
        <w:t>主要包括：办公费、印刷费、手续费、水费、电费、邮电费、物业管理费、差旅费、维修（护）费、会议费、培训费、公务接待费、被装购置费、劳务费、委托业务费、工会经费、福利费、公务用车运行维护费、其他交通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九、财政拨款“三公”经费、会议费和培训费支出情况说明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三公”经费支出决算156.01万元（其中：一般公共预算支出156.01万元；政府性基金预算支出0万元；国有资本经营预算支出0万元）。与上年相比，增加20.26万元，变动原因：公务用车运行维护费因汽油费上涨导致燃料费用增加。其中，因公出国（境）费支出0万元，占“三公”经费的0%；公务用车购置及运行维护费支出150.64万元，占“三公”经费的96.56%；公务接待费支出5.37万元，占“三公”经费的3.44%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153.14万元（其中：一般公共预算支出153.14万元；政府性基金预算支出0万元；国有资本经营预算支出0万元），支出决算150.64万元（其中：一般公共预算支出150.64万元；政府性基金预算支出0万元；国有资本经营预算支出0万元），完成调整后预算的98.37%，决算数与预算数的差异原因：公务用车购置按照实际发生费用予以支付。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（1）公务用车购置支出决算30.49万元。本年度使用财政拨款购置公务用车2辆，开支内容：购置公务用车2辆。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120.15万元。公务用车运行维护费主要用于按规定保留的公务用车的燃料费、维修费、过桥过路费、保险费、安全奖励费用等支出。截至2022年12月31日，使用财政拨款开支的公务用车保有量为62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5.37万元（其中：一般公共预算支出5.37万元；政府性基金预算支出0万元；国有资本经营预算支出0万元），支出决算5.37万元（其中：一般公共预算支出5.37万元；政府性基金预算支出0万元；国有资本经营预算支出0万元），完成调整后预算的100%，决算数与预算数相同。其中：国内公务接待支出5.37万元，接待96批次，1082人次，开支内容：接待上级局莅临指导工作、调研、检查餐费支出；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会议费支出预算1.4万元（其中：一般公共预算支出1.4万元；政府性基金预算支出0万元；国有资本经营预算支出0万元），支出决算1.4万元（其中：一般公共预算支出1.4万元；政府性基金预算支出0万元；国有资本经营预算支出0万元），完成调整后预算的100%，决算数与预算数相同。2022年度全年召开会议7个，参加会议3500人次，开支内容：会议场租费、资料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培训费支出预算4.2万元（其中：一般公共预算支出4.2万元；政府性基金预算支出0万元；国有资本经营预算支出0万元），支出决算4.2万元（其中：一般公共预算支出4.2万元；政府性基金预算支出0万元；国有资本经营预算支出0万元），完成调整后预算的100%，决算数与预算数相同。2022年度全年组织培训24个，组织培训827人次，开支内容：各业务条线开展的业务培训讲课费、培训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机关运行经费支出决算954.11万元（其中：一般公共预算支出954.11万元；政府性基金预算支出0万元；国有资本经营预算支出0万元）。与上年相比，减少422.75万元，减少30.7%，变动原因：人均经费减少且厉行节约，杜绝浪费，公用经费下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总额800.23万元，其中：政府采购货物支出59.23万元、政府采购工程支出0万元、政府采购服务支出741万元。政府采购授予中小企业合同金额0万元，占政府采购支出总额的0%，其中：授予小微企业合同金额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截至2022年12月31日，本部门共有车辆69辆，其中：副部</w:t>
      </w:r>
      <w:r>
        <w:rPr>
          <w:rFonts w:hint="eastAsia" w:ascii="仿宋" w:hAnsi="仿宋" w:eastAsia="仿宋" w:cs="仿宋"/>
          <w:lang w:eastAsia="zh-CN"/>
        </w:rPr>
        <w:t>（</w:t>
      </w:r>
      <w:r>
        <w:rPr>
          <w:rFonts w:ascii="仿宋" w:hAnsi="仿宋" w:eastAsia="仿宋" w:cs="仿宋"/>
        </w:rPr>
        <w:t>省</w:t>
      </w:r>
      <w:r>
        <w:rPr>
          <w:rFonts w:hint="eastAsia" w:ascii="仿宋" w:hAnsi="仿宋" w:eastAsia="仿宋" w:cs="仿宋"/>
          <w:lang w:eastAsia="zh-CN"/>
        </w:rPr>
        <w:t>）</w:t>
      </w:r>
      <w:r>
        <w:rPr>
          <w:rFonts w:ascii="仿宋" w:hAnsi="仿宋" w:eastAsia="仿宋" w:cs="仿宋"/>
        </w:rPr>
        <w:t>级及以上领导用车0辆、主要领导干部用车0辆、机要通信用车62辆、应急保障用车0辆、执法执勤用车0辆、特种专业技术用车5辆、离退休干部用车0辆、其他用车2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2022年度，本部门共0个项目开展了财政重点绩效评价，涉及财政性资金合计0万元；本部门未开展部门整体支出财政重点绩效评价，涉及财政性资金0万元。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本部门共对上年度已实施完成的15个项目开展了绩效自评价，涉及财政性资金合计3,562.8万元；本部门共开展1项部门整体支出绩效自评价，涉及财政性资金合计19,975.29万元。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w:t>
      </w:r>
      <w:bookmarkStart w:id="0" w:name="_GoBack"/>
      <w:bookmarkEnd w:id="0"/>
      <w:r>
        <w:rPr>
          <w:rFonts w:hint="eastAsia" w:ascii="仿宋" w:hAnsi="仿宋" w:eastAsia="仿宋" w:cs="仿宋"/>
        </w:rPr>
        <w:t>“附属单位上缴收入”等以外的各项收入。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知识产权事务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知识产权战略和规划</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反映知识产权战略和规划的制定、实施、评估和统计监测等方面的支出。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知识产权事务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其他知识产权事务支出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反映除上述项目以外其他用于知识产权事务方面的支出。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行政运行</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一般行政管理事务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质量基础</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反映计量、标准、认证认可、检验检测等质量基础专项工作支出。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药品事务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反映用于药品（含中药、民族药）监督管理方面的支出。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食品安全监管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反映食品安全监管等专项工作支出。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事业运行</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市场监督管理事务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其他市场监督管理事务</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反映用于除上述项目以外其他市场监督管理事务方面的支出。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机关事业单位基本养老保险缴费支出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机关事业单位职业年金缴费支出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其他社会保障和就业支出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其他社会保障和就业支出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城乡社区环境卫生</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城乡社区环境卫生</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反映城乡社区道路清扫、垃圾清运与处理、公厕建设与维护、园林绿化等方面的支出。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三十二、城乡社区支出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其他城乡社区支出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其他城乡社区支出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三十三、商业服务业等支出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其他商业服务业等支出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其他商业服务业等支出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反映其他商业服务业等支出中除上述项目以外的其他支出。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提租补贴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购房补贴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反映按房改政策规定，行政事业单位向符合条件职工（含离退休人员）、军队</w:t>
      </w:r>
      <w:r>
        <w:rPr>
          <w:rFonts w:hint="eastAsia" w:ascii="仿宋" w:hAnsi="仿宋" w:eastAsia="仿宋" w:cs="仿宋"/>
          <w:lang w:eastAsia="zh-CN"/>
        </w:rPr>
        <w:t>（</w:t>
      </w:r>
      <w:r>
        <w:rPr>
          <w:rFonts w:hint="eastAsia" w:ascii="仿宋" w:hAnsi="仿宋" w:eastAsia="仿宋" w:cs="仿宋"/>
        </w:rPr>
        <w:t>含武警</w:t>
      </w:r>
      <w:r>
        <w:rPr>
          <w:rFonts w:hint="eastAsia" w:ascii="仿宋" w:hAnsi="仿宋" w:eastAsia="仿宋" w:cs="仿宋"/>
          <w:lang w:eastAsia="zh-CN"/>
        </w:rPr>
        <w:t>）</w:t>
      </w:r>
      <w:r>
        <w:rPr>
          <w:rFonts w:hint="eastAsia" w:ascii="仿宋" w:hAnsi="仿宋" w:eastAsia="仿宋" w:cs="仿宋"/>
        </w:rPr>
        <w:t>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三十七、其他支出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rPr>
        <w:t>：</w:t>
      </w:r>
      <w:r>
        <w:rPr>
          <w:rFonts w:hint="eastAsia" w:ascii="仿宋" w:hAnsi="仿宋" w:eastAsia="仿宋" w:cs="仿宋"/>
        </w:rPr>
        <w:t>反映除上述项目以外其他不能划分到具体功能科目中的支出项目。</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江阴市市场监督管理局</w:t>
    </w:r>
    <w:r>
      <w:t>2022年度部门决算公开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U5NWJlM2YyZWY2Y2Y5MTJlYTVlOWJkNmY3OGFmYz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56ACC"/>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半夏</cp:lastModifiedBy>
  <dcterms:modified xsi:type="dcterms:W3CDTF">2023-08-04T08:34:35Z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2052-12.1.0.15120</vt:lpwstr>
  </property>
  <property fmtid="{D5CDD505-2E9C-101B-9397-08002B2CF9AE}" pid="6" name="LastSaved">
    <vt:filetime>2021-04-15T00:00:00Z</vt:filetime>
  </property>
</Properties>
</file>