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ascii="宋体" w:hAnsi="宋体" w:eastAsia="宋体" w:cs="宋体"/>
                <w:b/>
                <w:sz w:val="52"/>
              </w:rPr>
              <w:t>2022年度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江阴市市场监督管理局（机关）</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单位决算公开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eastAsia="黑体" w:cs="黑体"/>
        </w:rPr>
        <w:t>单位决算表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eastAsia="黑体" w:cs="黑体"/>
        </w:rPr>
        <w:t>单位决算情况说明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负责市场综合监督管理。贯彻执行国家有关市场监督管理的方针政策和法律法规，拟订市场监督管理有关规范性文件。组织实施知识产权战略、质量强市战略、食品安全战略和标准化战略，拟订并组织实施有关规划，规范和维护市场秩序，营造诚实守信、公平竞争的市场环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（二）负责参与反垄断统一执法工作。统筹推进竞争政策实施，组织指导实施公平竞争审查制度。依据授权参与本市和指定区域的反垄断执法工作。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负责监督管理市场秩序。依法监督管理市场交易、网络商品交易及有关服务的行为。组织指导查处价格收费违法违规、不正当竞争、违法直销、传销、侵犯商标专利知识产权和制售假冒伪劣行为。指导广告业发展，监督管理广告活动。组织指导查处无照生产经营和相关无证生产经营行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负责宏观质量管理。拟订实施全市质量发展的制度措施。组织实施质量奖励制度，推进品牌发展战略。按照权限会同有关部门组织实施重大工程设备质量监理、服务质量监测、重大质量事故调查制度。根据上级有关规定要求组织实施缺陷产品召回制度，监督管理产品防伪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（五）负责产品质量安全监督管理。负责组织全市生产、流通领域产品质量监督检查工作。组织实施质量分级、质量安全追溯制度。实施工业产品生产许可管理。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负责特种设备安全监督管理。综合管理特种设备安全监察、监督工作，监督检查高耗能特种设备节能标准和锅炉环境保护标准执行情况。按规定权限组织调查特种设备事故。组织开展特种设备安全宣传教育。</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负责食品安全监督管理。负责食品安全监督管理的综合协调，组织实施食品安全战略，组织制定并实施全市食品安全重大政策，建立健全食品安全重要信息直报制度。建立并组织实施覆盖食品生产、流通、消费全过程的监督检查制度和隐患排查治理机制，防范区域性、系统性食品安全风险。推动建立食品生产经营者主体责任落实机制，健全食品安全追溯体系。组织开展食品安全监督抽检、风险监测、核查处置和风险预警、风险交流工作。负责食品安全应急体系建设，组织指导食品安全事件应急处置工作。组织实施和监督管理食品生产经营企业许可、特殊食品备案工作。推动落实食品安全工作责任制。承担市食品安全委员会办公室的日常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（八）负责统一管理全市计量工作。贯彻实施国家计量制度，推行法定计量单位，管理计量器具及量值传递和比对工作，负责规范、监督商品量和市场计量行为。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（九）负责统一管理全市标准化工作。组织制定并实施全市标准化战略和规划，组织实施标准以及对标准制定、实施进行监督。推动参与国际标准化活动。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（十）负责统一管理全市检验检测工作。推进全市检验检测体系发展，完善全市检验检测体系。规范检验检测市场，指导协调全市检验检测行业发展。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负责统一管理全市认证认可工作。组织实施国家统一的认证认可和合格评定监督管理制度，落实认证认可工作规划，指导和监督检查全市产品认证、体系认证、服务认证工作。指导促进全市认证行业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负责药品、医疗器械和化妆品的质量管理。组织实施药品零售、使用，医疗器械经营、使用，化妆品经营的行政监督和技术监督工作。组织开展监管对象药品、化妆品不良反应和医疗器械不良事件监测；建立健全药品安全应急体系；配合有关部门实施国家基本药物制度。</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负责统筹协调全市知识产权工作，落实国家、省市知识产权战略，拟订并组织实施我市知识产权战略和知识产权强市建设规划、计划；指导、协调重要经济科技活动知识产权评议；贯彻执行商标、专利、地理标志等知识产权保护制度；促进知识产权创造和运用；统筹推进知识产权公共服务体系建设；开展知识产权宣传、培训工作，推动知识产权人才队伍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负责法律、法规规定由市场监督管理部门承担的市场主体登记注册以及各类行政许可工作。建立市场主体信息公示和共享机制，依法公示和共享有关信息。加强信用监管，推动市场主体信用体系建设。按规定承担技术性贸易措施有关工作。负责全市市场监督管理系统科技和信息化建设、应急和新闻宣传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负责组织和指导市场监管综合执法工作，加强市场监管综合执法队伍建设。组织查处违反市场监督管理法律、法规、规章的行为。贯彻落实市综合行政执法体制改革相关工作任务，依据划转职权依法履行知识产权、物价、文化、粮油、商务、旅游、盐务行政处罚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六）负责赋予镇街园区经济社会管理权限有关事项的法律法规宣传、政策制定、协调指导、业务培训等工作。牵头负责江苏政务服务网上有关赋权事项的动态调整和日常维护工作。承担公共安全体系建设的相关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（十七）完成市委、市政府交办的其他任务。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（十八）职能转变。</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办公室、政策法规科、行政许可服务科、信用监督管理科、价格监督检查和反不正当竞争科、网络交易监督管理科、质量监督管理科、食品安全协调科、食品生产安全监督管理科（特殊食品安全监督管理科）、食品经营安全监督管理科、特种设备安全监察科、标准化和计量监督管理科、执法稽查科（投诉举报中心）、药品医疗器械监督管理科、知识产权科、安全生产监督管理科、财务科、组织人事科18个内设机构。本单位下属单位包括：江阴市市场监管综合行政执法大队、江阴市食品安全检测中心、江阴市市场监管综合服务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2022年，在市委、市政府和上级局的关心指导下，江阴市市场监督管理局围绕“稳增长、促发展、防风险、保稳定”主基调，以月度总结、双月评估、季度指导、协调调度和人事建议五项制度构建起双向互动、科学高效的干部管理体系，在新时代新征程中奋力展现市场监管新担当、新作为，获评江阴市“2022年一季度真抓实干奖”和“2022年三季度‘四争’先进集体”荣誉。蹄疾步稳，2022年工作取得扎实成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发展动能更加澎湃。新增1家江苏省省长质量奖，推出全省首个“质量贷”，建设共享实验室，“澄质汇”质量基础设施“一站式”服务项目通过全省首批试点验收。主导、参与完成79项国内外标准的制（修）订，获批三个省级标准化试点项目，获评1项省级标准创新贡献奖个人奖，标准化工作连续3年获市场监管总局领导批示。3家企业获第二十三届中国专利奖优秀奖，获评国家知识产权示范企业3家、优势企业2家。江阴知识产权工作连续3年获得全省督查激励，入选首批国家知识产权强县建设示范县，获批2022年江苏省知识产权保护示范区项目，高新区入选国家级专利导航基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安全防线更加坚固。组建“食安党建联盟”，推动全省首个多功能型“食安小屋”落成投运，发挥新业态新就业群体“暨阳红骑士”作用，为食安综合治理注入新能量。建成食品小作坊集中加工区5个、集中加工街区1个，全省食品小作坊整治提优工作总结交流会在江阴召开。开展药品经营和使用、医疗美容领域用药用械等各类专项检查，查办的“吴某等生产、销售汞含量严重超标苗皇后化妆品案”获央视每周质量报告栏目专题报道。开展特种设备安全大排查大整治百日行动，推动全市60万只液化石油气瓶和26万只工业气瓶实现扫码充装全覆盖。组织开展37个品种712个批次的市级专项监督抽查，全面排查产品质量安全隐患。</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市场环境更加有序。发布《优化营商环境行动方案4.0版》，成立“稳经济增长、保市场主体”工作专班，持续推进市场监管大走访，累计走访市场主体1883家次，解决问题2528个。建成商业秘密保护示范点51家、维权联系点8家，揭牌成立“无锡市商业秘密保护基地”。开展民生领域案件查办“铁拳”行动，全年查办案件2331件，罚没款3478万元，省级以上督办案件2起，获评国家版权局2021年度查处重大侵权盗版案件有功单位。全面展示市场监管队伍新形象，在江阴电视台策划播放“市监进行时”专题节目29期，传播主旋律、弘扬正能量。</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江阴市市场监督管理局（机关）</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color w:val="000000"/>
                <w:sz w:val="22"/>
                <w:szCs w:val="22"/>
                <w:lang w:eastAsia="ar-SA"/>
              </w:rPr>
              <w:t>江阴市市场监督管理局（机关）</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16,996.26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12,410.09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1,022.00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221.95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416.07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2,856.24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69.90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16,996.26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16,996.26</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16,996.26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16,996.26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江阴市市场监督管理局（机关）</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16,996.26</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16,996.26</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12,410.09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12,410.09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知识产权事务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1,369.23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1,369.23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2011405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知识产权战略和规划</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848.50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848.50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其他知识产权事务支出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520.73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520.73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市场监督管理事务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11,040.87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11,040.87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7,881.16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7,881.16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质量基础</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药品事务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食品安全监管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其他市场监督管理事务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2,777.45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2,777.45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791.21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791.21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527.67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527.67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263.54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263.54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230.79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230.79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230.79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230.79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221.95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221.95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城乡社区环境卫生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城乡社区环境卫生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2,856.24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2,856.24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2,856.24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2,856.24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693.06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693.06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1,574.28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1,574.28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588.90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588.90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江阴市市场监督管理局（机关）</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16,996.26</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11,759.40</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5,236.86</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12,410.09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7,881.16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4,528.93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知识产权事务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1,369.23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1,369.23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2011405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知识产权战略和规划</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2011499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其他知识产权事务支出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520.73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520.73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市场监督管理事务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11,040.87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7,881.16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3,159.71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7,881.16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7,881.16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质量基础</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药品事务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63.55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63.55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2013816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食品安全监管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其他市场监督管理事务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2,777.45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2,777.45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1,022.00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791.21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791.21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527.67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527.67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263.54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263.54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230.79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230.79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230.79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230.79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221.95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221.95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城乡社区环境卫生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城乡社区环境卫生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215.02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215.02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2,856.24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2,856.24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2,856.24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2,856.24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693.06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693.06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1,574.28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1,574.28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588.90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588.90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江阴市市场监督管理局（机关）</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16,996.26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12,410.09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2,856.24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2,856.24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16,996.26</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16,996.26</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16,996.26</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16,996.26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16,996.26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16,996.26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江阴市市场监督管理局（机关）</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16,996.26</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11,759.40</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5,236.86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7,881.16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4,528.93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知识产权事务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1,369.23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1,369.23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2011405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知识产权战略和规划</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其他知识产权事务支出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520.73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11,040.87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7,881.16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3,159.71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7,881.16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7,881.16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质量基础</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药品事务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食品安全监管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2,777.45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2,777.45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791.21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791.21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2,856.24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2,856.24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2,856.24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2,856.24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1,574.28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1,574.28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江阴市市场监督管理局（机关）</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11,759.40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11,000.98</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758.42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10,115.52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10,115.52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3,958.24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3,958.24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2,072.93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2,072.93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172.66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527.67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96.16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江阴市市场监督管理局（机关）</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16,996.26</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11,759.40</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5,236.86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12,410.09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7,881.16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4,528.93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知识产权事务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1,369.23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2011405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知识产权战略和规划</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其他知识产权事务支出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520.73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11,040.87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7,881.16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3,159.71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7,881.16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7,881.16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质量基础</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药品事务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食品安全监管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2,777.45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2,777.45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1,022.00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791.21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791.21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263.54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221.95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2,856.24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2,856.24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2,856.24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2,856.24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1,574.28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1,574.28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江阴市市场监督管理局（机关）</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11,759.40</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11,000.98</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758.42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10,115.52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10,115.52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3,958.24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3,958.24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2,072.93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2,072.93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172.66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527.67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96.16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江阴市市场监督管理局（机关）</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134.05</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129.15</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32.99</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96.16</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4.90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3.08</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131.55</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126.65</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30.49</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96.16</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4.90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3.08</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w:t>
            </w:r>
            <w:r>
              <w:rPr>
                <w:rFonts w:hint="eastAsia" w:ascii="仿宋" w:hAnsi="仿宋" w:eastAsia="仿宋" w:cs="仿宋"/>
                <w:lang w:eastAsia="zh-CN"/>
              </w:rPr>
              <w:t>（</w:t>
            </w:r>
            <w:r>
              <w:rPr>
                <w:rFonts w:hint="eastAsia" w:ascii="仿宋" w:hAnsi="仿宋" w:eastAsia="仿宋" w:cs="仿宋"/>
              </w:rPr>
              <w:t>辆</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w:t>
            </w:r>
            <w:r>
              <w:rPr>
                <w:rFonts w:hint="eastAsia" w:ascii="仿宋" w:hAnsi="仿宋" w:eastAsia="仿宋" w:cs="仿宋"/>
                <w:lang w:eastAsia="zh-CN"/>
              </w:rPr>
              <w:t>（</w:t>
            </w:r>
            <w:r>
              <w:rPr>
                <w:rFonts w:hint="eastAsia" w:ascii="仿宋" w:hAnsi="仿宋" w:eastAsia="仿宋" w:cs="仿宋"/>
              </w:rPr>
              <w:t>辆</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3,500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450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江阴市市场监督管理局（机关）</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江阴市市场监督管理局（机关）</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江阴市市场监督管理局（机关）</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758.42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729.62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81.18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7.89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114.42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40.71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3.11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32.32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91.92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4.90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17.82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7.79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54.66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96.16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121.49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28.80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28.80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江阴市市场监督管理局（机关）</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789.31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741.00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单位决算情况说明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2022年度收入、支出决算总计16,996.26万元。与上年相比，收、支总计各减少2,125.1万元，减少11.11%。其中：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（一）收入决算总计16,996.26万元。包括：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1.本年收入决算合计16,996.26万元。与上年相比，减少2,125.1万元，减少11.11%，变动原因：人员变动及人均经费减少，养老金、公积金等政策性调整；对企业的奖补减少。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（二）支出决算总计16,996.26万元。包括：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1.本年支出决算合计16,996.26万元。与上年相比，减少2,125.1万元，减少11.11%，变动原因：人员变动及人均经费减少，养老金、公积金等政策性调整；对企业的奖补减少。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收入决算合计16,996.26万元，其中：财政拨款收入16,996.26万元，占100%；上级补助收入0万元，占0%；财政专户管理教育收费0万元，占0%；事业收入（不含专户管理教育收费）0万元，占0%；经营收入0万元，占0%；附属单位上缴收入0万元，占0%；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2022年度本年支出决算合计16,996.26万元，其中：基本支出11,759.4万元，占69.19%；项目支出5,236.86万元，占30.81%；上缴上级支出0万元，占0%；经营支出0万元，占0%；对附属单位补助支出0万元，占0%。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2022年度财政拨款收入、支出决算总计16,996.26万元。与上年相比，收、支总计各减少2,125.1万元，减少11.11%，变动原因：人员变动及人均经费减少，养老金、公积金等政策性调整；对企业的奖补减少。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2022年度财政拨款支出决算16,996.26万元，占本年支出合计的100%。与2022年度财政拨款支出年初预算18,174.88万元相比，完成年初预算的93.52%。其中：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知识产权事务（款）知识产权战略和规划（项）。年初预算0万元，支出决算848.5万元，（年初预算数为0万元，无法计算完成比率）决算数与年初预算数的差异原因：该经费为上级拨付的知识产权专项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2.知识产权事务（款）其他知识产权事务支出（项）。年初预算1,162.5万元，支出决算520.73万元，完成年初预算的44.79%。决算数与年初预算数的差异原因：因资金紧张，本级财政仅拨付部分知识产权奖补资金。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市场监督管理事务（款）行政运行（项）。年初预算9,420.57万元，支出决算7,881.16万元，完成年初预算的83.66%。决算数与年初预算数的差异原因：因资金紧张，知识产权奖补和品牌、质量、标准化资金仅部分拨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4.市场监督管理事务（款）一般行政管理事务（项）。年初预算23万元，支出决算22.28万元，完成年初预算的96.87%。决算数与年初预算数的差异原因：该项电梯责任保险补贴已按实际申报数予以支付。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市场监督管理事务（款）质量基础（项）。年初预算0万元，支出决算288.5万元，（年初预算数为0万元，无法计算完成比率）决算数与年初预算数的差异原因：该经费为上级拨付的质量专项奖补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6.市场监督管理事务（款）药品事务（项）。年初预算0万元，支出决算63.55万元，（年初预算数为0万元，无法计算完成比率）决算数与年初预算数的差异原因：该经费为上级拨付药品专项资金，未纳入年初预算。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市场监督管理事务（款）食品安全监管（项）。年初预算0万元，支出决算7.93万元，（年初预算数为0万元，无法计算完成比率）决算数与年初预算数的差异原因：该经费为上级拨付药品抽样经费，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市场监督管理事务（款）其他市场监督管理事务（项）。年初预算3,360.24万元，支出决算2,777.45万元，完成年初预算的82.66%。决算数与年初预算数的差异原因：因资金紧张，品牌、质量、标准化资金未能当年拨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年初预算540.24万元，支出决算527.67万元，完成年初预算的97.67%。决算数与年初预算数的差异原因：人员退休和新录用导致人数变动；养老金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年初预算270.12万元，支出决算263.54万元，完成年初预算的97.56%。决算数与年初预算数的差异原因：人员退休和新录用导致人数变动；职业年金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其他社会保障和就业支出（款）其他社会保障和就业支出（项）。年初预算236.98万元，支出决算230.79万元，完成年初预算的97.39%。决算数与年初预算数的差异原因：人员退休和新录用导致人数变动；其他社会保障金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城乡社区环境卫生（款）城乡社区环境卫生（项）。年初预算0万元，支出决算6.93万元，（年初预算数为0万元，无法计算完成比率）决算数与年初预算数的差异原因：年中拨付的文明创建经费，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其他城乡社区支出（款）其他城乡社区支出（项）。年初预算216.9万元，支出决算215.02万元，完成年初预算的99.13%。决算数与年初预算数的差异原因：物业人员工资按照实际工作月份发放，年中存在人员更换或病假等因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（四）商业服务业等支出（类）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商业服务业等支出（款）其他商业服务业等支出（项）。年初预算0万元，支出决算416.07万元，（年初预算数为0万元，无法计算完成比率）决算数与年初预算数的差异原因：该经费为上级拨付的知识产权专项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1.住房改革支出（款）住房公积金（项）。年初预算721.41万元，支出决算693.06万元，完成年初预算的96.07%。决算数与年初预算数的差异原因：人员退休和新录用导致人数变动；公积金政策性调整。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2.住房改革支出（款）提租补贴（项）。年初预算1,626.88万元，支出决算1,574.28万元，完成年初预算的96.77%。决算数与年初预算数的差异原因：人员退休和新录用导致人数变动及政策性调整。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3.住房改革支出（款）购房补贴（项）。年初预算596.04万元，支出决算588.9万元，完成年初预算的98.8%。决算数与年初预算数的差异原因：人员退休和新录用导致人数变动及政策性调整。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（六）其他支出（类）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支出（款）其他支出（项）。年初预算0万元，支出决算69.9万元，（年初预算数为0万元，无法计算完成比率）决算数与年初预算数的差异原因：该经费为上级拨付的市场监管及技术能力建设专项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2022年度财政拨款基本支出决算11,759.4万元，其中：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（一）人员经费11,000.98万元。</w:t>
      </w:r>
      <w:r>
        <w:rPr>
          <w:rFonts w:ascii="仿宋" w:hAnsi="仿宋" w:eastAsia="仿宋" w:cs="仿宋"/>
        </w:rPr>
        <w:t>主要包括：基本工资、津贴补贴、奖金、伙食补助费、机关事业单位基本养老保险缴费、职业年金缴费、职工基本医疗保险缴费、其他社会保障缴费、住房公积金、医疗费、其他工资福利支出、离休费、退休费、抚恤金、生活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（二）公用经费758.42万元。</w:t>
      </w:r>
      <w:r>
        <w:rPr>
          <w:rFonts w:ascii="仿宋" w:hAnsi="仿宋" w:eastAsia="仿宋" w:cs="仿宋"/>
        </w:rPr>
        <w:t>主要包括：办公费、印刷费、水费、电费、邮电费、物业管理费、差旅费、维修（护）费、会议费、培训费、公务接待费、被装购置费、劳务费、委托业务费、工会经费、公务用车运行维护费、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2022年度一般公共预算财政拨款支出决算16,996.26万元。与上年相比，减少2,125.1万元，减少11.11%，变动原因：人员变动及人均经费减少，养老金、公积金等政策性调整；对企业的奖补减少。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2022年度一般公共预算财政拨款基本支出决算11,759.4万元，其中：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（一）人员经费11,000.98万元。</w:t>
      </w:r>
      <w:r>
        <w:rPr>
          <w:rFonts w:ascii="仿宋" w:hAnsi="仿宋" w:eastAsia="仿宋" w:cs="仿宋"/>
        </w:rPr>
        <w:t>主要包括：基本工资、津贴补贴、奖金、伙食补助费、机关事业单位基本养老保险缴费、职业年金缴费、职工基本医疗保险缴费、其他社会保障缴费、住房公积金、医疗费、其他工资福利支出、离休费、退休费、抚恤金、生活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（二）公用经费758.42万元。</w:t>
      </w:r>
      <w:r>
        <w:rPr>
          <w:rFonts w:ascii="仿宋" w:hAnsi="仿宋" w:eastAsia="仿宋" w:cs="仿宋"/>
        </w:rPr>
        <w:t>主要包括：办公费、印刷费、水费、电费、邮电费、物业管理费、差旅费、维修（护）费、会议费、培训费、公务接待费、被装购置费、劳务费、委托业务费、工会经费、公务用车运行维护费、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九、财政拨款“三公”经费、会议费和培训费支出情况说明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（一）财政拨款“三公”经费支出总体情况说明。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三公”经费支出决算131.55万元（其中：一般公共预算支出131.55万元；政府性基金预算支出0万元；国有资本经营预算支出0万元）。与上年相比，增加23.88万元，变动原因：公务用车运行维护费因汽油费上涨导致增加。其中，因公出国（境）费支出0万元，占“三公”经费的0%；公务用车购置及运行维护费支出126.65万元，占“三公”经费的96.28%；公务接待费支出4.9万元，占“三公”经费的3.72%。</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（二）财政拨款“三公”经费支出具体情况说明。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129.15万元（其中：一般公共预算支出129.15万元；政府性基金预算支出0万元；国有资本经营预算支出0万元），支出决算126.65万元（其中：一般公共预算支出126.65万元；政府性基金预算支出0万元；国有资本经营预算支出0万元），完成调整后预算的98.06%，决算数与预算数的差异原因：公车购置按照实际发生的购置费用报销。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（1）公务用车购置支出决算30.49万元。本年度使用财政拨款购置公务用车2辆，开支内容：购置公务用车2辆。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96.16万元。公务用车运行维护费主要用于按规定保留的公务用车的燃料费、维修费、过桥过路费、保险费、安全奖励费用等支出。截至2022年12月31日，使用财政拨款开支的公务用车保有量为41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4.9万元（其中：一般公共预算支出4.9万元；政府性基金预算支出0万元；国有资本经营预算支出0万元），支出决算4.9万元（其中：一般公共预算支出4.9万元；政府性基金预算支出0万元；国有资本经营预算支出0万元），完成调整后预算的100%，决算数与预算数相同。其中：国内公务接待支出4.9万元，接待90批次，1000人次，开支内容：接待上级局指导工作、调研及检查产生的餐费；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（三）财政拨款会议费支出决算情况说明。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会议费支出预算1.4万元（其中：一般公共预算支出1.4万元；政府性基金预算支出0万元；国有资本经营预算支出0万元），支出决算1.4万元（其中：一般公共预算支出1.4万元；政府性基金预算支出0万元；国有资本经营预算支出0万元），完成调整后预算的100%，决算数与预算数相同。2022年度全年召开会议7个，参加会议3500人次，开支内容：会议场租费、讲课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培训费支出预算3.08万元（其中：一般公共预算支出3.08万元；政府性基金预算支出0万元；国有资本经营预算支出0万元），支出决算3.08万元（其中：一般公共预算支出3.08万元；政府性基金预算支出0万元；国有资本经营预算支出0万元），完成调整后预算的100%，决算数与预算数相同。2022年度全年组织培训4个，组织培训450人次，开支内容：各业务条线培训产生的培训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2022年度政府性基金预算财政拨款支出决算0万元。与上年决算数相同。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十二、财政拨款机关运行经费支出决算情况说明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机关运行经费支出决算758.42万元（其中：一般公共预算支出758.42万元；政府性基金预算支出0万元；国有资本经营预算支出0万元）。与上年相比，减少317.23万元，减少29.49%，变动原因：人均公用经费减少及机关要求大家厉行节约，杜绝浪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总额789.31万元，其中：政府采购货物支出48.31万元、政府采购工程支出0万元、政府采购服务支出741万元。政府采购授予中小企业合同金额0万元，占政府采购支出总额的0%，其中：授予小微企业合同金额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截至2022年12月31日，本单位共有车辆41辆，其中：副部</w:t>
      </w:r>
      <w:r>
        <w:rPr>
          <w:rFonts w:hint="eastAsia" w:ascii="仿宋" w:hAnsi="仿宋" w:eastAsia="仿宋" w:cs="仿宋"/>
          <w:lang w:eastAsia="zh-CN"/>
        </w:rPr>
        <w:t>（</w:t>
      </w:r>
      <w:r>
        <w:rPr>
          <w:rFonts w:ascii="仿宋" w:hAnsi="仿宋" w:eastAsia="仿宋" w:cs="仿宋"/>
        </w:rPr>
        <w:t>省</w:t>
      </w:r>
      <w:r>
        <w:rPr>
          <w:rFonts w:hint="eastAsia" w:ascii="仿宋" w:hAnsi="仿宋" w:eastAsia="仿宋" w:cs="仿宋"/>
          <w:lang w:eastAsia="zh-CN"/>
        </w:rPr>
        <w:t>）</w:t>
      </w:r>
      <w:r>
        <w:rPr>
          <w:rFonts w:ascii="仿宋" w:hAnsi="仿宋" w:eastAsia="仿宋" w:cs="仿宋"/>
        </w:rPr>
        <w:t>级及以上领导用车0辆、主要领导干部用车0辆、机要通信用车41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2022年度，本单位共0个项目开展了财政重点绩效评价，涉及财政性资金合计0万元；本单位未开展单位整体支出财政重点绩效评价，涉及财政性资金0万元。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本单位共对上年度已实施完成的12个项目开展了绩效自评价，涉及财政性资金合计3,399.4万元；本单位共开展1项单位整体支出绩效自评价，涉及财政性资金合计15,158.8万元。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w:t>
      </w:r>
      <w:bookmarkStart w:id="0" w:name="_GoBack"/>
      <w:bookmarkEnd w:id="0"/>
      <w:r>
        <w:rPr>
          <w:rFonts w:hint="eastAsia" w:ascii="仿宋" w:hAnsi="仿宋" w:eastAsia="仿宋" w:cs="仿宋"/>
        </w:rPr>
        <w:t>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知识产权事务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知识产权战略和规划</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反映知识产权战略和规划的制定、实施、评估和统计监测等方面的支出。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知识产权事务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其他知识产权事务支出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反映除上述项目以外其他用于知识产权事务方面的支出。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行政运行</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一般行政管理事务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质量基础</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反映计量、标准、认证认可、检验检测等质量基础专项工作支出。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药品事务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反映用于药品（含中药、民族药）监督管理方面的支出。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食品安全监管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反映食品安全监管等专项工作支出。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其他市场监督管理事务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反映用于除上述项目以外其他市场监督管理事务方面的支出。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机关事业单位基本养老保险缴费支出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机关事业单位职业年金缴费支出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其他社会保障和就业支出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其他社会保障和就业支出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城乡社区环境卫生</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城乡社区环境卫生</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反映城乡社区道路清扫、垃圾清运与处理、公厕建设与维护、园林绿化等方面的支出。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其他城乡社区支出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其他城乡社区支出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三十二、商业服务业等支出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其他商业服务业等支出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其他商业服务业等支出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反映其他商业服务业等支出中除上述项目以外的其他支出。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住房公积金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提租补贴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购房补贴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反映按房改政策规定，行政事业单位向符合条件职工（含离退休人员）、军队</w:t>
      </w:r>
      <w:r>
        <w:rPr>
          <w:rFonts w:hint="eastAsia" w:ascii="仿宋" w:hAnsi="仿宋" w:eastAsia="仿宋" w:cs="仿宋"/>
          <w:lang w:eastAsia="zh-CN"/>
        </w:rPr>
        <w:t>（</w:t>
      </w:r>
      <w:r>
        <w:rPr>
          <w:rFonts w:hint="eastAsia" w:ascii="仿宋" w:hAnsi="仿宋" w:eastAsia="仿宋" w:cs="仿宋"/>
        </w:rPr>
        <w:t>含武警</w:t>
      </w:r>
      <w:r>
        <w:rPr>
          <w:rFonts w:hint="eastAsia" w:ascii="仿宋" w:hAnsi="仿宋" w:eastAsia="仿宋" w:cs="仿宋"/>
          <w:lang w:eastAsia="zh-CN"/>
        </w:rPr>
        <w:t>）</w:t>
      </w:r>
      <w:r>
        <w:rPr>
          <w:rFonts w:hint="eastAsia" w:ascii="仿宋" w:hAnsi="仿宋" w:eastAsia="仿宋" w:cs="仿宋"/>
        </w:rPr>
        <w:t>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三十六、其他支出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反映除上述项目以外其他不能划分到具体功能科目中的支出项目。</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江阴市市场监督管理局（机关）</w:t>
    </w:r>
    <w:r>
      <w:t>2022年度单位决算公开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U5NWJlM2YyZWY2Y2Y5MTJlYTVlOWJkNmY3OGFmYz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5836C6"/>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半夏</cp:lastModifiedBy>
  <dcterms:modified xsi:type="dcterms:W3CDTF">2023-08-04T08:31:50Z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2052-12.1.0.15120</vt:lpwstr>
  </property>
  <property fmtid="{D5CDD505-2E9C-101B-9397-08002B2CF9AE}" pid="6" name="LastSaved">
    <vt:filetime>2021-04-15T00:00:00Z</vt:filetime>
  </property>
</Properties>
</file>