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360" w:lineRule="auto"/>
        <w:rPr>
          <w:rFonts w:hint="eastAsia" w:ascii="方正黑体_GBK" w:eastAsia="方正黑体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2022年度企业总收入汇总表</w:t>
      </w:r>
    </w:p>
    <w:p>
      <w:pPr>
        <w:rPr>
          <w:rFonts w:eastAsia="仿宋"/>
          <w:sz w:val="24"/>
        </w:rPr>
      </w:pPr>
    </w:p>
    <w:p>
      <w:pPr>
        <w:rPr>
          <w:rFonts w:eastAsia="仿宋"/>
          <w:sz w:val="24"/>
        </w:rPr>
      </w:pPr>
    </w:p>
    <w:p>
      <w:pPr>
        <w:ind w:left="6080" w:hanging="6080" w:hangingChars="1900"/>
        <w:rPr>
          <w:rFonts w:hint="eastAsia"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单位名称（加盖公章）：              </w:t>
      </w:r>
      <w:r>
        <w:rPr>
          <w:rFonts w:ascii="方正楷体_GBK" w:eastAsia="方正楷体_GBK"/>
          <w:sz w:val="32"/>
          <w:szCs w:val="32"/>
        </w:rPr>
        <w:t xml:space="preserve">    </w:t>
      </w:r>
      <w:r>
        <w:rPr>
          <w:rFonts w:hint="eastAsia" w:ascii="方正楷体_GBK" w:eastAsia="方正楷体_GBK"/>
          <w:sz w:val="32"/>
          <w:szCs w:val="32"/>
        </w:rPr>
        <w:t xml:space="preserve">  金额单位：万元</w:t>
      </w:r>
    </w:p>
    <w:tbl>
      <w:tblPr>
        <w:tblStyle w:val="2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 w:val="32"/>
                <w:szCs w:val="32"/>
              </w:rPr>
            </w:pPr>
            <w:r>
              <w:rPr>
                <w:rFonts w:eastAsia="楷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"/>
                <w:kern w:val="0"/>
                <w:sz w:val="32"/>
                <w:szCs w:val="32"/>
              </w:rPr>
            </w:pPr>
            <w:r>
              <w:rPr>
                <w:rFonts w:eastAsia="楷体"/>
                <w:kern w:val="0"/>
                <w:sz w:val="32"/>
                <w:szCs w:val="32"/>
              </w:rPr>
              <w:t>企业申报数据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收入总额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不征税收入</w:t>
            </w: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57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当年总收入（=收入总额-不征税收入）</w:t>
            </w:r>
          </w:p>
        </w:tc>
        <w:tc>
          <w:tcPr>
            <w:tcW w:w="14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技术先进型服务业务收入总额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离岸服务外包业务收入总额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技术先进型服务业务收入总额占当年总收入的比例（%）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离岸服务外包业务收入总额占当年总收入的比例（%）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方正仿宋_GBK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rPr>
          <w:rFonts w:eastAsia="仿宋"/>
          <w:sz w:val="24"/>
        </w:rPr>
      </w:pPr>
    </w:p>
    <w:p>
      <w:pPr>
        <w:spacing w:line="590" w:lineRule="exact"/>
        <w:ind w:left="-2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填报说明：“收入总额”与“不征税收入”按照《中华人民共和国企业所得税法》及《中华人民共和国企业所得税法实施条例》的规定计算。</w:t>
      </w:r>
    </w:p>
    <w:p>
      <w:pPr>
        <w:rPr>
          <w:rFonts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DJiYThiYjY2YjFlNTJkMDA4YjdmMmNmOTcyZTcifQ=="/>
  </w:docVars>
  <w:rsids>
    <w:rsidRoot w:val="00000000"/>
    <w:rsid w:val="4749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2023-07-18T06:57:10Z</dcterms:created>
  <dc:creator>Administrator.BF-20230614FJLR</dc:creator>
  <cp:lastModifiedBy>_cherry</cp:lastModifiedBy>
  <dcterms:modified xsi:type="dcterms:W3CDTF">2023-07-18T06:57:24Z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F687B73BEF02465FBF39B34945B21825_12</vt:lpwstr>
  </property>
</Properties>
</file>