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10082"/>
      </w:tblGrid>
      <w:tr w:rsidR="001A3225">
        <w:trPr>
          <w:trHeight w:val="1548"/>
        </w:trPr>
        <w:tc>
          <w:tcPr>
            <w:tcW w:w="10402" w:type="dxa"/>
            <w:tcBorders>
              <w:top w:val="nil"/>
              <w:left w:val="nil"/>
              <w:bottom w:val="nil"/>
              <w:right w:val="nil"/>
            </w:tcBorders>
          </w:tcPr>
          <w:p w:rsidR="001A3225" w:rsidRDefault="001A3225">
            <w:pPr>
              <w:pStyle w:val="a4"/>
              <w:spacing w:line="550" w:lineRule="exact"/>
              <w:rPr>
                <w:rFonts w:ascii="仿宋" w:eastAsia="仿宋" w:hAnsi="仿宋" w:cs="仿宋"/>
                <w:b/>
                <w:bCs/>
                <w:color w:val="FF0000"/>
                <w:sz w:val="22"/>
                <w:szCs w:val="22"/>
              </w:rPr>
            </w:pPr>
          </w:p>
        </w:tc>
      </w:tr>
      <w:tr w:rsidR="001A3225">
        <w:trPr>
          <w:trHeight w:val="4945"/>
        </w:trPr>
        <w:tc>
          <w:tcPr>
            <w:tcW w:w="10402" w:type="dxa"/>
            <w:tcBorders>
              <w:top w:val="nil"/>
              <w:left w:val="nil"/>
              <w:bottom w:val="nil"/>
              <w:right w:val="nil"/>
            </w:tcBorders>
            <w:vAlign w:val="center"/>
          </w:tcPr>
          <w:p w:rsidR="001A3225" w:rsidRDefault="00666D4F">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江阴市行政审批局（机关）</w:t>
            </w:r>
            <w:r>
              <w:rPr>
                <w:rFonts w:ascii="宋体" w:eastAsia="宋体" w:hAnsi="宋体" w:cs="宋体"/>
                <w:b/>
                <w:sz w:val="52"/>
              </w:rPr>
              <w:t xml:space="preserve"> </w:t>
            </w:r>
            <w:r>
              <w:rPr>
                <w:rFonts w:ascii="宋体" w:eastAsia="宋体" w:hAnsi="宋体" w:cs="宋体"/>
                <w:b/>
                <w:sz w:val="52"/>
              </w:rPr>
              <w:br/>
            </w:r>
            <w:r>
              <w:rPr>
                <w:rFonts w:ascii="宋体" w:eastAsia="宋体" w:hAnsi="宋体" w:cs="宋体"/>
                <w:b/>
                <w:sz w:val="52"/>
              </w:rPr>
              <w:t>单位预算公开</w:t>
            </w:r>
          </w:p>
        </w:tc>
      </w:tr>
    </w:tbl>
    <w:p w:rsidR="001A3225" w:rsidRDefault="001A3225">
      <w:pPr>
        <w:ind w:rightChars="129" w:right="284"/>
        <w:jc w:val="both"/>
        <w:rPr>
          <w:rFonts w:ascii="宋体" w:eastAsia="宋体" w:hAnsi="宋体" w:cs="宋体"/>
          <w:b/>
          <w:bCs/>
          <w:sz w:val="52"/>
          <w:szCs w:val="52"/>
        </w:rPr>
        <w:sectPr w:rsidR="001A3225">
          <w:headerReference w:type="default" r:id="rId8"/>
          <w:headerReference w:type="first" r:id="rId9"/>
          <w:pgSz w:w="11906" w:h="16838"/>
          <w:pgMar w:top="1580" w:right="1020" w:bottom="770" w:left="1020" w:header="170" w:footer="280" w:gutter="0"/>
          <w:cols w:space="720"/>
          <w:formProt w:val="0"/>
          <w:titlePg/>
          <w:docGrid w:linePitch="100"/>
        </w:sectPr>
      </w:pPr>
    </w:p>
    <w:p w:rsidR="001A3225" w:rsidRDefault="001A3225">
      <w:pPr>
        <w:pStyle w:val="a4"/>
        <w:spacing w:before="4"/>
        <w:rPr>
          <w:rFonts w:ascii="华文仿宋" w:eastAsia="华文仿宋" w:hAnsi="华文仿宋" w:cs="仿宋"/>
          <w:sz w:val="10"/>
        </w:rPr>
      </w:pPr>
    </w:p>
    <w:p w:rsidR="001A3225" w:rsidRDefault="00666D4F">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1A3225" w:rsidRDefault="001A3225">
      <w:pPr>
        <w:pStyle w:val="a4"/>
        <w:snapToGrid w:val="0"/>
        <w:spacing w:before="7"/>
        <w:rPr>
          <w:rFonts w:ascii="仿宋" w:eastAsia="仿宋" w:hAnsi="仿宋" w:cs="仿宋"/>
          <w:sz w:val="27"/>
        </w:rPr>
      </w:pP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1A3225" w:rsidRDefault="00666D4F">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1A3225" w:rsidRDefault="00666D4F">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1A3225" w:rsidRDefault="00666D4F">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1A3225" w:rsidRDefault="00666D4F">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lang w:val="en-US"/>
        </w:rPr>
        <w:t>年度</w:t>
      </w:r>
      <w:r>
        <w:rPr>
          <w:rFonts w:ascii="仿宋" w:eastAsia="仿宋" w:hAnsi="仿宋" w:cs="仿宋"/>
          <w:b/>
        </w:rPr>
        <w:t>单位预算表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1A3225" w:rsidRDefault="00666D4F">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1A3225" w:rsidRDefault="00666D4F">
      <w:pPr>
        <w:pStyle w:val="a4"/>
        <w:snapToGrid w:val="0"/>
        <w:spacing w:line="312" w:lineRule="auto"/>
        <w:ind w:leftChars="300" w:left="671" w:right="506"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bidi="ar"/>
        </w:rPr>
        <w:t>预算</w:t>
      </w:r>
      <w:r>
        <w:rPr>
          <w:rFonts w:ascii="仿宋" w:eastAsia="仿宋" w:hAnsi="仿宋" w:cs="仿宋" w:hint="eastAsia"/>
          <w:b/>
          <w:bCs/>
          <w:color w:val="000000"/>
          <w:sz w:val="30"/>
          <w:szCs w:val="30"/>
          <w:lang w:val="en-US" w:bidi="ar"/>
        </w:rPr>
        <w:t>情况说明</w:t>
      </w:r>
    </w:p>
    <w:p w:rsidR="001A3225" w:rsidRDefault="00666D4F">
      <w:pPr>
        <w:pStyle w:val="a4"/>
        <w:snapToGrid w:val="0"/>
        <w:spacing w:line="312"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1A3225" w:rsidRDefault="001A3225">
      <w:pPr>
        <w:pStyle w:val="a4"/>
        <w:snapToGrid w:val="0"/>
        <w:spacing w:line="312" w:lineRule="auto"/>
        <w:ind w:leftChars="300" w:left="669" w:right="2414" w:hanging="9"/>
        <w:jc w:val="both"/>
        <w:rPr>
          <w:rFonts w:ascii="仿宋" w:eastAsia="仿宋" w:hAnsi="仿宋" w:cs="仿宋"/>
        </w:rPr>
        <w:sectPr w:rsidR="001A3225">
          <w:footerReference w:type="default" r:id="rId10"/>
          <w:pgSz w:w="11906" w:h="16838"/>
          <w:pgMar w:top="1580" w:right="1020" w:bottom="770" w:left="1020" w:header="170" w:footer="280" w:gutter="0"/>
          <w:pgNumType w:fmt="numberInDash" w:start="1"/>
          <w:cols w:space="720"/>
          <w:formProt w:val="0"/>
          <w:docGrid w:linePitch="100"/>
        </w:sectPr>
      </w:pPr>
    </w:p>
    <w:p w:rsidR="001A3225" w:rsidRDefault="001A3225">
      <w:pPr>
        <w:pStyle w:val="a4"/>
        <w:spacing w:before="1"/>
        <w:rPr>
          <w:rFonts w:ascii="华文仿宋" w:eastAsia="华文仿宋" w:hAnsi="华文仿宋" w:cs="仿宋"/>
          <w:sz w:val="14"/>
        </w:rPr>
      </w:pPr>
    </w:p>
    <w:p w:rsidR="001A3225" w:rsidRDefault="00666D4F">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1A3225" w:rsidRDefault="001A3225">
      <w:pPr>
        <w:ind w:rightChars="229" w:right="504"/>
        <w:jc w:val="both"/>
      </w:pPr>
    </w:p>
    <w:p w:rsidR="001A3225" w:rsidRDefault="00666D4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（一）负责行使市政府集中授权的市场准入、投资建设等方面的行政审批事项。</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（二）负责全市政务服务综合管理、业务指导等工作。负责市、镇两级高频政务公共服务事项清单动态管理。</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（三）负责全市</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改革工作的统筹协调和组织实施。</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（四）负责全市一体化在线政务服务平台管理使用、统筹协调、数据归集和监督指导等工作。</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（五）组织市级政务服务事项集中受理办理。</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（六）负责全市公共资源交易管理协调监督工作。</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（七）负责拟订和组织实施全市政务服务信息化建设发展规划、年度工作计划及实施方案。开展全市政务服务</w:t>
      </w:r>
      <w:r>
        <w:rPr>
          <w:rFonts w:ascii="仿宋" w:eastAsia="仿宋" w:hAnsi="仿宋" w:cs="仿宋"/>
        </w:rPr>
        <w:t>“</w:t>
      </w:r>
      <w:r>
        <w:rPr>
          <w:rFonts w:ascii="仿宋" w:eastAsia="仿宋" w:hAnsi="仿宋" w:cs="仿宋"/>
        </w:rPr>
        <w:t>一张网</w:t>
      </w:r>
      <w:r>
        <w:rPr>
          <w:rFonts w:ascii="仿宋" w:eastAsia="仿宋" w:hAnsi="仿宋" w:cs="仿宋"/>
        </w:rPr>
        <w:t>”</w:t>
      </w:r>
      <w:r>
        <w:rPr>
          <w:rFonts w:ascii="仿宋" w:eastAsia="仿宋" w:hAnsi="仿宋" w:cs="仿宋"/>
        </w:rPr>
        <w:t>建设工作技术指导、业务培训等工作。</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（八）负责组织推进</w:t>
      </w:r>
      <w:r>
        <w:rPr>
          <w:rFonts w:ascii="仿宋" w:eastAsia="仿宋" w:hAnsi="仿宋" w:cs="仿宋"/>
        </w:rPr>
        <w:t>“</w:t>
      </w:r>
      <w:r>
        <w:rPr>
          <w:rFonts w:ascii="仿宋" w:eastAsia="仿宋" w:hAnsi="仿宋" w:cs="仿宋"/>
        </w:rPr>
        <w:t>互联网</w:t>
      </w:r>
      <w:r>
        <w:rPr>
          <w:rFonts w:ascii="仿宋" w:eastAsia="仿宋" w:hAnsi="仿宋" w:cs="仿宋"/>
        </w:rPr>
        <w:t>+</w:t>
      </w:r>
      <w:r>
        <w:rPr>
          <w:rFonts w:ascii="仿宋" w:eastAsia="仿宋" w:hAnsi="仿宋" w:cs="仿宋"/>
        </w:rPr>
        <w:t>监管</w:t>
      </w:r>
      <w:r>
        <w:rPr>
          <w:rFonts w:ascii="仿宋" w:eastAsia="仿宋" w:hAnsi="仿宋" w:cs="仿宋"/>
        </w:rPr>
        <w:t>”</w:t>
      </w:r>
      <w:r>
        <w:rPr>
          <w:rFonts w:ascii="仿宋" w:eastAsia="仿宋" w:hAnsi="仿宋" w:cs="仿宋"/>
        </w:rPr>
        <w:t>平台运用，归集共享监管数据，维护监管系统和监管数据安全。</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（九）负责建立行政审批与监管的协同联动机制。</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（十）完成市委、市政府交办的其他任务。</w:t>
      </w:r>
    </w:p>
    <w:p w:rsidR="001A3225" w:rsidRDefault="00666D4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本单位内设机构包括：办公室、政策法规科、行政审批制度改革科、审批</w:t>
      </w:r>
      <w:proofErr w:type="gramStart"/>
      <w:r>
        <w:rPr>
          <w:rFonts w:ascii="仿宋" w:eastAsia="仿宋" w:hAnsi="仿宋" w:cs="仿宋"/>
        </w:rPr>
        <w:t>一</w:t>
      </w:r>
      <w:proofErr w:type="gramEnd"/>
      <w:r>
        <w:rPr>
          <w:rFonts w:ascii="仿宋" w:eastAsia="仿宋" w:hAnsi="仿宋" w:cs="仿宋"/>
        </w:rPr>
        <w:t>科、审批二科、审批三</w:t>
      </w:r>
      <w:r>
        <w:rPr>
          <w:rFonts w:ascii="仿宋" w:eastAsia="仿宋" w:hAnsi="仿宋" w:cs="仿宋"/>
        </w:rPr>
        <w:lastRenderedPageBreak/>
        <w:t>科、监督管理科、业务协调科、公共资源交易管理科、政务</w:t>
      </w:r>
      <w:r>
        <w:rPr>
          <w:rFonts w:ascii="仿宋" w:eastAsia="仿宋" w:hAnsi="仿宋" w:cs="仿宋"/>
        </w:rPr>
        <w:t>信息科、组织人事科。本单位下属单位包括</w:t>
      </w:r>
      <w:r>
        <w:rPr>
          <w:rFonts w:ascii="仿宋" w:eastAsia="仿宋" w:hAnsi="仿宋" w:cs="仿宋"/>
        </w:rPr>
        <w:t>:</w:t>
      </w:r>
      <w:r>
        <w:rPr>
          <w:rFonts w:ascii="仿宋" w:eastAsia="仿宋" w:hAnsi="仿宋" w:cs="仿宋"/>
        </w:rPr>
        <w:t>江阴市公共资源交易中心、江阴市政务服务中心。</w:t>
      </w:r>
    </w:p>
    <w:p w:rsidR="001A3225" w:rsidRDefault="00666D4F">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2023</w:t>
      </w:r>
      <w:r>
        <w:rPr>
          <w:rFonts w:ascii="仿宋" w:eastAsia="仿宋" w:hAnsi="仿宋" w:cs="仿宋"/>
        </w:rPr>
        <w:t>年，我们将按照市委市政府部署要求，高举</w:t>
      </w:r>
      <w:r>
        <w:rPr>
          <w:rFonts w:ascii="仿宋" w:eastAsia="仿宋" w:hAnsi="仿宋" w:cs="仿宋"/>
        </w:rPr>
        <w:t>“</w:t>
      </w:r>
      <w:r>
        <w:rPr>
          <w:rFonts w:ascii="仿宋" w:eastAsia="仿宋" w:hAnsi="仿宋" w:cs="仿宋"/>
        </w:rPr>
        <w:t>改革和服务</w:t>
      </w:r>
      <w:r>
        <w:rPr>
          <w:rFonts w:ascii="仿宋" w:eastAsia="仿宋" w:hAnsi="仿宋" w:cs="仿宋"/>
        </w:rPr>
        <w:t>”</w:t>
      </w:r>
      <w:r>
        <w:rPr>
          <w:rFonts w:ascii="仿宋" w:eastAsia="仿宋" w:hAnsi="仿宋" w:cs="仿宋"/>
        </w:rPr>
        <w:t>两面大旗，聚焦政务服务数字化转型和企业</w:t>
      </w:r>
      <w:proofErr w:type="gramStart"/>
      <w:r>
        <w:rPr>
          <w:rFonts w:ascii="仿宋" w:eastAsia="仿宋" w:hAnsi="仿宋" w:cs="仿宋"/>
        </w:rPr>
        <w:t>侧群众侧</w:t>
      </w:r>
      <w:proofErr w:type="gramEnd"/>
      <w:r>
        <w:rPr>
          <w:rFonts w:ascii="仿宋" w:eastAsia="仿宋" w:hAnsi="仿宋" w:cs="仿宋"/>
        </w:rPr>
        <w:t>需求，全力打造</w:t>
      </w:r>
      <w:r>
        <w:rPr>
          <w:rFonts w:ascii="仿宋" w:eastAsia="仿宋" w:hAnsi="仿宋" w:cs="仿宋"/>
        </w:rPr>
        <w:t>“</w:t>
      </w:r>
      <w:r>
        <w:rPr>
          <w:rFonts w:ascii="仿宋" w:eastAsia="仿宋" w:hAnsi="仿宋" w:cs="仿宋"/>
        </w:rPr>
        <w:t>系统集成、便捷高效</w:t>
      </w:r>
      <w:r>
        <w:rPr>
          <w:rFonts w:ascii="仿宋" w:eastAsia="仿宋" w:hAnsi="仿宋" w:cs="仿宋"/>
        </w:rPr>
        <w:t>”</w:t>
      </w:r>
      <w:r>
        <w:rPr>
          <w:rFonts w:ascii="仿宋" w:eastAsia="仿宋" w:hAnsi="仿宋" w:cs="仿宋"/>
        </w:rPr>
        <w:t>的政务服务体系</w:t>
      </w:r>
      <w:r>
        <w:rPr>
          <w:rFonts w:ascii="仿宋" w:eastAsia="仿宋" w:hAnsi="仿宋" w:cs="仿宋"/>
        </w:rPr>
        <w:t>2.0</w:t>
      </w:r>
      <w:r>
        <w:rPr>
          <w:rFonts w:ascii="仿宋" w:eastAsia="仿宋" w:hAnsi="仿宋" w:cs="仿宋"/>
        </w:rPr>
        <w:t>版本，推动我市政务服务工作进一步由</w:t>
      </w:r>
      <w:r>
        <w:rPr>
          <w:rFonts w:ascii="仿宋" w:eastAsia="仿宋" w:hAnsi="仿宋" w:cs="仿宋"/>
        </w:rPr>
        <w:t>“</w:t>
      </w:r>
      <w:r>
        <w:rPr>
          <w:rFonts w:ascii="仿宋" w:eastAsia="仿宋" w:hAnsi="仿宋" w:cs="仿宋"/>
        </w:rPr>
        <w:t>快</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便</w:t>
      </w:r>
      <w:r>
        <w:rPr>
          <w:rFonts w:ascii="仿宋" w:eastAsia="仿宋" w:hAnsi="仿宋" w:cs="仿宋"/>
        </w:rPr>
        <w:t>”</w:t>
      </w:r>
      <w:r>
        <w:rPr>
          <w:rFonts w:ascii="仿宋" w:eastAsia="仿宋" w:hAnsi="仿宋" w:cs="仿宋"/>
        </w:rPr>
        <w:t>、由</w:t>
      </w:r>
      <w:r>
        <w:rPr>
          <w:rFonts w:ascii="仿宋" w:eastAsia="仿宋" w:hAnsi="仿宋" w:cs="仿宋"/>
        </w:rPr>
        <w:t>“</w:t>
      </w:r>
      <w:r>
        <w:rPr>
          <w:rFonts w:ascii="仿宋" w:eastAsia="仿宋" w:hAnsi="仿宋" w:cs="仿宋"/>
        </w:rPr>
        <w:t>好</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简</w:t>
      </w:r>
      <w:r>
        <w:rPr>
          <w:rFonts w:ascii="仿宋" w:eastAsia="仿宋" w:hAnsi="仿宋" w:cs="仿宋"/>
        </w:rPr>
        <w:t>”</w:t>
      </w:r>
      <w:r>
        <w:rPr>
          <w:rFonts w:ascii="仿宋" w:eastAsia="仿宋" w:hAnsi="仿宋" w:cs="仿宋"/>
        </w:rPr>
        <w:t>、由</w:t>
      </w:r>
      <w:r>
        <w:rPr>
          <w:rFonts w:ascii="仿宋" w:eastAsia="仿宋" w:hAnsi="仿宋" w:cs="仿宋"/>
        </w:rPr>
        <w:t>“</w:t>
      </w:r>
      <w:r>
        <w:rPr>
          <w:rFonts w:ascii="仿宋" w:eastAsia="仿宋" w:hAnsi="仿宋" w:cs="仿宋"/>
        </w:rPr>
        <w:t>优</w:t>
      </w:r>
      <w:r>
        <w:rPr>
          <w:rFonts w:ascii="仿宋" w:eastAsia="仿宋" w:hAnsi="仿宋" w:cs="仿宋"/>
        </w:rPr>
        <w:t>”</w:t>
      </w:r>
      <w:r>
        <w:rPr>
          <w:rFonts w:ascii="仿宋" w:eastAsia="仿宋" w:hAnsi="仿宋" w:cs="仿宋"/>
        </w:rPr>
        <w:t>到</w:t>
      </w:r>
      <w:r>
        <w:rPr>
          <w:rFonts w:ascii="仿宋" w:eastAsia="仿宋" w:hAnsi="仿宋" w:cs="仿宋"/>
        </w:rPr>
        <w:t>“</w:t>
      </w:r>
      <w:r>
        <w:rPr>
          <w:rFonts w:ascii="仿宋" w:eastAsia="仿宋" w:hAnsi="仿宋" w:cs="仿宋"/>
        </w:rPr>
        <w:t>实</w:t>
      </w:r>
      <w:r>
        <w:rPr>
          <w:rFonts w:ascii="仿宋" w:eastAsia="仿宋" w:hAnsi="仿宋" w:cs="仿宋"/>
        </w:rPr>
        <w:t>”</w:t>
      </w:r>
      <w:r>
        <w:rPr>
          <w:rFonts w:ascii="仿宋" w:eastAsia="仿宋" w:hAnsi="仿宋" w:cs="仿宋"/>
        </w:rPr>
        <w:t>，全面打响</w:t>
      </w:r>
      <w:r>
        <w:rPr>
          <w:rFonts w:ascii="仿宋" w:eastAsia="仿宋" w:hAnsi="仿宋" w:cs="仿宋"/>
        </w:rPr>
        <w:t>“</w:t>
      </w:r>
      <w:r>
        <w:rPr>
          <w:rFonts w:ascii="仿宋" w:eastAsia="仿宋" w:hAnsi="仿宋" w:cs="仿宋"/>
        </w:rPr>
        <w:t>澄心办</w:t>
      </w:r>
      <w:r>
        <w:rPr>
          <w:rFonts w:ascii="仿宋" w:eastAsia="仿宋" w:hAnsi="仿宋" w:cs="仿宋"/>
        </w:rPr>
        <w:t>•</w:t>
      </w:r>
      <w:r>
        <w:rPr>
          <w:rFonts w:ascii="仿宋" w:eastAsia="仿宋" w:hAnsi="仿宋" w:cs="仿宋"/>
        </w:rPr>
        <w:t>办澄事</w:t>
      </w:r>
      <w:r>
        <w:rPr>
          <w:rFonts w:ascii="仿宋" w:eastAsia="仿宋" w:hAnsi="仿宋" w:cs="仿宋"/>
        </w:rPr>
        <w:t>”</w:t>
      </w:r>
      <w:r>
        <w:rPr>
          <w:rFonts w:ascii="仿宋" w:eastAsia="仿宋" w:hAnsi="仿宋" w:cs="仿宋"/>
        </w:rPr>
        <w:t>营商品牌。</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一是聚心党建引领方向。深入贯彻落实新时代党的建设总要求，充分发挥党建联盟和支部堡垒作用，以党建促进中心工作提质增效。一是坚持</w:t>
      </w:r>
      <w:r>
        <w:rPr>
          <w:rFonts w:ascii="仿宋" w:eastAsia="仿宋" w:hAnsi="仿宋" w:cs="仿宋"/>
        </w:rPr>
        <w:t>“</w:t>
      </w:r>
      <w:r>
        <w:rPr>
          <w:rFonts w:ascii="仿宋" w:eastAsia="仿宋" w:hAnsi="仿宋" w:cs="仿宋"/>
        </w:rPr>
        <w:t>学</w:t>
      </w:r>
      <w:r>
        <w:rPr>
          <w:rFonts w:ascii="仿宋" w:eastAsia="仿宋" w:hAnsi="仿宋" w:cs="仿宋"/>
        </w:rPr>
        <w:t>”</w:t>
      </w:r>
      <w:r w:rsidR="00CD5B7E">
        <w:rPr>
          <w:rFonts w:ascii="仿宋" w:eastAsia="仿宋" w:hAnsi="仿宋" w:cs="仿宋"/>
        </w:rPr>
        <w:t>字为先。认真学习贯彻党的二十大</w:t>
      </w:r>
      <w:r>
        <w:rPr>
          <w:rFonts w:ascii="仿宋" w:eastAsia="仿宋" w:hAnsi="仿宋" w:cs="仿宋"/>
        </w:rPr>
        <w:t>精神，利用中心组集中学、个人自学、书记导学等形式，深刻领会十九大提出的新思想、新部署、新观点、新要求，深入研究把握新时代下政务服务工作的特点和规律，找准贯彻落实二十大精神的结合点、切入点和着力点，以更高的政治站位引领推动各项工作落实。</w:t>
      </w:r>
      <w:bookmarkStart w:id="0" w:name="_GoBack"/>
      <w:bookmarkEnd w:id="0"/>
      <w:r>
        <w:rPr>
          <w:rFonts w:ascii="仿宋" w:eastAsia="仿宋" w:hAnsi="仿宋" w:cs="仿宋"/>
        </w:rPr>
        <w:t>二是坚持</w:t>
      </w:r>
      <w:r>
        <w:rPr>
          <w:rFonts w:ascii="仿宋" w:eastAsia="仿宋" w:hAnsi="仿宋" w:cs="仿宋"/>
        </w:rPr>
        <w:t>“</w:t>
      </w:r>
      <w:r>
        <w:rPr>
          <w:rFonts w:ascii="仿宋" w:eastAsia="仿宋" w:hAnsi="仿宋" w:cs="仿宋"/>
        </w:rPr>
        <w:t>活</w:t>
      </w:r>
      <w:r>
        <w:rPr>
          <w:rFonts w:ascii="仿宋" w:eastAsia="仿宋" w:hAnsi="仿宋" w:cs="仿宋"/>
        </w:rPr>
        <w:t>”</w:t>
      </w:r>
      <w:r>
        <w:rPr>
          <w:rFonts w:ascii="仿宋" w:eastAsia="仿宋" w:hAnsi="仿宋" w:cs="仿宋"/>
        </w:rPr>
        <w:t>字为本。持续亮化</w:t>
      </w:r>
      <w:r>
        <w:rPr>
          <w:rFonts w:ascii="仿宋" w:eastAsia="仿宋" w:hAnsi="仿宋" w:cs="仿宋"/>
        </w:rPr>
        <w:t>“</w:t>
      </w:r>
      <w:proofErr w:type="gramStart"/>
      <w:r>
        <w:rPr>
          <w:rFonts w:ascii="仿宋" w:eastAsia="仿宋" w:hAnsi="仿宋" w:cs="仿宋"/>
        </w:rPr>
        <w:t>一</w:t>
      </w:r>
      <w:proofErr w:type="gramEnd"/>
      <w:r>
        <w:rPr>
          <w:rFonts w:ascii="仿宋" w:eastAsia="仿宋" w:hAnsi="仿宋" w:cs="仿宋"/>
        </w:rPr>
        <w:t>支部</w:t>
      </w:r>
      <w:proofErr w:type="gramStart"/>
      <w:r>
        <w:rPr>
          <w:rFonts w:ascii="仿宋" w:eastAsia="仿宋" w:hAnsi="仿宋" w:cs="仿宋"/>
        </w:rPr>
        <w:t>一</w:t>
      </w:r>
      <w:proofErr w:type="gramEnd"/>
      <w:r>
        <w:rPr>
          <w:rFonts w:ascii="仿宋" w:eastAsia="仿宋" w:hAnsi="仿宋" w:cs="仿宋"/>
        </w:rPr>
        <w:t>品牌、</w:t>
      </w:r>
      <w:proofErr w:type="gramStart"/>
      <w:r>
        <w:rPr>
          <w:rFonts w:ascii="仿宋" w:eastAsia="仿宋" w:hAnsi="仿宋" w:cs="仿宋"/>
        </w:rPr>
        <w:t>一</w:t>
      </w:r>
      <w:proofErr w:type="gramEnd"/>
      <w:r>
        <w:rPr>
          <w:rFonts w:ascii="仿宋" w:eastAsia="仿宋" w:hAnsi="仿宋" w:cs="仿宋"/>
        </w:rPr>
        <w:t>支部</w:t>
      </w:r>
      <w:proofErr w:type="gramStart"/>
      <w:r>
        <w:rPr>
          <w:rFonts w:ascii="仿宋" w:eastAsia="仿宋" w:hAnsi="仿宋" w:cs="仿宋"/>
        </w:rPr>
        <w:t>一</w:t>
      </w:r>
      <w:proofErr w:type="gramEnd"/>
      <w:r>
        <w:rPr>
          <w:rFonts w:ascii="仿宋" w:eastAsia="仿宋" w:hAnsi="仿宋" w:cs="仿宋"/>
        </w:rPr>
        <w:t>亮点</w:t>
      </w:r>
      <w:r>
        <w:rPr>
          <w:rFonts w:ascii="仿宋" w:eastAsia="仿宋" w:hAnsi="仿宋" w:cs="仿宋"/>
        </w:rPr>
        <w:t>”</w:t>
      </w:r>
      <w:r>
        <w:rPr>
          <w:rFonts w:ascii="仿宋" w:eastAsia="仿宋" w:hAnsi="仿宋" w:cs="仿宋"/>
        </w:rPr>
        <w:t>建设，深化</w:t>
      </w:r>
      <w:r>
        <w:rPr>
          <w:rFonts w:ascii="仿宋" w:eastAsia="仿宋" w:hAnsi="仿宋" w:cs="仿宋"/>
        </w:rPr>
        <w:t>“</w:t>
      </w:r>
      <w:r>
        <w:rPr>
          <w:rFonts w:ascii="仿宋" w:eastAsia="仿宋" w:hAnsi="仿宋" w:cs="仿宋"/>
        </w:rPr>
        <w:t>变更一日达</w:t>
      </w:r>
      <w:r>
        <w:rPr>
          <w:rFonts w:ascii="仿宋" w:eastAsia="仿宋" w:hAnsi="仿宋" w:cs="仿宋"/>
        </w:rPr>
        <w:t>”</w:t>
      </w:r>
      <w:r>
        <w:rPr>
          <w:rFonts w:ascii="仿宋" w:eastAsia="仿宋" w:hAnsi="仿宋" w:cs="仿宋"/>
        </w:rPr>
        <w:t>快办队、</w:t>
      </w:r>
      <w:r>
        <w:rPr>
          <w:rFonts w:ascii="仿宋" w:eastAsia="仿宋" w:hAnsi="仿宋" w:cs="仿宋"/>
        </w:rPr>
        <w:t>“</w:t>
      </w:r>
      <w:r>
        <w:rPr>
          <w:rFonts w:ascii="仿宋" w:eastAsia="仿宋" w:hAnsi="仿宋" w:cs="仿宋"/>
        </w:rPr>
        <w:t>服务国企零距离</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红色管家</w:t>
      </w:r>
      <w:r>
        <w:rPr>
          <w:rFonts w:ascii="仿宋" w:eastAsia="仿宋" w:hAnsi="仿宋" w:cs="仿宋"/>
        </w:rPr>
        <w:t>”</w:t>
      </w:r>
      <w:r>
        <w:rPr>
          <w:rFonts w:ascii="仿宋" w:eastAsia="仿宋" w:hAnsi="仿宋" w:cs="仿宋"/>
        </w:rPr>
        <w:t>等党建联盟、品牌建设，最大程度发挥党建引领功效，赋能改革、提效惠</w:t>
      </w:r>
      <w:proofErr w:type="gramStart"/>
      <w:r>
        <w:rPr>
          <w:rFonts w:ascii="仿宋" w:eastAsia="仿宋" w:hAnsi="仿宋" w:cs="仿宋"/>
        </w:rPr>
        <w:t>企</w:t>
      </w:r>
      <w:proofErr w:type="gramEnd"/>
      <w:r>
        <w:rPr>
          <w:rFonts w:ascii="仿宋" w:eastAsia="仿宋" w:hAnsi="仿宋" w:cs="仿宋"/>
        </w:rPr>
        <w:t>。强化群团联动，通过举办亲子夏令营等各类活动，不断提升干部职工获得感、幸福感，切实增强中心的凝聚力和向心力。组建党</w:t>
      </w:r>
      <w:r>
        <w:rPr>
          <w:rFonts w:ascii="仿宋" w:eastAsia="仿宋" w:hAnsi="仿宋" w:cs="仿宋"/>
        </w:rPr>
        <w:lastRenderedPageBreak/>
        <w:t>建联盟志愿服务队伍，持续做好政务</w:t>
      </w:r>
      <w:proofErr w:type="gramStart"/>
      <w:r>
        <w:rPr>
          <w:rFonts w:ascii="仿宋" w:eastAsia="仿宋" w:hAnsi="仿宋" w:cs="仿宋"/>
        </w:rPr>
        <w:t>大厅双码</w:t>
      </w:r>
      <w:proofErr w:type="gramEnd"/>
      <w:r>
        <w:rPr>
          <w:rFonts w:ascii="仿宋" w:eastAsia="仿宋" w:hAnsi="仿宋" w:cs="仿宋"/>
        </w:rPr>
        <w:t>查验、环境消杀、排队疏导、咨询登记等疫情防控工作，进一步巩固深化中心文明创建成果。三是坚持</w:t>
      </w:r>
      <w:r>
        <w:rPr>
          <w:rFonts w:ascii="仿宋" w:eastAsia="仿宋" w:hAnsi="仿宋" w:cs="仿宋"/>
        </w:rPr>
        <w:t>“</w:t>
      </w:r>
      <w:r>
        <w:rPr>
          <w:rFonts w:ascii="仿宋" w:eastAsia="仿宋" w:hAnsi="仿宋" w:cs="仿宋"/>
        </w:rPr>
        <w:t>严</w:t>
      </w:r>
      <w:r>
        <w:rPr>
          <w:rFonts w:ascii="仿宋" w:eastAsia="仿宋" w:hAnsi="仿宋" w:cs="仿宋"/>
        </w:rPr>
        <w:t>”</w:t>
      </w:r>
      <w:r>
        <w:rPr>
          <w:rFonts w:ascii="仿宋" w:eastAsia="仿宋" w:hAnsi="仿宋" w:cs="仿宋"/>
        </w:rPr>
        <w:t>字为要。深入推进党风廉政建设，不断巩固和扩大巡察整改工作成果。进一步转思路、转作风、转方法、提效能，着力在推动建章立制、构建长效机制、加强干部廉政教育上下功夫，强化日常督察和专项检查，促</w:t>
      </w:r>
      <w:r>
        <w:rPr>
          <w:rFonts w:ascii="仿宋" w:eastAsia="仿宋" w:hAnsi="仿宋" w:cs="仿宋"/>
        </w:rPr>
        <w:t>进全面从严治党向纵深发展、向基层延伸。</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二是聚焦改革发展路径。紧盯</w:t>
      </w:r>
      <w:r>
        <w:rPr>
          <w:rFonts w:ascii="仿宋" w:eastAsia="仿宋" w:hAnsi="仿宋" w:cs="仿宋"/>
        </w:rPr>
        <w:t>“</w:t>
      </w:r>
      <w:r>
        <w:rPr>
          <w:rFonts w:ascii="仿宋" w:eastAsia="仿宋" w:hAnsi="仿宋" w:cs="仿宋"/>
        </w:rPr>
        <w:t>要优化营商环境</w:t>
      </w:r>
      <w:r>
        <w:rPr>
          <w:rFonts w:ascii="仿宋" w:eastAsia="仿宋" w:hAnsi="仿宋" w:cs="仿宋"/>
        </w:rPr>
        <w:t>”</w:t>
      </w:r>
      <w:r>
        <w:rPr>
          <w:rFonts w:ascii="仿宋" w:eastAsia="仿宋" w:hAnsi="仿宋" w:cs="仿宋"/>
        </w:rPr>
        <w:t>的工作要求，以</w:t>
      </w:r>
      <w:r>
        <w:rPr>
          <w:rFonts w:ascii="仿宋" w:eastAsia="仿宋" w:hAnsi="仿宋" w:cs="仿宋"/>
        </w:rPr>
        <w:t>“</w:t>
      </w:r>
      <w:r>
        <w:rPr>
          <w:rFonts w:ascii="仿宋" w:eastAsia="仿宋" w:hAnsi="仿宋" w:cs="仿宋"/>
        </w:rPr>
        <w:t>一网、一窗、一件事</w:t>
      </w:r>
      <w:r>
        <w:rPr>
          <w:rFonts w:ascii="仿宋" w:eastAsia="仿宋" w:hAnsi="仿宋" w:cs="仿宋"/>
        </w:rPr>
        <w:t>”</w:t>
      </w:r>
      <w:r>
        <w:rPr>
          <w:rFonts w:ascii="仿宋" w:eastAsia="仿宋" w:hAnsi="仿宋" w:cs="仿宋"/>
        </w:rPr>
        <w:t>改革为突破，推动更多政务服务事项</w:t>
      </w:r>
      <w:r>
        <w:rPr>
          <w:rFonts w:ascii="仿宋" w:eastAsia="仿宋" w:hAnsi="仿宋" w:cs="仿宋"/>
        </w:rPr>
        <w:t>“</w:t>
      </w:r>
      <w:r>
        <w:rPr>
          <w:rFonts w:ascii="仿宋" w:eastAsia="仿宋" w:hAnsi="仿宋" w:cs="仿宋"/>
        </w:rPr>
        <w:t>掌上办</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指尖办</w:t>
      </w:r>
      <w:r>
        <w:rPr>
          <w:rFonts w:ascii="仿宋" w:eastAsia="仿宋" w:hAnsi="仿宋" w:cs="仿宋"/>
        </w:rPr>
        <w:t>”</w:t>
      </w:r>
      <w:r>
        <w:rPr>
          <w:rFonts w:ascii="仿宋" w:eastAsia="仿宋" w:hAnsi="仿宋" w:cs="仿宋"/>
        </w:rPr>
        <w:t>。一是探索</w:t>
      </w:r>
      <w:r>
        <w:rPr>
          <w:rFonts w:ascii="仿宋" w:eastAsia="仿宋" w:hAnsi="仿宋" w:cs="仿宋"/>
        </w:rPr>
        <w:t>“</w:t>
      </w:r>
      <w:r>
        <w:rPr>
          <w:rFonts w:ascii="仿宋" w:eastAsia="仿宋" w:hAnsi="仿宋" w:cs="仿宋"/>
        </w:rPr>
        <w:t>智慧办</w:t>
      </w:r>
      <w:r>
        <w:rPr>
          <w:rFonts w:ascii="仿宋" w:eastAsia="仿宋" w:hAnsi="仿宋" w:cs="仿宋"/>
        </w:rPr>
        <w:t>”</w:t>
      </w:r>
      <w:r>
        <w:rPr>
          <w:rFonts w:ascii="仿宋" w:eastAsia="仿宋" w:hAnsi="仿宋" w:cs="仿宋"/>
        </w:rPr>
        <w:t>模式。依托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平台，推行</w:t>
      </w:r>
      <w:r>
        <w:rPr>
          <w:rFonts w:ascii="仿宋" w:eastAsia="仿宋" w:hAnsi="仿宋" w:cs="仿宋"/>
        </w:rPr>
        <w:t>“</w:t>
      </w:r>
      <w:r>
        <w:rPr>
          <w:rFonts w:ascii="仿宋" w:eastAsia="仿宋" w:hAnsi="仿宋" w:cs="仿宋"/>
        </w:rPr>
        <w:t>免证办</w:t>
      </w:r>
      <w:r>
        <w:rPr>
          <w:rFonts w:ascii="仿宋" w:eastAsia="仿宋" w:hAnsi="仿宋" w:cs="仿宋"/>
        </w:rPr>
        <w:t>”</w:t>
      </w:r>
      <w:r>
        <w:rPr>
          <w:rFonts w:ascii="仿宋" w:eastAsia="仿宋" w:hAnsi="仿宋" w:cs="仿宋"/>
        </w:rPr>
        <w:t>服务，实现资金、补贴、服务等相关惠企利民政策</w:t>
      </w:r>
      <w:r>
        <w:rPr>
          <w:rFonts w:ascii="仿宋" w:eastAsia="仿宋" w:hAnsi="仿宋" w:cs="仿宋"/>
        </w:rPr>
        <w:t>“</w:t>
      </w:r>
      <w:r>
        <w:rPr>
          <w:rFonts w:ascii="仿宋" w:eastAsia="仿宋" w:hAnsi="仿宋" w:cs="仿宋"/>
        </w:rPr>
        <w:t>免申即享</w:t>
      </w:r>
      <w:r>
        <w:rPr>
          <w:rFonts w:ascii="仿宋" w:eastAsia="仿宋" w:hAnsi="仿宋" w:cs="仿宋"/>
        </w:rPr>
        <w:t>”</w:t>
      </w:r>
      <w:r>
        <w:rPr>
          <w:rFonts w:ascii="仿宋" w:eastAsia="仿宋" w:hAnsi="仿宋" w:cs="仿宋"/>
        </w:rPr>
        <w:t>，推出</w:t>
      </w:r>
      <w:r>
        <w:rPr>
          <w:rFonts w:ascii="仿宋" w:eastAsia="仿宋" w:hAnsi="仿宋" w:cs="仿宋"/>
        </w:rPr>
        <w:t>100</w:t>
      </w:r>
      <w:r>
        <w:rPr>
          <w:rFonts w:ascii="仿宋" w:eastAsia="仿宋" w:hAnsi="仿宋" w:cs="仿宋"/>
        </w:rPr>
        <w:t>个事项材料</w:t>
      </w:r>
      <w:r>
        <w:rPr>
          <w:rFonts w:ascii="仿宋" w:eastAsia="仿宋" w:hAnsi="仿宋" w:cs="仿宋"/>
        </w:rPr>
        <w:t>“</w:t>
      </w:r>
      <w:r>
        <w:rPr>
          <w:rFonts w:ascii="仿宋" w:eastAsia="仿宋" w:hAnsi="仿宋" w:cs="仿宋"/>
        </w:rPr>
        <w:t>两个免于提交</w:t>
      </w:r>
      <w:r>
        <w:rPr>
          <w:rFonts w:ascii="仿宋" w:eastAsia="仿宋" w:hAnsi="仿宋" w:cs="仿宋"/>
        </w:rPr>
        <w:t>”</w:t>
      </w:r>
      <w:r>
        <w:rPr>
          <w:rFonts w:ascii="仿宋" w:eastAsia="仿宋" w:hAnsi="仿宋" w:cs="仿宋"/>
        </w:rPr>
        <w:t>和</w:t>
      </w:r>
      <w:r>
        <w:rPr>
          <w:rFonts w:ascii="仿宋" w:eastAsia="仿宋" w:hAnsi="仿宋" w:cs="仿宋"/>
        </w:rPr>
        <w:t>10</w:t>
      </w:r>
      <w:r>
        <w:rPr>
          <w:rFonts w:ascii="仿宋" w:eastAsia="仿宋" w:hAnsi="仿宋" w:cs="仿宋"/>
        </w:rPr>
        <w:t>个数字化场景应用。二是完善</w:t>
      </w:r>
      <w:r>
        <w:rPr>
          <w:rFonts w:ascii="仿宋" w:eastAsia="仿宋" w:hAnsi="仿宋" w:cs="仿宋"/>
        </w:rPr>
        <w:t>“</w:t>
      </w:r>
      <w:r>
        <w:rPr>
          <w:rFonts w:ascii="仿宋" w:eastAsia="仿宋" w:hAnsi="仿宋" w:cs="仿宋"/>
        </w:rPr>
        <w:t>全周期</w:t>
      </w:r>
      <w:r>
        <w:rPr>
          <w:rFonts w:ascii="仿宋" w:eastAsia="仿宋" w:hAnsi="仿宋" w:cs="仿宋"/>
        </w:rPr>
        <w:t>”</w:t>
      </w:r>
      <w:r>
        <w:rPr>
          <w:rFonts w:ascii="仿宋" w:eastAsia="仿宋" w:hAnsi="仿宋" w:cs="仿宋"/>
        </w:rPr>
        <w:t>平台。持续深化</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改革，广泛应用</w:t>
      </w:r>
      <w:r>
        <w:rPr>
          <w:rFonts w:ascii="仿宋" w:eastAsia="仿宋" w:hAnsi="仿宋" w:cs="仿宋"/>
        </w:rPr>
        <w:t>RPA</w:t>
      </w:r>
      <w:r>
        <w:rPr>
          <w:rFonts w:ascii="仿宋" w:eastAsia="仿宋" w:hAnsi="仿宋" w:cs="仿宋"/>
        </w:rPr>
        <w:t>、</w:t>
      </w:r>
      <w:r>
        <w:rPr>
          <w:rFonts w:ascii="仿宋" w:eastAsia="仿宋" w:hAnsi="仿宋" w:cs="仿宋"/>
        </w:rPr>
        <w:t>OCR</w:t>
      </w:r>
      <w:r>
        <w:rPr>
          <w:rFonts w:ascii="仿宋" w:eastAsia="仿宋" w:hAnsi="仿宋" w:cs="仿宋"/>
        </w:rPr>
        <w:t>、</w:t>
      </w:r>
      <w:r>
        <w:rPr>
          <w:rFonts w:ascii="仿宋" w:eastAsia="仿宋" w:hAnsi="仿宋" w:cs="仿宋"/>
        </w:rPr>
        <w:t>AI</w:t>
      </w:r>
      <w:r>
        <w:rPr>
          <w:rFonts w:ascii="仿宋" w:eastAsia="仿宋" w:hAnsi="仿宋" w:cs="仿宋"/>
        </w:rPr>
        <w:t>人工智能等技术手段，不断充实企业、个人全生命周期</w:t>
      </w:r>
      <w:r>
        <w:rPr>
          <w:rFonts w:ascii="仿宋" w:eastAsia="仿宋" w:hAnsi="仿宋" w:cs="仿宋"/>
        </w:rPr>
        <w:t>“</w:t>
      </w:r>
      <w:r>
        <w:rPr>
          <w:rFonts w:ascii="仿宋" w:eastAsia="仿宋" w:hAnsi="仿宋" w:cs="仿宋"/>
        </w:rPr>
        <w:t>一件事</w:t>
      </w:r>
      <w:r>
        <w:rPr>
          <w:rFonts w:ascii="仿宋" w:eastAsia="仿宋" w:hAnsi="仿宋" w:cs="仿宋"/>
        </w:rPr>
        <w:t>”</w:t>
      </w:r>
      <w:r>
        <w:rPr>
          <w:rFonts w:ascii="仿宋" w:eastAsia="仿宋" w:hAnsi="仿宋" w:cs="仿宋"/>
        </w:rPr>
        <w:t>服务内涵；聚焦用户侧需求</w:t>
      </w:r>
      <w:r>
        <w:rPr>
          <w:rFonts w:ascii="仿宋" w:eastAsia="仿宋" w:hAnsi="仿宋" w:cs="仿宋"/>
        </w:rPr>
        <w:t>，优化项目全生命周期平台，实现平台页面直观全面、平台操作简单易上手。三是打造</w:t>
      </w:r>
      <w:r>
        <w:rPr>
          <w:rFonts w:ascii="仿宋" w:eastAsia="仿宋" w:hAnsi="仿宋" w:cs="仿宋"/>
        </w:rPr>
        <w:t>“</w:t>
      </w:r>
      <w:r>
        <w:rPr>
          <w:rFonts w:ascii="仿宋" w:eastAsia="仿宋" w:hAnsi="仿宋" w:cs="仿宋"/>
        </w:rPr>
        <w:t>数字化</w:t>
      </w:r>
      <w:r>
        <w:rPr>
          <w:rFonts w:ascii="仿宋" w:eastAsia="仿宋" w:hAnsi="仿宋" w:cs="仿宋"/>
        </w:rPr>
        <w:t>”</w:t>
      </w:r>
      <w:r>
        <w:rPr>
          <w:rFonts w:ascii="仿宋" w:eastAsia="仿宋" w:hAnsi="仿宋" w:cs="仿宋"/>
        </w:rPr>
        <w:t>大厅。聚焦企业群众办事需求，在大厅设置电子引导、信息发布、信息查询、自助申报、取证打印等智能设备。持续深入推进电子证照、可信身份认证等数字化成果在窗口端的互通互认、推广应用，通过线上线下融合发力，持续优化大厅服务。</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三是聚力服务优化使命。注重</w:t>
      </w:r>
      <w:r>
        <w:rPr>
          <w:rFonts w:ascii="仿宋" w:eastAsia="仿宋" w:hAnsi="仿宋" w:cs="仿宋"/>
        </w:rPr>
        <w:t>“</w:t>
      </w:r>
      <w:r>
        <w:rPr>
          <w:rFonts w:ascii="仿宋" w:eastAsia="仿宋" w:hAnsi="仿宋" w:cs="仿宋"/>
        </w:rPr>
        <w:t>用户思维</w:t>
      </w:r>
      <w:r>
        <w:rPr>
          <w:rFonts w:ascii="仿宋" w:eastAsia="仿宋" w:hAnsi="仿宋" w:cs="仿宋"/>
        </w:rPr>
        <w:t>”</w:t>
      </w:r>
      <w:r>
        <w:rPr>
          <w:rFonts w:ascii="仿宋" w:eastAsia="仿宋" w:hAnsi="仿宋" w:cs="仿宋"/>
        </w:rPr>
        <w:t>、</w:t>
      </w:r>
      <w:r>
        <w:rPr>
          <w:rFonts w:ascii="仿宋" w:eastAsia="仿宋" w:hAnsi="仿宋" w:cs="仿宋"/>
        </w:rPr>
        <w:t>“</w:t>
      </w:r>
      <w:r>
        <w:rPr>
          <w:rFonts w:ascii="仿宋" w:eastAsia="仿宋" w:hAnsi="仿宋" w:cs="仿宋"/>
        </w:rPr>
        <w:t>客户体</w:t>
      </w:r>
      <w:r>
        <w:rPr>
          <w:rFonts w:ascii="仿宋" w:eastAsia="仿宋" w:hAnsi="仿宋" w:cs="仿宋"/>
        </w:rPr>
        <w:lastRenderedPageBreak/>
        <w:t>验</w:t>
      </w:r>
      <w:r>
        <w:rPr>
          <w:rFonts w:ascii="仿宋" w:eastAsia="仿宋" w:hAnsi="仿宋" w:cs="仿宋"/>
        </w:rPr>
        <w:t>”</w:t>
      </w:r>
      <w:r>
        <w:rPr>
          <w:rFonts w:ascii="仿宋" w:eastAsia="仿宋" w:hAnsi="仿宋" w:cs="仿宋"/>
        </w:rPr>
        <w:t>，不断创新便民惠企举措，用政务服务的</w:t>
      </w:r>
      <w:r>
        <w:rPr>
          <w:rFonts w:ascii="仿宋" w:eastAsia="仿宋" w:hAnsi="仿宋" w:cs="仿宋"/>
        </w:rPr>
        <w:t>“</w:t>
      </w:r>
      <w:r>
        <w:rPr>
          <w:rFonts w:ascii="仿宋" w:eastAsia="仿宋" w:hAnsi="仿宋" w:cs="仿宋"/>
        </w:rPr>
        <w:t>辛苦指数</w:t>
      </w:r>
      <w:r>
        <w:rPr>
          <w:rFonts w:ascii="仿宋" w:eastAsia="仿宋" w:hAnsi="仿宋" w:cs="仿宋"/>
        </w:rPr>
        <w:t>”</w:t>
      </w:r>
      <w:r>
        <w:rPr>
          <w:rFonts w:ascii="仿宋" w:eastAsia="仿宋" w:hAnsi="仿宋" w:cs="仿宋"/>
        </w:rPr>
        <w:t>换取企业群众的</w:t>
      </w:r>
      <w:r>
        <w:rPr>
          <w:rFonts w:ascii="仿宋" w:eastAsia="仿宋" w:hAnsi="仿宋" w:cs="仿宋"/>
        </w:rPr>
        <w:t>“</w:t>
      </w:r>
      <w:r>
        <w:rPr>
          <w:rFonts w:ascii="仿宋" w:eastAsia="仿宋" w:hAnsi="仿宋" w:cs="仿宋"/>
        </w:rPr>
        <w:t>满意指数</w:t>
      </w:r>
      <w:r>
        <w:rPr>
          <w:rFonts w:ascii="仿宋" w:eastAsia="仿宋" w:hAnsi="仿宋" w:cs="仿宋"/>
        </w:rPr>
        <w:t>”</w:t>
      </w:r>
      <w:r>
        <w:rPr>
          <w:rFonts w:ascii="仿宋" w:eastAsia="仿宋" w:hAnsi="仿宋" w:cs="仿宋"/>
        </w:rPr>
        <w:t>。一是服务范围再拓展。聚焦企业群众关切的异地办理问题，按照需求量大、覆盖面广、办理频</w:t>
      </w:r>
      <w:r>
        <w:rPr>
          <w:rFonts w:ascii="仿宋" w:eastAsia="仿宋" w:hAnsi="仿宋" w:cs="仿宋"/>
        </w:rPr>
        <w:t>次高的原则，通过加强周边地域合作，采取证照共享、印章互认等措施，推出新一批政务服务跨省</w:t>
      </w:r>
      <w:proofErr w:type="gramStart"/>
      <w:r>
        <w:rPr>
          <w:rFonts w:ascii="仿宋" w:eastAsia="仿宋" w:hAnsi="仿宋" w:cs="仿宋"/>
        </w:rPr>
        <w:t>通办事</w:t>
      </w:r>
      <w:proofErr w:type="gramEnd"/>
      <w:r>
        <w:rPr>
          <w:rFonts w:ascii="仿宋" w:eastAsia="仿宋" w:hAnsi="仿宋" w:cs="仿宋"/>
        </w:rPr>
        <w:t>项，实现更多高频民生事项跨区域通办。二是服务体系再健全。优化</w:t>
      </w:r>
      <w:r>
        <w:rPr>
          <w:rFonts w:ascii="仿宋" w:eastAsia="仿宋" w:hAnsi="仿宋" w:cs="仿宋"/>
        </w:rPr>
        <w:t>“1+18+260+N”</w:t>
      </w:r>
      <w:r>
        <w:rPr>
          <w:rFonts w:ascii="仿宋" w:eastAsia="仿宋" w:hAnsi="仿宋" w:cs="仿宋"/>
        </w:rPr>
        <w:t>（</w:t>
      </w:r>
      <w:r>
        <w:rPr>
          <w:rFonts w:ascii="仿宋" w:eastAsia="仿宋" w:hAnsi="仿宋" w:cs="仿宋"/>
        </w:rPr>
        <w:t>1</w:t>
      </w:r>
      <w:r>
        <w:rPr>
          <w:rFonts w:ascii="仿宋" w:eastAsia="仿宋" w:hAnsi="仿宋" w:cs="仿宋"/>
        </w:rPr>
        <w:t>个市级政务服务大厅，</w:t>
      </w:r>
      <w:r>
        <w:rPr>
          <w:rFonts w:ascii="仿宋" w:eastAsia="仿宋" w:hAnsi="仿宋" w:cs="仿宋"/>
        </w:rPr>
        <w:t>18</w:t>
      </w:r>
      <w:r>
        <w:rPr>
          <w:rFonts w:ascii="仿宋" w:eastAsia="仿宋" w:hAnsi="仿宋" w:cs="仿宋"/>
        </w:rPr>
        <w:t>个镇级便民服务中心，</w:t>
      </w:r>
      <w:r>
        <w:rPr>
          <w:rFonts w:ascii="仿宋" w:eastAsia="仿宋" w:hAnsi="仿宋" w:cs="仿宋"/>
        </w:rPr>
        <w:t>260</w:t>
      </w:r>
      <w:r>
        <w:rPr>
          <w:rFonts w:ascii="仿宋" w:eastAsia="仿宋" w:hAnsi="仿宋" w:cs="仿宋"/>
        </w:rPr>
        <w:t>个村级便民服务站，</w:t>
      </w:r>
      <w:r>
        <w:rPr>
          <w:rFonts w:ascii="仿宋" w:eastAsia="仿宋" w:hAnsi="仿宋" w:cs="仿宋"/>
        </w:rPr>
        <w:t>N</w:t>
      </w:r>
      <w:proofErr w:type="gramStart"/>
      <w:r>
        <w:rPr>
          <w:rFonts w:ascii="仿宋" w:eastAsia="仿宋" w:hAnsi="仿宋" w:cs="仿宋"/>
        </w:rPr>
        <w:t>个</w:t>
      </w:r>
      <w:proofErr w:type="gramEnd"/>
      <w:r>
        <w:rPr>
          <w:rFonts w:ascii="仿宋" w:eastAsia="仿宋" w:hAnsi="仿宋" w:cs="仿宋"/>
        </w:rPr>
        <w:t>“</w:t>
      </w:r>
      <w:r>
        <w:rPr>
          <w:rFonts w:ascii="仿宋" w:eastAsia="仿宋" w:hAnsi="仿宋" w:cs="仿宋"/>
        </w:rPr>
        <w:t>政银通办</w:t>
      </w:r>
      <w:r>
        <w:rPr>
          <w:rFonts w:ascii="仿宋" w:eastAsia="仿宋" w:hAnsi="仿宋" w:cs="仿宋"/>
        </w:rPr>
        <w:t>”</w:t>
      </w:r>
      <w:r>
        <w:rPr>
          <w:rFonts w:ascii="仿宋" w:eastAsia="仿宋" w:hAnsi="仿宋" w:cs="仿宋"/>
        </w:rPr>
        <w:t>银行网点、自助服务网点等便民服务延伸站点）管理模式，通过深化政银、政邮、政社等合作，探索在社区、楼宇、商场设置服务点，方便企业群众零距离办理。三是服务标准再规范。推进政务服务标准化规范化便利化建设，全面实行行政许可事项清单和政务服务事项动态管理机制</w:t>
      </w:r>
      <w:r>
        <w:rPr>
          <w:rFonts w:ascii="仿宋" w:eastAsia="仿宋" w:hAnsi="仿宋" w:cs="仿宋"/>
        </w:rPr>
        <w:t>。持续加强对审批中介服务机构的全过程监管，切实规范中介服务行为、压缩中介服务时限。健全审管衔接机制，依托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平台，实现审批和监管信息实时共享，推动更多的证照数据向监管部门和属地政府推送，形成审批、监管、执法闭环回路。</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四是聚能提效发力引擎。紧紧围绕</w:t>
      </w:r>
      <w:r>
        <w:rPr>
          <w:rFonts w:ascii="仿宋" w:eastAsia="仿宋" w:hAnsi="仿宋" w:cs="仿宋"/>
        </w:rPr>
        <w:t>“</w:t>
      </w:r>
      <w:r>
        <w:rPr>
          <w:rFonts w:ascii="仿宋" w:eastAsia="仿宋" w:hAnsi="仿宋" w:cs="仿宋"/>
        </w:rPr>
        <w:t>提档升级、赶超跨越</w:t>
      </w:r>
      <w:r>
        <w:rPr>
          <w:rFonts w:ascii="仿宋" w:eastAsia="仿宋" w:hAnsi="仿宋" w:cs="仿宋"/>
        </w:rPr>
        <w:t>”</w:t>
      </w:r>
      <w:r>
        <w:rPr>
          <w:rFonts w:ascii="仿宋" w:eastAsia="仿宋" w:hAnsi="仿宋" w:cs="仿宋"/>
        </w:rPr>
        <w:t>，赋予高效审批</w:t>
      </w:r>
      <w:r>
        <w:rPr>
          <w:rFonts w:ascii="仿宋" w:eastAsia="仿宋" w:hAnsi="仿宋" w:cs="仿宋"/>
        </w:rPr>
        <w:t>“</w:t>
      </w:r>
      <w:r>
        <w:rPr>
          <w:rFonts w:ascii="仿宋" w:eastAsia="仿宋" w:hAnsi="仿宋" w:cs="仿宋"/>
        </w:rPr>
        <w:t>江阴速度</w:t>
      </w:r>
      <w:r>
        <w:rPr>
          <w:rFonts w:ascii="仿宋" w:eastAsia="仿宋" w:hAnsi="仿宋" w:cs="仿宋"/>
        </w:rPr>
        <w:t>”</w:t>
      </w:r>
      <w:r>
        <w:rPr>
          <w:rFonts w:ascii="仿宋" w:eastAsia="仿宋" w:hAnsi="仿宋" w:cs="仿宋"/>
        </w:rPr>
        <w:t>新内涵。一是商</w:t>
      </w:r>
      <w:proofErr w:type="gramStart"/>
      <w:r>
        <w:rPr>
          <w:rFonts w:ascii="仿宋" w:eastAsia="仿宋" w:hAnsi="仿宋" w:cs="仿宋"/>
        </w:rPr>
        <w:t>事登记</w:t>
      </w:r>
      <w:proofErr w:type="gramEnd"/>
      <w:r>
        <w:rPr>
          <w:rFonts w:ascii="仿宋" w:eastAsia="仿宋" w:hAnsi="仿宋" w:cs="仿宋"/>
        </w:rPr>
        <w:t>流程再优化。依托</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平台，将企业开办、企业注销、许可证办理等涉企事项进行颗粒化整合，实现涉企服务全链条一网通办。积极推进企业变更登记</w:t>
      </w:r>
      <w:proofErr w:type="gramStart"/>
      <w:r>
        <w:rPr>
          <w:rFonts w:ascii="仿宋" w:eastAsia="仿宋" w:hAnsi="仿宋" w:cs="仿宋"/>
        </w:rPr>
        <w:t>全程网办</w:t>
      </w:r>
      <w:proofErr w:type="gramEnd"/>
      <w:r>
        <w:rPr>
          <w:rFonts w:ascii="仿宋" w:eastAsia="仿宋" w:hAnsi="仿宋" w:cs="仿宋"/>
        </w:rPr>
        <w:t>，扩大全程电子化覆盖面，加快实现企业变更</w:t>
      </w:r>
      <w:r>
        <w:rPr>
          <w:rFonts w:ascii="仿宋" w:eastAsia="仿宋" w:hAnsi="仿宋" w:cs="仿宋"/>
        </w:rPr>
        <w:t>“</w:t>
      </w:r>
      <w:r>
        <w:rPr>
          <w:rFonts w:ascii="仿宋" w:eastAsia="仿宋" w:hAnsi="仿宋" w:cs="仿宋"/>
        </w:rPr>
        <w:t>一次不用跑</w:t>
      </w:r>
      <w:r>
        <w:rPr>
          <w:rFonts w:ascii="仿宋" w:eastAsia="仿宋" w:hAnsi="仿宋" w:cs="仿宋"/>
        </w:rPr>
        <w:t>”</w:t>
      </w:r>
      <w:r>
        <w:rPr>
          <w:rFonts w:ascii="仿宋" w:eastAsia="仿宋" w:hAnsi="仿宋" w:cs="仿宋"/>
        </w:rPr>
        <w:t>。二是投资建设业务</w:t>
      </w:r>
      <w:r>
        <w:rPr>
          <w:rFonts w:ascii="仿宋" w:eastAsia="仿宋" w:hAnsi="仿宋" w:cs="仿宋"/>
        </w:rPr>
        <w:lastRenderedPageBreak/>
        <w:t>再提速。结合江阴实际制定深化</w:t>
      </w:r>
      <w:r>
        <w:rPr>
          <w:rFonts w:ascii="仿宋" w:eastAsia="仿宋" w:hAnsi="仿宋" w:cs="仿宋"/>
        </w:rPr>
        <w:t>“</w:t>
      </w:r>
      <w:r>
        <w:rPr>
          <w:rFonts w:ascii="仿宋" w:eastAsia="仿宋" w:hAnsi="仿宋" w:cs="仿宋"/>
        </w:rPr>
        <w:t>三提三即</w:t>
      </w:r>
      <w:r>
        <w:rPr>
          <w:rFonts w:ascii="仿宋" w:eastAsia="仿宋" w:hAnsi="仿宋" w:cs="仿宋"/>
        </w:rPr>
        <w:t>”</w:t>
      </w:r>
      <w:r>
        <w:rPr>
          <w:rFonts w:ascii="仿宋" w:eastAsia="仿宋" w:hAnsi="仿宋" w:cs="仿宋"/>
        </w:rPr>
        <w:t>改革实施方案，把工程建设项目审批服务从立项用地、工程规划、施工许可、竣工验收向前延伸至前期策划生成、向后拓展至不动产登记，推进项目评估论证</w:t>
      </w:r>
      <w:r>
        <w:rPr>
          <w:rFonts w:ascii="仿宋" w:eastAsia="仿宋" w:hAnsi="仿宋" w:cs="仿宋"/>
        </w:rPr>
        <w:t>“</w:t>
      </w:r>
      <w:r>
        <w:rPr>
          <w:rFonts w:ascii="仿宋" w:eastAsia="仿宋" w:hAnsi="仿宋" w:cs="仿宋"/>
        </w:rPr>
        <w:t>再提前</w:t>
      </w:r>
      <w:r>
        <w:rPr>
          <w:rFonts w:ascii="仿宋" w:eastAsia="仿宋" w:hAnsi="仿宋" w:cs="仿宋"/>
        </w:rPr>
        <w:t>”</w:t>
      </w:r>
      <w:r>
        <w:rPr>
          <w:rFonts w:ascii="仿宋" w:eastAsia="仿宋" w:hAnsi="仿宋" w:cs="仿宋"/>
        </w:rPr>
        <w:t>、审批服务</w:t>
      </w:r>
      <w:r>
        <w:rPr>
          <w:rFonts w:ascii="仿宋" w:eastAsia="仿宋" w:hAnsi="仿宋" w:cs="仿宋"/>
        </w:rPr>
        <w:t>“</w:t>
      </w:r>
      <w:r>
        <w:rPr>
          <w:rFonts w:ascii="仿宋" w:eastAsia="仿宋" w:hAnsi="仿宋" w:cs="仿宋"/>
        </w:rPr>
        <w:t>再提效</w:t>
      </w:r>
      <w:r>
        <w:rPr>
          <w:rFonts w:ascii="仿宋" w:eastAsia="仿宋" w:hAnsi="仿宋" w:cs="仿宋"/>
        </w:rPr>
        <w:t>”</w:t>
      </w:r>
      <w:r>
        <w:rPr>
          <w:rFonts w:ascii="仿宋" w:eastAsia="仿宋" w:hAnsi="仿宋" w:cs="仿宋"/>
        </w:rPr>
        <w:t>、验收发证</w:t>
      </w:r>
      <w:r>
        <w:rPr>
          <w:rFonts w:ascii="仿宋" w:eastAsia="仿宋" w:hAnsi="仿宋" w:cs="仿宋"/>
        </w:rPr>
        <w:t>“</w:t>
      </w:r>
      <w:r>
        <w:rPr>
          <w:rFonts w:ascii="仿宋" w:eastAsia="仿宋" w:hAnsi="仿宋" w:cs="仿宋"/>
        </w:rPr>
        <w:t>再提速</w:t>
      </w:r>
      <w:r>
        <w:rPr>
          <w:rFonts w:ascii="仿宋" w:eastAsia="仿宋" w:hAnsi="仿宋" w:cs="仿宋"/>
        </w:rPr>
        <w:t>”</w:t>
      </w:r>
      <w:r>
        <w:rPr>
          <w:rFonts w:ascii="仿宋" w:eastAsia="仿宋" w:hAnsi="仿宋" w:cs="仿宋"/>
        </w:rPr>
        <w:t>，推动项目</w:t>
      </w:r>
      <w:r>
        <w:rPr>
          <w:rFonts w:ascii="仿宋" w:eastAsia="仿宋" w:hAnsi="仿宋" w:cs="仿宋"/>
        </w:rPr>
        <w:t>“</w:t>
      </w:r>
      <w:r>
        <w:rPr>
          <w:rFonts w:ascii="仿宋" w:eastAsia="仿宋" w:hAnsi="仿宋" w:cs="仿宋"/>
        </w:rPr>
        <w:t>策划即入库</w:t>
      </w:r>
      <w:r>
        <w:rPr>
          <w:rFonts w:ascii="仿宋" w:eastAsia="仿宋" w:hAnsi="仿宋" w:cs="仿宋"/>
        </w:rPr>
        <w:t>”“</w:t>
      </w:r>
      <w:r>
        <w:rPr>
          <w:rFonts w:ascii="仿宋" w:eastAsia="仿宋" w:hAnsi="仿宋" w:cs="仿宋"/>
        </w:rPr>
        <w:t>拿地即开工</w:t>
      </w:r>
      <w:r>
        <w:rPr>
          <w:rFonts w:ascii="仿宋" w:eastAsia="仿宋" w:hAnsi="仿宋" w:cs="仿宋"/>
        </w:rPr>
        <w:t>”“</w:t>
      </w:r>
      <w:r>
        <w:rPr>
          <w:rFonts w:ascii="仿宋" w:eastAsia="仿宋" w:hAnsi="仿宋" w:cs="仿宋"/>
        </w:rPr>
        <w:t>建成即投用</w:t>
      </w:r>
      <w:r>
        <w:rPr>
          <w:rFonts w:ascii="仿宋" w:eastAsia="仿宋" w:hAnsi="仿宋" w:cs="仿宋"/>
        </w:rPr>
        <w:t>”</w:t>
      </w:r>
      <w:r>
        <w:rPr>
          <w:rFonts w:ascii="仿宋" w:eastAsia="仿宋" w:hAnsi="仿宋" w:cs="仿宋"/>
        </w:rPr>
        <w:t>。三是资源交易平台再升级。进一步深化</w:t>
      </w:r>
      <w:r>
        <w:rPr>
          <w:rFonts w:ascii="仿宋" w:eastAsia="仿宋" w:hAnsi="仿宋" w:cs="仿宋"/>
        </w:rPr>
        <w:t>“</w:t>
      </w:r>
      <w:r>
        <w:rPr>
          <w:rFonts w:ascii="仿宋" w:eastAsia="仿宋" w:hAnsi="仿宋" w:cs="仿宋"/>
        </w:rPr>
        <w:t>一市</w:t>
      </w:r>
      <w:proofErr w:type="gramStart"/>
      <w:r>
        <w:rPr>
          <w:rFonts w:ascii="仿宋" w:eastAsia="仿宋" w:hAnsi="仿宋" w:cs="仿宋"/>
        </w:rPr>
        <w:t>一</w:t>
      </w:r>
      <w:proofErr w:type="gramEnd"/>
      <w:r>
        <w:rPr>
          <w:rFonts w:ascii="仿宋" w:eastAsia="仿宋" w:hAnsi="仿宋" w:cs="仿宋"/>
        </w:rPr>
        <w:t>平台</w:t>
      </w:r>
      <w:r>
        <w:rPr>
          <w:rFonts w:ascii="仿宋" w:eastAsia="仿宋" w:hAnsi="仿宋" w:cs="仿宋"/>
        </w:rPr>
        <w:t>”</w:t>
      </w:r>
      <w:r>
        <w:rPr>
          <w:rFonts w:ascii="仿宋" w:eastAsia="仿宋" w:hAnsi="仿宋" w:cs="仿宋"/>
        </w:rPr>
        <w:t>整合工作，优化公共资源交易</w:t>
      </w:r>
      <w:r>
        <w:rPr>
          <w:rFonts w:ascii="仿宋" w:eastAsia="仿宋" w:hAnsi="仿宋" w:cs="仿宋"/>
        </w:rPr>
        <w:t>“</w:t>
      </w:r>
      <w:r>
        <w:rPr>
          <w:rFonts w:ascii="仿宋" w:eastAsia="仿宋" w:hAnsi="仿宋" w:cs="仿宋"/>
        </w:rPr>
        <w:t>数字见证</w:t>
      </w:r>
      <w:r>
        <w:rPr>
          <w:rFonts w:ascii="仿宋" w:eastAsia="仿宋" w:hAnsi="仿宋" w:cs="仿宋"/>
        </w:rPr>
        <w:t>”</w:t>
      </w:r>
      <w:r>
        <w:rPr>
          <w:rFonts w:ascii="仿宋" w:eastAsia="仿宋" w:hAnsi="仿宋" w:cs="仿宋"/>
        </w:rPr>
        <w:t>服务，建设智慧辅助评标系统，探索无锡</w:t>
      </w:r>
      <w:r>
        <w:rPr>
          <w:rFonts w:ascii="仿宋" w:eastAsia="仿宋" w:hAnsi="仿宋" w:cs="仿宋"/>
        </w:rPr>
        <w:t>“</w:t>
      </w:r>
      <w:r>
        <w:rPr>
          <w:rFonts w:ascii="仿宋" w:eastAsia="仿宋" w:hAnsi="仿宋" w:cs="仿宋"/>
        </w:rPr>
        <w:t>跨区通评</w:t>
      </w:r>
      <w:r>
        <w:rPr>
          <w:rFonts w:ascii="仿宋" w:eastAsia="仿宋" w:hAnsi="仿宋" w:cs="仿宋"/>
        </w:rPr>
        <w:t>”</w:t>
      </w:r>
      <w:r>
        <w:rPr>
          <w:rFonts w:ascii="仿宋" w:eastAsia="仿宋" w:hAnsi="仿宋" w:cs="仿宋"/>
        </w:rPr>
        <w:t>新模式，推进交通工程试点远程异地评标。大力推进国企集中</w:t>
      </w:r>
      <w:proofErr w:type="gramStart"/>
      <w:r>
        <w:rPr>
          <w:rFonts w:ascii="仿宋" w:eastAsia="仿宋" w:hAnsi="仿宋" w:cs="仿宋"/>
        </w:rPr>
        <w:t>采购全</w:t>
      </w:r>
      <w:proofErr w:type="gramEnd"/>
      <w:r>
        <w:rPr>
          <w:rFonts w:ascii="仿宋" w:eastAsia="仿宋" w:hAnsi="仿宋" w:cs="仿宋"/>
        </w:rPr>
        <w:t>流程</w:t>
      </w:r>
      <w:r>
        <w:rPr>
          <w:rFonts w:ascii="仿宋" w:eastAsia="仿宋" w:hAnsi="仿宋" w:cs="仿宋"/>
        </w:rPr>
        <w:t>电子化、农村产权线上交易等</w:t>
      </w:r>
      <w:r>
        <w:rPr>
          <w:rFonts w:ascii="仿宋" w:eastAsia="仿宋" w:hAnsi="仿宋" w:cs="仿宋"/>
        </w:rPr>
        <w:t>“</w:t>
      </w:r>
      <w:r>
        <w:rPr>
          <w:rFonts w:ascii="仿宋" w:eastAsia="仿宋" w:hAnsi="仿宋" w:cs="仿宋"/>
        </w:rPr>
        <w:t>一网通办</w:t>
      </w:r>
      <w:r>
        <w:rPr>
          <w:rFonts w:ascii="仿宋" w:eastAsia="仿宋" w:hAnsi="仿宋" w:cs="仿宋"/>
        </w:rPr>
        <w:t>”</w:t>
      </w:r>
      <w:r>
        <w:rPr>
          <w:rFonts w:ascii="仿宋" w:eastAsia="仿宋" w:hAnsi="仿宋" w:cs="仿宋"/>
        </w:rPr>
        <w:t>建设，通过取消合同见证事项、强化评委现场监管、探索投标资格承诺制等举措，进一步提升交易主体获得感，切实降低企业投标成本。</w:t>
      </w:r>
    </w:p>
    <w:p w:rsidR="001A3225" w:rsidRDefault="00666D4F">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五是聚合系统集成机制。围绕</w:t>
      </w:r>
      <w:r>
        <w:rPr>
          <w:rFonts w:ascii="仿宋" w:eastAsia="仿宋" w:hAnsi="仿宋" w:cs="仿宋"/>
        </w:rPr>
        <w:t>“</w:t>
      </w:r>
      <w:r>
        <w:rPr>
          <w:rFonts w:ascii="仿宋" w:eastAsia="仿宋" w:hAnsi="仿宋" w:cs="仿宋"/>
        </w:rPr>
        <w:t>上下、左右、内外</w:t>
      </w:r>
      <w:r>
        <w:rPr>
          <w:rFonts w:ascii="仿宋" w:eastAsia="仿宋" w:hAnsi="仿宋" w:cs="仿宋"/>
        </w:rPr>
        <w:t>”</w:t>
      </w:r>
      <w:r>
        <w:rPr>
          <w:rFonts w:ascii="仿宋" w:eastAsia="仿宋" w:hAnsi="仿宋" w:cs="仿宋"/>
        </w:rPr>
        <w:t>三种关系，完善政务服务工作制度机制，打造共驻共建共治共享的政务服务新模式。一是坚持上下同频。在市级层面，持续优化市级政务服务大厅人员配置，推广</w:t>
      </w:r>
      <w:r>
        <w:rPr>
          <w:rFonts w:ascii="仿宋" w:eastAsia="仿宋" w:hAnsi="仿宋" w:cs="仿宋"/>
        </w:rPr>
        <w:t>“</w:t>
      </w:r>
      <w:r>
        <w:rPr>
          <w:rFonts w:ascii="仿宋" w:eastAsia="仿宋" w:hAnsi="仿宋" w:cs="仿宋"/>
        </w:rPr>
        <w:t>综窗式</w:t>
      </w:r>
      <w:r>
        <w:rPr>
          <w:rFonts w:ascii="仿宋" w:eastAsia="仿宋" w:hAnsi="仿宋" w:cs="仿宋"/>
        </w:rPr>
        <w:t>”</w:t>
      </w:r>
      <w:r>
        <w:rPr>
          <w:rFonts w:ascii="仿宋" w:eastAsia="仿宋" w:hAnsi="仿宋" w:cs="仿宋"/>
        </w:rPr>
        <w:t>服务，确保</w:t>
      </w:r>
      <w:r>
        <w:rPr>
          <w:rFonts w:ascii="仿宋" w:eastAsia="仿宋" w:hAnsi="仿宋" w:cs="仿宋"/>
        </w:rPr>
        <w:t>70%</w:t>
      </w:r>
      <w:r>
        <w:rPr>
          <w:rFonts w:ascii="仿宋" w:eastAsia="仿宋" w:hAnsi="仿宋" w:cs="仿宋"/>
        </w:rPr>
        <w:t>以上政务服务事项实现</w:t>
      </w:r>
      <w:r>
        <w:rPr>
          <w:rFonts w:ascii="仿宋" w:eastAsia="仿宋" w:hAnsi="仿宋" w:cs="仿宋"/>
        </w:rPr>
        <w:t>“</w:t>
      </w:r>
      <w:r>
        <w:rPr>
          <w:rFonts w:ascii="仿宋" w:eastAsia="仿宋" w:hAnsi="仿宋" w:cs="仿宋"/>
        </w:rPr>
        <w:t>一窗</w:t>
      </w:r>
      <w:r>
        <w:rPr>
          <w:rFonts w:ascii="仿宋" w:eastAsia="仿宋" w:hAnsi="仿宋" w:cs="仿宋"/>
        </w:rPr>
        <w:t>”</w:t>
      </w:r>
      <w:r>
        <w:rPr>
          <w:rFonts w:ascii="仿宋" w:eastAsia="仿宋" w:hAnsi="仿宋" w:cs="仿宋"/>
        </w:rPr>
        <w:t>分类办理，形成</w:t>
      </w:r>
      <w:proofErr w:type="gramStart"/>
      <w:r>
        <w:rPr>
          <w:rFonts w:ascii="仿宋" w:eastAsia="仿宋" w:hAnsi="仿宋" w:cs="仿宋"/>
        </w:rPr>
        <w:t>主题综窗为</w:t>
      </w:r>
      <w:proofErr w:type="gramEnd"/>
      <w:r>
        <w:rPr>
          <w:rFonts w:ascii="仿宋" w:eastAsia="仿宋" w:hAnsi="仿宋" w:cs="仿宋"/>
        </w:rPr>
        <w:t>主体，</w:t>
      </w:r>
      <w:proofErr w:type="gramStart"/>
      <w:r>
        <w:rPr>
          <w:rFonts w:ascii="仿宋" w:eastAsia="仿宋" w:hAnsi="仿宋" w:cs="仿宋"/>
        </w:rPr>
        <w:t>部门综窗为</w:t>
      </w:r>
      <w:proofErr w:type="gramEnd"/>
      <w:r>
        <w:rPr>
          <w:rFonts w:ascii="仿宋" w:eastAsia="仿宋" w:hAnsi="仿宋" w:cs="仿宋"/>
        </w:rPr>
        <w:t>辅助的新型模式。在镇街和村社区层面，进一步梳理市级高频事项下放镇街，通</w:t>
      </w:r>
      <w:r>
        <w:rPr>
          <w:rFonts w:ascii="仿宋" w:eastAsia="仿宋" w:hAnsi="仿宋" w:cs="仿宋"/>
        </w:rPr>
        <w:t>过开展政务服务专项培训、举办政务服务技能竞赛、强化</w:t>
      </w:r>
      <w:r>
        <w:rPr>
          <w:rFonts w:ascii="仿宋" w:eastAsia="仿宋" w:hAnsi="仿宋" w:cs="仿宋"/>
        </w:rPr>
        <w:t>“</w:t>
      </w:r>
      <w:r>
        <w:rPr>
          <w:rFonts w:ascii="仿宋" w:eastAsia="仿宋" w:hAnsi="仿宋" w:cs="仿宋"/>
        </w:rPr>
        <w:t>好差评</w:t>
      </w:r>
      <w:r>
        <w:rPr>
          <w:rFonts w:ascii="仿宋" w:eastAsia="仿宋" w:hAnsi="仿宋" w:cs="仿宋"/>
        </w:rPr>
        <w:t>”</w:t>
      </w:r>
      <w:r>
        <w:rPr>
          <w:rFonts w:ascii="仿宋" w:eastAsia="仿宋" w:hAnsi="仿宋" w:cs="仿宋"/>
        </w:rPr>
        <w:t>结果应用、实行评星</w:t>
      </w:r>
      <w:proofErr w:type="gramStart"/>
      <w:r>
        <w:rPr>
          <w:rFonts w:ascii="仿宋" w:eastAsia="仿宋" w:hAnsi="仿宋" w:cs="仿宋"/>
        </w:rPr>
        <w:t>定优制</w:t>
      </w:r>
      <w:proofErr w:type="gramEnd"/>
      <w:r>
        <w:rPr>
          <w:rFonts w:ascii="仿宋" w:eastAsia="仿宋" w:hAnsi="仿宋" w:cs="仿宋"/>
        </w:rPr>
        <w:t>等措施，提高基层政务服务整体水平。二是坚持左右协同。健全完善江阴市政府推进政府职能转变和</w:t>
      </w:r>
      <w:r>
        <w:rPr>
          <w:rFonts w:ascii="仿宋" w:eastAsia="仿宋" w:hAnsi="仿宋" w:cs="仿宋"/>
        </w:rPr>
        <w:t>“</w:t>
      </w:r>
      <w:r>
        <w:rPr>
          <w:rFonts w:ascii="仿宋" w:eastAsia="仿宋" w:hAnsi="仿宋" w:cs="仿宋"/>
        </w:rPr>
        <w:t>放管服</w:t>
      </w:r>
      <w:r>
        <w:rPr>
          <w:rFonts w:ascii="仿宋" w:eastAsia="仿宋" w:hAnsi="仿宋" w:cs="仿宋"/>
        </w:rPr>
        <w:t>”</w:t>
      </w:r>
      <w:r>
        <w:rPr>
          <w:rFonts w:ascii="仿宋" w:eastAsia="仿宋" w:hAnsi="仿宋" w:cs="仿宋"/>
        </w:rPr>
        <w:t>改革协调小组工作规则，加强专题组之间的统筹协同，聚焦省、市</w:t>
      </w:r>
      <w:r>
        <w:rPr>
          <w:rFonts w:ascii="仿宋" w:eastAsia="仿宋" w:hAnsi="仿宋" w:cs="仿宋"/>
        </w:rPr>
        <w:lastRenderedPageBreak/>
        <w:t>级重点工作，通过工作例会、协调会议等制度机制，精准谋划施策、合力推进改革，力争打造更多省市领先的、可复制可推广的</w:t>
      </w:r>
      <w:r>
        <w:rPr>
          <w:rFonts w:ascii="仿宋" w:eastAsia="仿宋" w:hAnsi="仿宋" w:cs="仿宋"/>
        </w:rPr>
        <w:t>“</w:t>
      </w:r>
      <w:r>
        <w:rPr>
          <w:rFonts w:ascii="仿宋" w:eastAsia="仿宋" w:hAnsi="仿宋" w:cs="仿宋"/>
        </w:rPr>
        <w:t>江阴样本</w:t>
      </w:r>
      <w:r>
        <w:rPr>
          <w:rFonts w:ascii="仿宋" w:eastAsia="仿宋" w:hAnsi="仿宋" w:cs="仿宋"/>
        </w:rPr>
        <w:t>”</w:t>
      </w:r>
      <w:r>
        <w:rPr>
          <w:rFonts w:ascii="仿宋" w:eastAsia="仿宋" w:hAnsi="仿宋" w:cs="仿宋"/>
        </w:rPr>
        <w:t>。三是坚持内外兼修。对内持续深化</w:t>
      </w:r>
      <w:r>
        <w:rPr>
          <w:rFonts w:ascii="仿宋" w:eastAsia="仿宋" w:hAnsi="仿宋" w:cs="仿宋"/>
        </w:rPr>
        <w:t>“</w:t>
      </w:r>
      <w:r>
        <w:rPr>
          <w:rFonts w:ascii="仿宋" w:eastAsia="仿宋" w:hAnsi="仿宋" w:cs="仿宋"/>
        </w:rPr>
        <w:t>双争</w:t>
      </w:r>
      <w:proofErr w:type="gramStart"/>
      <w:r>
        <w:rPr>
          <w:rFonts w:ascii="仿宋" w:eastAsia="仿宋" w:hAnsi="仿宋" w:cs="仿宋"/>
        </w:rPr>
        <w:t>一</w:t>
      </w:r>
      <w:proofErr w:type="gramEnd"/>
      <w:r>
        <w:rPr>
          <w:rFonts w:ascii="仿宋" w:eastAsia="仿宋" w:hAnsi="仿宋" w:cs="仿宋"/>
        </w:rPr>
        <w:t>创</w:t>
      </w:r>
      <w:r>
        <w:rPr>
          <w:rFonts w:ascii="仿宋" w:eastAsia="仿宋" w:hAnsi="仿宋" w:cs="仿宋"/>
        </w:rPr>
        <w:t>”</w:t>
      </w:r>
      <w:r>
        <w:rPr>
          <w:rFonts w:ascii="仿宋" w:eastAsia="仿宋" w:hAnsi="仿宋" w:cs="仿宋"/>
        </w:rPr>
        <w:t>专项行动，通过建立编外人员薪酬待遇增长机制、提高年度考核优秀占比、优秀人员优先提拔重用等机制，提升窗口人</w:t>
      </w:r>
      <w:r>
        <w:rPr>
          <w:rFonts w:ascii="仿宋" w:eastAsia="仿宋" w:hAnsi="仿宋" w:cs="仿宋"/>
        </w:rPr>
        <w:t>员积极性；通过制订出台政务服务规范负面清单等举措，切实提升窗口作风效能。对外设置</w:t>
      </w:r>
      <w:r>
        <w:rPr>
          <w:rFonts w:ascii="仿宋" w:eastAsia="仿宋" w:hAnsi="仿宋" w:cs="仿宋"/>
        </w:rPr>
        <w:t>“</w:t>
      </w:r>
      <w:r>
        <w:rPr>
          <w:rFonts w:ascii="仿宋" w:eastAsia="仿宋" w:hAnsi="仿宋" w:cs="仿宋"/>
        </w:rPr>
        <w:t>办不成事</w:t>
      </w:r>
      <w:r>
        <w:rPr>
          <w:rFonts w:ascii="仿宋" w:eastAsia="仿宋" w:hAnsi="仿宋" w:cs="仿宋"/>
        </w:rPr>
        <w:t>”</w:t>
      </w:r>
      <w:r>
        <w:rPr>
          <w:rFonts w:ascii="仿宋" w:eastAsia="仿宋" w:hAnsi="仿宋" w:cs="仿宋"/>
        </w:rPr>
        <w:t>反映窗口，提供兜底服务，解决企业和群众办事过程中遇到的疑难事项和复杂问题。</w:t>
      </w:r>
    </w:p>
    <w:p w:rsidR="001A3225" w:rsidRDefault="001A3225">
      <w:pPr>
        <w:pStyle w:val="a4"/>
        <w:spacing w:line="235" w:lineRule="auto"/>
        <w:ind w:leftChars="300" w:left="669" w:right="2414" w:hanging="9"/>
        <w:jc w:val="both"/>
        <w:rPr>
          <w:rFonts w:ascii="仿宋" w:eastAsia="仿宋" w:hAnsi="仿宋" w:cs="仿宋"/>
        </w:rPr>
        <w:sectPr w:rsidR="001A3225">
          <w:footerReference w:type="default" r:id="rId11"/>
          <w:pgSz w:w="11906" w:h="16838"/>
          <w:pgMar w:top="1580" w:right="1020" w:bottom="770" w:left="1020" w:header="170" w:footer="280" w:gutter="0"/>
          <w:pgNumType w:fmt="numberInDash"/>
          <w:cols w:space="720"/>
          <w:formProt w:val="0"/>
          <w:docGrid w:linePitch="100"/>
        </w:sectPr>
      </w:pPr>
    </w:p>
    <w:p w:rsidR="001A3225" w:rsidRDefault="001A3225">
      <w:pPr>
        <w:pStyle w:val="a4"/>
        <w:spacing w:line="360" w:lineRule="auto"/>
        <w:ind w:leftChars="200" w:left="440" w:rightChars="229" w:right="504" w:firstLine="658"/>
        <w:jc w:val="both"/>
        <w:rPr>
          <w:rFonts w:ascii="仿宋" w:eastAsia="仿宋" w:hAnsi="仿宋" w:cs="仿宋"/>
          <w:lang w:val="en-US"/>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1A3225">
      <w:pPr>
        <w:pStyle w:val="10"/>
        <w:tabs>
          <w:tab w:val="left" w:pos="1609"/>
        </w:tabs>
        <w:spacing w:before="12" w:line="300" w:lineRule="auto"/>
        <w:ind w:left="340" w:right="567" w:firstLine="0"/>
        <w:jc w:val="center"/>
        <w:rPr>
          <w:rFonts w:ascii="仿宋" w:eastAsia="仿宋" w:hAnsi="仿宋" w:cs="仿宋"/>
          <w:b/>
          <w:bCs/>
          <w:sz w:val="44"/>
          <w:szCs w:val="44"/>
        </w:rPr>
      </w:pPr>
    </w:p>
    <w:p w:rsidR="001A3225" w:rsidRDefault="00666D4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1A3225" w:rsidRDefault="00666D4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1A3225" w:rsidRDefault="00666D4F">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江阴市行政审批局（机关）</w:t>
      </w:r>
    </w:p>
    <w:p w:rsidR="001A3225" w:rsidRDefault="00666D4F">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firstRow="1" w:lastRow="0" w:firstColumn="1" w:lastColumn="0" w:noHBand="0" w:noVBand="1"/>
      </w:tblPr>
      <w:tblGrid>
        <w:gridCol w:w="3908"/>
        <w:gridCol w:w="1869"/>
        <w:gridCol w:w="3704"/>
        <w:gridCol w:w="67"/>
        <w:gridCol w:w="1781"/>
      </w:tblGrid>
      <w:tr w:rsidR="001A3225">
        <w:trPr>
          <w:cantSplit/>
          <w:trHeight w:val="116"/>
          <w:jc w:val="center"/>
        </w:trPr>
        <w:tc>
          <w:tcPr>
            <w:tcW w:w="11329" w:type="dxa"/>
            <w:gridSpan w:val="5"/>
            <w:vAlign w:val="center"/>
          </w:tcPr>
          <w:p w:rsidR="001A3225" w:rsidRDefault="00666D4F">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1A3225">
        <w:trPr>
          <w:cantSplit/>
          <w:trHeight w:val="348"/>
          <w:jc w:val="center"/>
        </w:trPr>
        <w:tc>
          <w:tcPr>
            <w:tcW w:w="11329" w:type="dxa"/>
            <w:gridSpan w:val="5"/>
          </w:tcPr>
          <w:p w:rsidR="001A3225" w:rsidRDefault="00666D4F">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1A3225">
        <w:trPr>
          <w:cantSplit/>
          <w:trHeight w:val="333"/>
          <w:jc w:val="center"/>
        </w:trPr>
        <w:tc>
          <w:tcPr>
            <w:tcW w:w="9481" w:type="dxa"/>
            <w:gridSpan w:val="3"/>
            <w:tcBorders>
              <w:bottom w:val="single" w:sz="4" w:space="0" w:color="000000"/>
            </w:tcBorders>
            <w:vAlign w:val="center"/>
          </w:tcPr>
          <w:p w:rsidR="001A3225" w:rsidRDefault="00666D4F">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江阴市行政审批局（机关）</w:t>
            </w:r>
          </w:p>
        </w:tc>
        <w:tc>
          <w:tcPr>
            <w:tcW w:w="1848" w:type="dxa"/>
            <w:gridSpan w:val="2"/>
            <w:tcBorders>
              <w:bottom w:val="single" w:sz="4" w:space="0" w:color="000000"/>
            </w:tcBorders>
            <w:vAlign w:val="center"/>
          </w:tcPr>
          <w:p w:rsidR="001A3225" w:rsidRDefault="00666D4F">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1A3225">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1A3225">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2,249.46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1,714.35</w:t>
            </w: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167.26</w:t>
            </w: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348.07</w:t>
            </w: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19.78</w:t>
            </w: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1A322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keepNext/>
              <w:keepLines/>
              <w:jc w:val="right"/>
              <w:rPr>
                <w:rFonts w:ascii="仿宋" w:eastAsia="仿宋" w:hAnsi="仿宋" w:cs="仿宋"/>
                <w:color w:val="000000"/>
                <w:lang w:eastAsia="ar-SA"/>
              </w:rPr>
            </w:pPr>
          </w:p>
        </w:tc>
      </w:tr>
      <w:tr w:rsidR="001A3225">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right"/>
              <w:rPr>
                <w:rFonts w:ascii="仿宋" w:eastAsia="仿宋" w:hAnsi="仿宋" w:cs="仿宋"/>
                <w:b/>
                <w:bCs/>
                <w:color w:val="000000"/>
                <w:lang w:val="en-US"/>
              </w:rPr>
            </w:pPr>
            <w:r>
              <w:rPr>
                <w:rFonts w:ascii="仿宋" w:eastAsia="仿宋" w:hAnsi="仿宋" w:cs="仿宋" w:hint="eastAsia"/>
                <w:b/>
                <w:bCs/>
                <w:color w:val="000000"/>
                <w:lang w:val="en-US"/>
              </w:rPr>
              <w:t>2,249.46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right"/>
              <w:rPr>
                <w:rFonts w:ascii="仿宋" w:eastAsia="仿宋" w:hAnsi="仿宋" w:cs="仿宋"/>
                <w:b/>
                <w:bCs/>
                <w:color w:val="000000"/>
                <w:lang w:val="en-US"/>
              </w:rPr>
            </w:pPr>
            <w:r>
              <w:rPr>
                <w:rFonts w:ascii="仿宋" w:eastAsia="仿宋" w:hAnsi="仿宋" w:cs="仿宋" w:hint="eastAsia"/>
                <w:b/>
                <w:bCs/>
                <w:color w:val="000000"/>
                <w:lang w:val="en-US"/>
              </w:rPr>
              <w:t>2,249.46</w:t>
            </w:r>
          </w:p>
        </w:tc>
      </w:tr>
      <w:tr w:rsidR="001A3225">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1A3225">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1A3225">
            <w:pPr>
              <w:jc w:val="right"/>
              <w:rPr>
                <w:rFonts w:ascii="仿宋" w:eastAsia="仿宋" w:hAnsi="仿宋" w:cs="仿宋"/>
                <w:b/>
                <w:bCs/>
                <w:color w:val="000000"/>
                <w:lang w:val="en-US"/>
              </w:rPr>
            </w:pPr>
          </w:p>
        </w:tc>
      </w:tr>
      <w:tr w:rsidR="001A3225">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2,249.46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1A3225" w:rsidRDefault="00666D4F">
            <w:pPr>
              <w:jc w:val="right"/>
              <w:rPr>
                <w:rFonts w:ascii="仿宋" w:eastAsia="仿宋" w:hAnsi="仿宋" w:cs="仿宋"/>
                <w:b/>
                <w:bCs/>
                <w:color w:val="000000"/>
                <w:lang w:val="en-US"/>
              </w:rPr>
            </w:pPr>
            <w:r>
              <w:rPr>
                <w:rFonts w:ascii="仿宋" w:eastAsia="仿宋" w:hAnsi="仿宋" w:cs="仿宋" w:hint="eastAsia"/>
                <w:b/>
                <w:bCs/>
                <w:color w:val="000000"/>
                <w:lang w:val="en-US"/>
              </w:rPr>
              <w:t>2,249.46</w:t>
            </w:r>
          </w:p>
        </w:tc>
      </w:tr>
    </w:tbl>
    <w:p w:rsidR="001A3225" w:rsidRDefault="001A3225">
      <w:pPr>
        <w:spacing w:before="66"/>
        <w:rPr>
          <w:rFonts w:ascii="仿宋" w:eastAsia="仿宋" w:hAnsi="仿宋" w:cs="仿宋"/>
          <w:b/>
          <w:bCs/>
          <w:color w:val="000000"/>
        </w:rPr>
        <w:sectPr w:rsidR="001A3225">
          <w:footerReference w:type="default" r:id="rId12"/>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1A322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1A3225" w:rsidRDefault="00666D4F">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1A322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1A3225" w:rsidRDefault="00666D4F">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1A3225">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1A3225" w:rsidRDefault="00666D4F">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1A3225">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1A3225">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1A3225" w:rsidRDefault="00666D4F">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1A3225">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2,249.46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2,249.46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2,249.46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val="en-US"/>
              </w:rPr>
            </w:pPr>
          </w:p>
        </w:tc>
      </w:tr>
      <w:tr w:rsidR="001A322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601002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江阴市行政审批局（机关）</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2,249.46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pacing w:line="34" w:lineRule="atLeast"/>
              <w:ind w:right="45"/>
              <w:jc w:val="right"/>
              <w:rPr>
                <w:rFonts w:ascii="仿宋" w:eastAsia="仿宋" w:hAnsi="仿宋" w:cs="仿宋"/>
                <w:color w:val="000000"/>
                <w:sz w:val="15"/>
                <w:szCs w:val="15"/>
                <w:lang w:eastAsia="ar-SA"/>
              </w:rPr>
            </w:pPr>
          </w:p>
        </w:tc>
      </w:tr>
    </w:tbl>
    <w:p w:rsidR="001A3225" w:rsidRDefault="001A3225">
      <w:pPr>
        <w:spacing w:before="66"/>
        <w:rPr>
          <w:rFonts w:ascii="仿宋" w:eastAsia="仿宋" w:hAnsi="仿宋" w:cs="仿宋"/>
          <w:b/>
          <w:bCs/>
        </w:rPr>
        <w:sectPr w:rsidR="001A3225">
          <w:footerReference w:type="default" r:id="rId13"/>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1A3225">
        <w:trPr>
          <w:cantSplit/>
          <w:trHeight w:val="341"/>
        </w:trPr>
        <w:tc>
          <w:tcPr>
            <w:tcW w:w="15347" w:type="dxa"/>
            <w:gridSpan w:val="8"/>
            <w:vAlign w:val="center"/>
          </w:tcPr>
          <w:p w:rsidR="001A3225" w:rsidRDefault="00666D4F">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1A3225">
        <w:trPr>
          <w:cantSplit/>
          <w:trHeight w:val="321"/>
        </w:trPr>
        <w:tc>
          <w:tcPr>
            <w:tcW w:w="15347" w:type="dxa"/>
            <w:gridSpan w:val="8"/>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1A3225">
        <w:trPr>
          <w:cantSplit/>
          <w:trHeight w:val="218"/>
        </w:trPr>
        <w:tc>
          <w:tcPr>
            <w:tcW w:w="12030" w:type="dxa"/>
            <w:gridSpan w:val="6"/>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3317" w:type="dxa"/>
            <w:gridSpan w:val="2"/>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1A3225">
        <w:trPr>
          <w:cantSplit/>
          <w:trHeight w:val="533"/>
        </w:trPr>
        <w:tc>
          <w:tcPr>
            <w:tcW w:w="1556"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1A3225">
        <w:trPr>
          <w:cantSplit/>
          <w:trHeight w:hRule="exact" w:val="375"/>
        </w:trPr>
        <w:tc>
          <w:tcPr>
            <w:tcW w:w="4779" w:type="dxa"/>
            <w:gridSpan w:val="2"/>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2,249.46</w:t>
            </w:r>
          </w:p>
        </w:tc>
        <w:tc>
          <w:tcPr>
            <w:tcW w:w="1714"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1,792.01</w:t>
            </w:r>
          </w:p>
        </w:tc>
        <w:tc>
          <w:tcPr>
            <w:tcW w:w="1749"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457.45</w:t>
            </w:r>
          </w:p>
        </w:tc>
        <w:tc>
          <w:tcPr>
            <w:tcW w:w="1868" w:type="dxa"/>
            <w:tcBorders>
              <w:left w:val="single" w:sz="4" w:space="0" w:color="000000"/>
              <w:bottom w:val="single" w:sz="4" w:space="0" w:color="000000"/>
            </w:tcBorders>
            <w:vAlign w:val="center"/>
          </w:tcPr>
          <w:p w:rsidR="001A3225" w:rsidRDefault="001A3225">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1A3225" w:rsidRDefault="001A3225">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201</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一般公共服务支出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1,714.35</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437.67</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20103</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政府办公厅（室）及相关机构事务</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1,714.35</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437.67</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2010301</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2010306</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政务公开审批</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437.67</w:t>
            </w:r>
          </w:p>
        </w:tc>
        <w:tc>
          <w:tcPr>
            <w:tcW w:w="1714"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437.67</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167.26</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167.26</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128.88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128.88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20899</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2089999</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126.31</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126.31</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117.21</w:t>
            </w:r>
          </w:p>
        </w:tc>
        <w:tc>
          <w:tcPr>
            <w:tcW w:w="1714"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117.21</w:t>
            </w:r>
          </w:p>
        </w:tc>
        <w:tc>
          <w:tcPr>
            <w:tcW w:w="1749"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229</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22999</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r w:rsidR="001A322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lastRenderedPageBreak/>
              <w:t xml:space="preserve">    2299999</w:t>
            </w:r>
          </w:p>
        </w:tc>
        <w:tc>
          <w:tcPr>
            <w:tcW w:w="3223"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20"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714"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868"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1A3225" w:rsidRDefault="001A3225">
            <w:pPr>
              <w:pStyle w:val="TableParagraph"/>
              <w:jc w:val="right"/>
              <w:rPr>
                <w:rFonts w:ascii="仿宋" w:eastAsia="仿宋" w:hAnsi="仿宋" w:cs="仿宋"/>
              </w:rPr>
            </w:pPr>
          </w:p>
        </w:tc>
      </w:tr>
    </w:tbl>
    <w:p w:rsidR="001A3225" w:rsidRDefault="001A3225">
      <w:pPr>
        <w:spacing w:before="59"/>
        <w:ind w:left="57"/>
        <w:rPr>
          <w:rFonts w:ascii="仿宋" w:eastAsia="仿宋" w:hAnsi="仿宋" w:cs="仿宋"/>
          <w:b/>
          <w:bCs/>
        </w:rPr>
        <w:sectPr w:rsidR="001A3225">
          <w:footerReference w:type="default" r:id="rId14"/>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firstRow="1" w:lastRow="0" w:firstColumn="1" w:lastColumn="0" w:noHBand="0" w:noVBand="1"/>
      </w:tblPr>
      <w:tblGrid>
        <w:gridCol w:w="3987"/>
        <w:gridCol w:w="3960"/>
        <w:gridCol w:w="3943"/>
        <w:gridCol w:w="3899"/>
      </w:tblGrid>
      <w:tr w:rsidR="001A3225">
        <w:trPr>
          <w:cantSplit/>
          <w:trHeight w:val="319"/>
        </w:trPr>
        <w:tc>
          <w:tcPr>
            <w:tcW w:w="15789" w:type="dxa"/>
            <w:gridSpan w:val="4"/>
          </w:tcPr>
          <w:p w:rsidR="001A3225" w:rsidRDefault="00666D4F">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1A3225">
        <w:trPr>
          <w:cantSplit/>
          <w:trHeight w:val="319"/>
        </w:trPr>
        <w:tc>
          <w:tcPr>
            <w:tcW w:w="15789" w:type="dxa"/>
            <w:gridSpan w:val="4"/>
          </w:tcPr>
          <w:p w:rsidR="001A3225" w:rsidRDefault="00666D4F">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1A3225">
        <w:trPr>
          <w:cantSplit/>
          <w:trHeight w:val="319"/>
        </w:trPr>
        <w:tc>
          <w:tcPr>
            <w:tcW w:w="11890" w:type="dxa"/>
            <w:gridSpan w:val="3"/>
          </w:tcPr>
          <w:p w:rsidR="001A3225" w:rsidRDefault="00666D4F">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3899" w:type="dxa"/>
            <w:vAlign w:val="center"/>
          </w:tcPr>
          <w:p w:rsidR="001A3225" w:rsidRDefault="00666D4F">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1A3225">
        <w:trPr>
          <w:cantSplit/>
          <w:trHeight w:val="196"/>
        </w:trPr>
        <w:tc>
          <w:tcPr>
            <w:tcW w:w="7947" w:type="dxa"/>
            <w:gridSpan w:val="2"/>
            <w:tcBorders>
              <w:top w:val="single" w:sz="4" w:space="0" w:color="000000"/>
              <w:left w:val="single" w:sz="4" w:space="0" w:color="000000"/>
              <w:bottom w:val="single" w:sz="4" w:space="0" w:color="000000"/>
            </w:tcBorders>
          </w:tcPr>
          <w:p w:rsidR="001A3225" w:rsidRDefault="00666D4F">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1A3225" w:rsidRDefault="00666D4F">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1A3225">
        <w:trPr>
          <w:cantSplit/>
          <w:trHeight w:val="468"/>
        </w:trPr>
        <w:tc>
          <w:tcPr>
            <w:tcW w:w="3987"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1A3225" w:rsidRDefault="00666D4F">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2,249.46</w:t>
            </w: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2,249.46</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2,249.46</w:t>
            </w: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1,714.35</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167.26</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348.07</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19.78</w:t>
            </w: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（三十）抗</w:t>
            </w:r>
            <w:proofErr w:type="gramStart"/>
            <w:r>
              <w:rPr>
                <w:rFonts w:ascii="仿宋" w:eastAsia="仿宋" w:hAnsi="仿宋" w:cs="仿宋" w:hint="eastAsia"/>
              </w:rPr>
              <w:t>疫</w:t>
            </w:r>
            <w:proofErr w:type="gramEnd"/>
            <w:r>
              <w:rPr>
                <w:rFonts w:ascii="仿宋" w:eastAsia="仿宋" w:hAnsi="仿宋" w:cs="仿宋" w:hint="eastAsia"/>
              </w:rPr>
              <w:t>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lang w:val="en-US"/>
              </w:rPr>
            </w:pPr>
          </w:p>
        </w:tc>
      </w:tr>
      <w:tr w:rsidR="001A3225">
        <w:trPr>
          <w:cantSplit/>
          <w:trHeight w:hRule="exact" w:val="296"/>
        </w:trPr>
        <w:tc>
          <w:tcPr>
            <w:tcW w:w="3987"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1A3225" w:rsidRDefault="00666D4F">
            <w:pPr>
              <w:jc w:val="right"/>
              <w:rPr>
                <w:rFonts w:ascii="仿宋" w:eastAsia="仿宋" w:hAnsi="仿宋" w:cs="仿宋"/>
              </w:rPr>
            </w:pPr>
            <w:r>
              <w:rPr>
                <w:rFonts w:ascii="仿宋" w:eastAsia="仿宋" w:hAnsi="仿宋" w:cs="仿宋" w:hint="eastAsia"/>
              </w:rPr>
              <w:t>2,249.46</w:t>
            </w:r>
          </w:p>
        </w:tc>
        <w:tc>
          <w:tcPr>
            <w:tcW w:w="3943"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1A3225" w:rsidRDefault="00666D4F">
            <w:pPr>
              <w:jc w:val="right"/>
              <w:rPr>
                <w:rFonts w:ascii="仿宋" w:eastAsia="仿宋" w:hAnsi="仿宋" w:cs="仿宋"/>
              </w:rPr>
            </w:pPr>
            <w:r>
              <w:rPr>
                <w:rFonts w:ascii="仿宋" w:eastAsia="仿宋" w:hAnsi="仿宋" w:cs="仿宋" w:hint="eastAsia"/>
              </w:rPr>
              <w:t>2,249.46</w:t>
            </w:r>
          </w:p>
        </w:tc>
      </w:tr>
    </w:tbl>
    <w:p w:rsidR="001A3225" w:rsidRDefault="001A3225">
      <w:pPr>
        <w:ind w:leftChars="-100" w:left="-220"/>
        <w:rPr>
          <w:rFonts w:ascii="仿宋" w:eastAsia="仿宋" w:hAnsi="仿宋" w:cs="仿宋"/>
          <w:b/>
          <w:bCs/>
        </w:rPr>
        <w:sectPr w:rsidR="001A3225">
          <w:footerReference w:type="default" r:id="rId15"/>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846"/>
        <w:gridCol w:w="4213"/>
        <w:gridCol w:w="2040"/>
        <w:gridCol w:w="1827"/>
        <w:gridCol w:w="1813"/>
        <w:gridCol w:w="1813"/>
        <w:gridCol w:w="1664"/>
      </w:tblGrid>
      <w:tr w:rsidR="001A3225">
        <w:trPr>
          <w:cantSplit/>
          <w:trHeight w:val="321"/>
        </w:trPr>
        <w:tc>
          <w:tcPr>
            <w:tcW w:w="15216" w:type="dxa"/>
            <w:gridSpan w:val="7"/>
            <w:vAlign w:val="center"/>
          </w:tcPr>
          <w:p w:rsidR="001A3225" w:rsidRDefault="00666D4F">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1A3225">
        <w:trPr>
          <w:cantSplit/>
          <w:trHeight w:val="321"/>
        </w:trPr>
        <w:tc>
          <w:tcPr>
            <w:tcW w:w="15216" w:type="dxa"/>
            <w:gridSpan w:val="7"/>
          </w:tcPr>
          <w:p w:rsidR="001A3225" w:rsidRDefault="00666D4F">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1A3225">
        <w:trPr>
          <w:cantSplit/>
          <w:trHeight w:val="309"/>
        </w:trPr>
        <w:tc>
          <w:tcPr>
            <w:tcW w:w="13552" w:type="dxa"/>
            <w:gridSpan w:val="6"/>
          </w:tcPr>
          <w:p w:rsidR="001A3225" w:rsidRDefault="00666D4F">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1664" w:type="dxa"/>
            <w:vAlign w:val="center"/>
          </w:tcPr>
          <w:p w:rsidR="001A3225" w:rsidRDefault="00666D4F">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1A3225">
        <w:trPr>
          <w:cantSplit/>
          <w:trHeight w:val="319"/>
        </w:trPr>
        <w:tc>
          <w:tcPr>
            <w:tcW w:w="1846" w:type="dxa"/>
            <w:vMerge w:val="restart"/>
            <w:tcBorders>
              <w:top w:val="single" w:sz="6" w:space="0" w:color="000000"/>
              <w:left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1A3225">
        <w:trPr>
          <w:cantSplit/>
          <w:trHeight w:val="296"/>
        </w:trPr>
        <w:tc>
          <w:tcPr>
            <w:tcW w:w="1846" w:type="dxa"/>
            <w:vMerge/>
            <w:tcBorders>
              <w:left w:val="single" w:sz="6" w:space="0" w:color="000000"/>
              <w:bottom w:val="single" w:sz="6" w:space="0" w:color="000000"/>
            </w:tcBorders>
            <w:vAlign w:val="center"/>
          </w:tcPr>
          <w:p w:rsidR="001A3225" w:rsidRDefault="001A3225">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1A3225" w:rsidRDefault="001A3225">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1A3225" w:rsidRDefault="001A3225">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1A3225" w:rsidRDefault="00666D4F">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1A3225" w:rsidRDefault="00666D4F">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1A3225" w:rsidRDefault="00666D4F">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1A3225" w:rsidRDefault="001A3225">
            <w:pPr>
              <w:spacing w:after="34" w:line="34" w:lineRule="atLeast"/>
              <w:rPr>
                <w:rFonts w:ascii="仿宋" w:eastAsia="仿宋" w:hAnsi="仿宋" w:cs="仿宋"/>
              </w:rPr>
            </w:pPr>
          </w:p>
        </w:tc>
      </w:tr>
      <w:tr w:rsidR="001A3225">
        <w:trPr>
          <w:cantSplit/>
          <w:trHeight w:hRule="exact" w:val="350"/>
        </w:trPr>
        <w:tc>
          <w:tcPr>
            <w:tcW w:w="6059" w:type="dxa"/>
            <w:gridSpan w:val="2"/>
            <w:tcBorders>
              <w:left w:val="single" w:sz="6" w:space="0" w:color="000000"/>
              <w:bottom w:val="single" w:sz="6" w:space="0" w:color="000000"/>
            </w:tcBorders>
            <w:vAlign w:val="center"/>
          </w:tcPr>
          <w:p w:rsidR="001A3225" w:rsidRDefault="00666D4F">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2,249.46</w:t>
            </w:r>
          </w:p>
        </w:tc>
        <w:tc>
          <w:tcPr>
            <w:tcW w:w="1827" w:type="dxa"/>
            <w:tcBorders>
              <w:left w:val="single" w:sz="6" w:space="0" w:color="000000"/>
              <w:bottom w:val="single" w:sz="6" w:space="0" w:color="000000"/>
            </w:tcBorders>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1,792.01</w:t>
            </w:r>
          </w:p>
        </w:tc>
        <w:tc>
          <w:tcPr>
            <w:tcW w:w="1813" w:type="dxa"/>
            <w:tcBorders>
              <w:left w:val="single" w:sz="6" w:space="0" w:color="000000"/>
              <w:bottom w:val="single" w:sz="6" w:space="0" w:color="000000"/>
            </w:tcBorders>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1,728.11</w:t>
            </w:r>
          </w:p>
        </w:tc>
        <w:tc>
          <w:tcPr>
            <w:tcW w:w="1813" w:type="dxa"/>
            <w:tcBorders>
              <w:left w:val="single" w:sz="6" w:space="0" w:color="000000"/>
              <w:bottom w:val="single" w:sz="6" w:space="0" w:color="000000"/>
            </w:tcBorders>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63.90</w:t>
            </w:r>
          </w:p>
        </w:tc>
        <w:tc>
          <w:tcPr>
            <w:tcW w:w="1664" w:type="dxa"/>
            <w:tcBorders>
              <w:left w:val="single" w:sz="6" w:space="0" w:color="000000"/>
              <w:bottom w:val="single" w:sz="6" w:space="0" w:color="000000"/>
              <w:right w:val="single" w:sz="6" w:space="0" w:color="000000"/>
            </w:tcBorders>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457.45</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201</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一般公共服务支出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1,714.35</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1,212.78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63.90</w:t>
            </w: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437.67</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20103</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政府办公厅（室）及相关机构事务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1,714.35</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1,212.78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63.90</w:t>
            </w: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437.67</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2010301</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1,276.68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1,212.78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63.90</w:t>
            </w: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2010306</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政务公开审批</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437.67</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437.67</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167.26</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167.26</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167.26</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128.88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128.88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128.88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85.92</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85.92</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85.92</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42.96</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42.96</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42.96</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20899</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2089999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其他社会保障和就业支出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38.38</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348.07</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104.55</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104.55</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104.55</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126.31</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126.31</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126.31</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117.21</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117.21</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117.21</w:t>
            </w: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spacing w:after="34" w:line="34" w:lineRule="atLeast"/>
              <w:jc w:val="right"/>
              <w:rPr>
                <w:rFonts w:ascii="仿宋" w:eastAsia="仿宋" w:hAnsi="仿宋" w:cs="仿宋"/>
              </w:rPr>
            </w:pP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229</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 xml:space="preserve">  22999</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r>
      <w:tr w:rsidR="001A322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lastRenderedPageBreak/>
              <w:t xml:space="preserve">    2299999</w:t>
            </w:r>
          </w:p>
        </w:tc>
        <w:tc>
          <w:tcPr>
            <w:tcW w:w="421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rPr>
                <w:rFonts w:ascii="仿宋" w:eastAsia="仿宋" w:hAnsi="仿宋" w:cs="仿宋"/>
              </w:rPr>
            </w:pPr>
            <w:r>
              <w:rPr>
                <w:rFonts w:ascii="仿宋" w:eastAsia="仿宋" w:hAnsi="仿宋" w:cs="仿宋" w:hint="eastAsia"/>
              </w:rPr>
              <w:t>其他支出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spacing w:after="34" w:line="34" w:lineRule="atLeast"/>
              <w:jc w:val="right"/>
              <w:rPr>
                <w:rFonts w:ascii="仿宋" w:eastAsia="仿宋" w:hAnsi="仿宋" w:cs="仿宋"/>
              </w:rPr>
            </w:pPr>
            <w:r>
              <w:rPr>
                <w:rFonts w:ascii="仿宋" w:eastAsia="仿宋" w:hAnsi="仿宋" w:cs="仿宋" w:hint="eastAsia"/>
              </w:rPr>
              <w:t>19.78</w:t>
            </w:r>
          </w:p>
        </w:tc>
      </w:tr>
    </w:tbl>
    <w:p w:rsidR="001A3225" w:rsidRDefault="001A3225">
      <w:pPr>
        <w:tabs>
          <w:tab w:val="left" w:pos="55"/>
        </w:tabs>
        <w:jc w:val="both"/>
        <w:rPr>
          <w:rFonts w:ascii="仿宋" w:eastAsia="仿宋" w:hAnsi="仿宋" w:cs="仿宋"/>
          <w:b/>
          <w:bCs/>
        </w:rPr>
        <w:sectPr w:rsidR="001A3225">
          <w:footerReference w:type="default" r:id="rId16"/>
          <w:pgSz w:w="16838" w:h="11906" w:orient="landscape"/>
          <w:pgMar w:top="720" w:right="720" w:bottom="720" w:left="720" w:header="170" w:footer="280" w:gutter="0"/>
          <w:pgNumType w:fmt="numberInDash"/>
          <w:cols w:space="720"/>
          <w:formProt w:val="0"/>
          <w:docGrid w:linePitch="100"/>
        </w:sectPr>
      </w:pPr>
    </w:p>
    <w:p w:rsidR="001A3225" w:rsidRDefault="001A3225">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1A3225">
        <w:trPr>
          <w:cantSplit/>
          <w:trHeight w:val="319"/>
        </w:trPr>
        <w:tc>
          <w:tcPr>
            <w:tcW w:w="10817" w:type="dxa"/>
            <w:gridSpan w:val="5"/>
            <w:vAlign w:val="center"/>
          </w:tcPr>
          <w:p w:rsidR="001A3225" w:rsidRDefault="00666D4F">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1A3225">
        <w:trPr>
          <w:cantSplit/>
          <w:trHeight w:val="319"/>
        </w:trPr>
        <w:tc>
          <w:tcPr>
            <w:tcW w:w="10817" w:type="dxa"/>
            <w:gridSpan w:val="5"/>
          </w:tcPr>
          <w:p w:rsidR="001A3225" w:rsidRDefault="00666D4F">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1A3225">
        <w:trPr>
          <w:cantSplit/>
          <w:trHeight w:val="319"/>
        </w:trPr>
        <w:tc>
          <w:tcPr>
            <w:tcW w:w="8760" w:type="dxa"/>
            <w:gridSpan w:val="4"/>
          </w:tcPr>
          <w:p w:rsidR="001A3225" w:rsidRDefault="00666D4F">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2057" w:type="dxa"/>
            <w:vAlign w:val="center"/>
          </w:tcPr>
          <w:p w:rsidR="001A3225" w:rsidRDefault="00666D4F">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1A3225">
        <w:trPr>
          <w:cantSplit/>
          <w:trHeight w:val="243"/>
        </w:trPr>
        <w:tc>
          <w:tcPr>
            <w:tcW w:w="4673" w:type="dxa"/>
            <w:gridSpan w:val="2"/>
            <w:tcBorders>
              <w:top w:val="single" w:sz="4" w:space="0" w:color="000000"/>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1A3225">
        <w:trPr>
          <w:cantSplit/>
          <w:trHeight w:val="267"/>
        </w:trPr>
        <w:tc>
          <w:tcPr>
            <w:tcW w:w="1131"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公用经费</w:t>
            </w:r>
          </w:p>
        </w:tc>
      </w:tr>
      <w:tr w:rsidR="001A3225">
        <w:trPr>
          <w:cantSplit/>
          <w:trHeight w:hRule="exact" w:val="350"/>
        </w:trPr>
        <w:tc>
          <w:tcPr>
            <w:tcW w:w="4673" w:type="dxa"/>
            <w:gridSpan w:val="2"/>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1,792.01</w:t>
            </w:r>
          </w:p>
        </w:tc>
        <w:tc>
          <w:tcPr>
            <w:tcW w:w="2040"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1,728.11</w:t>
            </w:r>
          </w:p>
        </w:tc>
        <w:tc>
          <w:tcPr>
            <w:tcW w:w="2057" w:type="dxa"/>
            <w:tcBorders>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63.90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1,707.03</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1,707.03</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164.32</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164.32</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608.76</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608.76</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429.95</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429.95</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24.95</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24.95</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34.71</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34.71</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3.67</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3.67</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4.44</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4.44</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202.80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202.80</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30.94</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30.94</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30202</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印刷费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4.00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4.00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9.99</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9.99</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1.00</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21.08</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21.08</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19.91</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19.91</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w:t>
            </w: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310</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r>
      <w:tr w:rsidR="001A322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31099</w:t>
            </w:r>
          </w:p>
        </w:tc>
        <w:tc>
          <w:tcPr>
            <w:tcW w:w="3542"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其他资本性支出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c>
          <w:tcPr>
            <w:tcW w:w="2040"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r>
    </w:tbl>
    <w:p w:rsidR="001A3225" w:rsidRDefault="001A3225">
      <w:pPr>
        <w:spacing w:line="255" w:lineRule="exact"/>
        <w:rPr>
          <w:rFonts w:ascii="仿宋" w:eastAsia="仿宋" w:hAnsi="仿宋" w:cs="仿宋"/>
          <w:b/>
          <w:bCs/>
        </w:rPr>
        <w:sectPr w:rsidR="001A3225">
          <w:footerReference w:type="default" r:id="rId17"/>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792"/>
        <w:gridCol w:w="4307"/>
        <w:gridCol w:w="1960"/>
        <w:gridCol w:w="1693"/>
        <w:gridCol w:w="1987"/>
        <w:gridCol w:w="1827"/>
        <w:gridCol w:w="1650"/>
      </w:tblGrid>
      <w:tr w:rsidR="001A3225">
        <w:trPr>
          <w:cantSplit/>
          <w:trHeight w:val="321"/>
        </w:trPr>
        <w:tc>
          <w:tcPr>
            <w:tcW w:w="15216" w:type="dxa"/>
            <w:gridSpan w:val="7"/>
            <w:vAlign w:val="center"/>
          </w:tcPr>
          <w:p w:rsidR="001A3225" w:rsidRDefault="00666D4F">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1A3225">
        <w:trPr>
          <w:cantSplit/>
          <w:trHeight w:val="321"/>
        </w:trPr>
        <w:tc>
          <w:tcPr>
            <w:tcW w:w="15216" w:type="dxa"/>
            <w:gridSpan w:val="7"/>
          </w:tcPr>
          <w:p w:rsidR="001A3225" w:rsidRDefault="00666D4F">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1A3225">
        <w:trPr>
          <w:cantSplit/>
          <w:trHeight w:val="288"/>
        </w:trPr>
        <w:tc>
          <w:tcPr>
            <w:tcW w:w="13566" w:type="dxa"/>
            <w:gridSpan w:val="6"/>
          </w:tcPr>
          <w:p w:rsidR="001A3225" w:rsidRDefault="00666D4F">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1650" w:type="dxa"/>
            <w:vAlign w:val="center"/>
          </w:tcPr>
          <w:p w:rsidR="001A3225" w:rsidRDefault="00666D4F">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1A3225">
        <w:trPr>
          <w:cantSplit/>
          <w:trHeight w:val="319"/>
        </w:trPr>
        <w:tc>
          <w:tcPr>
            <w:tcW w:w="1792" w:type="dxa"/>
            <w:vMerge w:val="restart"/>
            <w:tcBorders>
              <w:top w:val="single" w:sz="6" w:space="0" w:color="000000"/>
              <w:left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项目支出</w:t>
            </w:r>
          </w:p>
        </w:tc>
      </w:tr>
      <w:tr w:rsidR="001A3225">
        <w:trPr>
          <w:cantSplit/>
          <w:trHeight w:val="341"/>
        </w:trPr>
        <w:tc>
          <w:tcPr>
            <w:tcW w:w="1792" w:type="dxa"/>
            <w:vMerge/>
            <w:tcBorders>
              <w:left w:val="single" w:sz="6" w:space="0" w:color="000000"/>
              <w:bottom w:val="single" w:sz="6" w:space="0" w:color="000000"/>
            </w:tcBorders>
            <w:vAlign w:val="center"/>
          </w:tcPr>
          <w:p w:rsidR="001A3225" w:rsidRDefault="001A3225">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1A3225" w:rsidRDefault="001A3225">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1A3225" w:rsidRDefault="001A3225">
            <w:pPr>
              <w:rPr>
                <w:rFonts w:ascii="仿宋" w:eastAsia="仿宋" w:hAnsi="仿宋" w:cs="仿宋"/>
              </w:rPr>
            </w:pPr>
          </w:p>
        </w:tc>
        <w:tc>
          <w:tcPr>
            <w:tcW w:w="1693" w:type="dxa"/>
            <w:tcBorders>
              <w:left w:val="single" w:sz="6" w:space="0" w:color="000000"/>
              <w:bottom w:val="single" w:sz="6" w:space="0" w:color="000000"/>
            </w:tcBorders>
            <w:vAlign w:val="center"/>
          </w:tcPr>
          <w:p w:rsidR="001A3225" w:rsidRDefault="00666D4F">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1A3225" w:rsidRDefault="00666D4F">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1A3225" w:rsidRDefault="00666D4F">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1A3225" w:rsidRDefault="001A3225">
            <w:pPr>
              <w:rPr>
                <w:rFonts w:ascii="仿宋" w:eastAsia="仿宋" w:hAnsi="仿宋" w:cs="仿宋"/>
              </w:rPr>
            </w:pPr>
          </w:p>
        </w:tc>
      </w:tr>
      <w:tr w:rsidR="001A3225">
        <w:trPr>
          <w:cantSplit/>
          <w:trHeight w:hRule="exact" w:val="378"/>
        </w:trPr>
        <w:tc>
          <w:tcPr>
            <w:tcW w:w="6099" w:type="dxa"/>
            <w:gridSpan w:val="2"/>
            <w:tcBorders>
              <w:left w:val="single" w:sz="6" w:space="0" w:color="000000"/>
              <w:bottom w:val="single" w:sz="6"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2,249.46</w:t>
            </w:r>
          </w:p>
        </w:tc>
        <w:tc>
          <w:tcPr>
            <w:tcW w:w="1693" w:type="dxa"/>
            <w:tcBorders>
              <w:left w:val="single" w:sz="6" w:space="0" w:color="000000"/>
              <w:bottom w:val="single" w:sz="6"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1,792.01</w:t>
            </w:r>
          </w:p>
        </w:tc>
        <w:tc>
          <w:tcPr>
            <w:tcW w:w="1987" w:type="dxa"/>
            <w:tcBorders>
              <w:left w:val="single" w:sz="6" w:space="0" w:color="000000"/>
              <w:bottom w:val="single" w:sz="6"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1,728.11</w:t>
            </w:r>
          </w:p>
        </w:tc>
        <w:tc>
          <w:tcPr>
            <w:tcW w:w="1827" w:type="dxa"/>
            <w:tcBorders>
              <w:left w:val="single" w:sz="6" w:space="0" w:color="000000"/>
              <w:bottom w:val="single" w:sz="6"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63.90</w:t>
            </w:r>
          </w:p>
        </w:tc>
        <w:tc>
          <w:tcPr>
            <w:tcW w:w="1650" w:type="dxa"/>
            <w:tcBorders>
              <w:left w:val="single" w:sz="6" w:space="0" w:color="000000"/>
              <w:bottom w:val="single" w:sz="6" w:space="0" w:color="000000"/>
              <w:right w:val="single" w:sz="6" w:space="0" w:color="000000"/>
            </w:tcBorders>
          </w:tcPr>
          <w:p w:rsidR="001A3225" w:rsidRDefault="00666D4F">
            <w:pPr>
              <w:pStyle w:val="TableParagraph"/>
              <w:jc w:val="right"/>
              <w:rPr>
                <w:rFonts w:ascii="仿宋" w:eastAsia="仿宋" w:hAnsi="仿宋" w:cs="仿宋"/>
              </w:rPr>
            </w:pPr>
            <w:r>
              <w:rPr>
                <w:rFonts w:ascii="仿宋" w:eastAsia="仿宋" w:hAnsi="仿宋" w:cs="仿宋" w:hint="eastAsia"/>
              </w:rPr>
              <w:t>457.45</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201</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一般公共服务支出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1,714.35</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1,212.78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63.90</w:t>
            </w: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437.67</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20103</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政府办公厅（室）及相关机构事务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1,714.35</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1,212.78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63.90</w:t>
            </w: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437.67</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2010301</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1,276.68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1,212.78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63.90</w:t>
            </w: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2010306</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政务公开审批</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437.67</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437.67</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167.26</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167.26</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167.26</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128.88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128.88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128.88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20899</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2089999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38.38</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348.07</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126.31</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126.31</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126.31</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117.21</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117.21</w:t>
            </w: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117.21</w:t>
            </w: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229</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22999</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r>
      <w:tr w:rsidR="001A322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2299999</w:t>
            </w:r>
          </w:p>
        </w:tc>
        <w:tc>
          <w:tcPr>
            <w:tcW w:w="4307"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c>
          <w:tcPr>
            <w:tcW w:w="1693"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19.78</w:t>
            </w:r>
          </w:p>
        </w:tc>
      </w:tr>
    </w:tbl>
    <w:p w:rsidR="001A3225" w:rsidRDefault="001A3225">
      <w:pPr>
        <w:spacing w:before="25"/>
        <w:rPr>
          <w:rFonts w:ascii="仿宋" w:eastAsia="仿宋" w:hAnsi="仿宋" w:cs="仿宋"/>
          <w:b/>
          <w:bCs/>
        </w:rPr>
        <w:sectPr w:rsidR="001A3225">
          <w:footerReference w:type="default" r:id="rId18"/>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firstRow="1" w:lastRow="0" w:firstColumn="1" w:lastColumn="0" w:noHBand="0" w:noVBand="1"/>
      </w:tblPr>
      <w:tblGrid>
        <w:gridCol w:w="1227"/>
        <w:gridCol w:w="3667"/>
        <w:gridCol w:w="2413"/>
        <w:gridCol w:w="1974"/>
        <w:gridCol w:w="1673"/>
      </w:tblGrid>
      <w:tr w:rsidR="001A3225">
        <w:trPr>
          <w:cantSplit/>
          <w:trHeight w:val="319"/>
        </w:trPr>
        <w:tc>
          <w:tcPr>
            <w:tcW w:w="10954" w:type="dxa"/>
            <w:gridSpan w:val="5"/>
          </w:tcPr>
          <w:p w:rsidR="001A3225" w:rsidRDefault="00666D4F">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1A3225">
        <w:trPr>
          <w:cantSplit/>
          <w:trHeight w:val="189"/>
        </w:trPr>
        <w:tc>
          <w:tcPr>
            <w:tcW w:w="10954" w:type="dxa"/>
            <w:gridSpan w:val="5"/>
          </w:tcPr>
          <w:p w:rsidR="001A3225" w:rsidRDefault="00666D4F">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1A3225">
        <w:trPr>
          <w:cantSplit/>
          <w:trHeight w:val="138"/>
        </w:trPr>
        <w:tc>
          <w:tcPr>
            <w:tcW w:w="9281" w:type="dxa"/>
            <w:gridSpan w:val="4"/>
            <w:vAlign w:val="center"/>
          </w:tcPr>
          <w:p w:rsidR="001A3225" w:rsidRDefault="00666D4F">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1673" w:type="dxa"/>
            <w:vAlign w:val="center"/>
          </w:tcPr>
          <w:p w:rsidR="001A3225" w:rsidRDefault="00666D4F">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1A3225">
        <w:trPr>
          <w:cantSplit/>
          <w:trHeight w:val="180"/>
        </w:trPr>
        <w:tc>
          <w:tcPr>
            <w:tcW w:w="4894" w:type="dxa"/>
            <w:gridSpan w:val="2"/>
            <w:tcBorders>
              <w:top w:val="single" w:sz="4" w:space="0" w:color="000000"/>
              <w:left w:val="single" w:sz="4" w:space="0" w:color="000000"/>
              <w:bottom w:val="single" w:sz="4" w:space="0" w:color="000000"/>
            </w:tcBorders>
            <w:vAlign w:val="center"/>
          </w:tcPr>
          <w:p w:rsidR="001A3225" w:rsidRDefault="00666D4F">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1A3225" w:rsidRDefault="00666D4F">
            <w:pPr>
              <w:jc w:val="center"/>
              <w:rPr>
                <w:rFonts w:ascii="仿宋" w:eastAsia="仿宋" w:hAnsi="仿宋" w:cs="仿宋"/>
              </w:rPr>
            </w:pPr>
            <w:r>
              <w:rPr>
                <w:rFonts w:ascii="仿宋" w:eastAsia="仿宋" w:hAnsi="仿宋" w:cs="仿宋" w:hint="eastAsia"/>
              </w:rPr>
              <w:t>本年一般公共预算基本支出</w:t>
            </w:r>
          </w:p>
        </w:tc>
      </w:tr>
      <w:tr w:rsidR="001A3225">
        <w:trPr>
          <w:cantSplit/>
          <w:trHeight w:val="190"/>
        </w:trPr>
        <w:tc>
          <w:tcPr>
            <w:tcW w:w="1227"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公用经费</w:t>
            </w:r>
          </w:p>
        </w:tc>
      </w:tr>
      <w:tr w:rsidR="001A3225">
        <w:trPr>
          <w:cantSplit/>
          <w:trHeight w:hRule="exact" w:val="382"/>
        </w:trPr>
        <w:tc>
          <w:tcPr>
            <w:tcW w:w="4894" w:type="dxa"/>
            <w:gridSpan w:val="2"/>
            <w:tcBorders>
              <w:left w:val="single" w:sz="4" w:space="0" w:color="000000"/>
              <w:bottom w:val="single" w:sz="4" w:space="0" w:color="000000"/>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1,792.01</w:t>
            </w:r>
          </w:p>
        </w:tc>
        <w:tc>
          <w:tcPr>
            <w:tcW w:w="1974" w:type="dxa"/>
            <w:tcBorders>
              <w:left w:val="single" w:sz="4" w:space="0" w:color="000000"/>
              <w:bottom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1,728.11</w:t>
            </w:r>
          </w:p>
        </w:tc>
        <w:tc>
          <w:tcPr>
            <w:tcW w:w="1673" w:type="dxa"/>
            <w:tcBorders>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63.90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1,707.03</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1,707.03</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164.32</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164.32</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608.76</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608.76</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429.95</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429.95</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24.95</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24.95</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85.92</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42.96</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34.71</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34.71</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3.67</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3.67</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104.55</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4.44</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4.44</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202.80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202.80</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30.94</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30.94</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30202</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印刷费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4.00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4.00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9.99</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9.99</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1.00</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21.08</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21.08</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19.91</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19.91</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1.17</w:t>
            </w: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310</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r>
      <w:tr w:rsidR="001A322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 xml:space="preserve">  31099</w:t>
            </w:r>
          </w:p>
        </w:tc>
        <w:tc>
          <w:tcPr>
            <w:tcW w:w="3667"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rPr>
                <w:rFonts w:ascii="仿宋" w:eastAsia="仿宋" w:hAnsi="仿宋" w:cs="仿宋"/>
              </w:rPr>
            </w:pPr>
            <w:r>
              <w:rPr>
                <w:rFonts w:ascii="仿宋" w:eastAsia="仿宋" w:hAnsi="仿宋" w:cs="仿宋" w:hint="eastAsia"/>
              </w:rPr>
              <w:t>其他资本性支出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c>
          <w:tcPr>
            <w:tcW w:w="1974" w:type="dxa"/>
            <w:tcBorders>
              <w:top w:val="single" w:sz="4" w:space="0" w:color="000000"/>
              <w:left w:val="single" w:sz="4" w:space="0" w:color="000000"/>
              <w:bottom w:val="single" w:sz="4" w:space="0" w:color="000000"/>
              <w:right w:val="single" w:sz="4" w:space="0" w:color="000000"/>
            </w:tcBorders>
            <w:vAlign w:val="center"/>
          </w:tcPr>
          <w:p w:rsidR="001A3225" w:rsidRDefault="001A322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1.36</w:t>
            </w:r>
          </w:p>
        </w:tc>
      </w:tr>
    </w:tbl>
    <w:p w:rsidR="001A3225" w:rsidRDefault="001A3225">
      <w:pPr>
        <w:spacing w:before="25"/>
        <w:rPr>
          <w:rFonts w:ascii="仿宋" w:eastAsia="仿宋" w:hAnsi="仿宋" w:cs="仿宋"/>
          <w:b/>
          <w:bCs/>
        </w:rPr>
        <w:sectPr w:rsidR="001A3225">
          <w:footerReference w:type="default" r:id="rId19"/>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1A3225">
        <w:trPr>
          <w:cantSplit/>
          <w:trHeight w:val="321"/>
        </w:trPr>
        <w:tc>
          <w:tcPr>
            <w:tcW w:w="15909" w:type="dxa"/>
            <w:gridSpan w:val="8"/>
          </w:tcPr>
          <w:p w:rsidR="001A3225" w:rsidRDefault="00666D4F">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1A3225">
        <w:trPr>
          <w:cantSplit/>
          <w:trHeight w:val="207"/>
        </w:trPr>
        <w:tc>
          <w:tcPr>
            <w:tcW w:w="15909" w:type="dxa"/>
            <w:gridSpan w:val="8"/>
          </w:tcPr>
          <w:p w:rsidR="001A3225" w:rsidRDefault="00666D4F">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1A3225">
        <w:trPr>
          <w:cantSplit/>
          <w:trHeight w:val="103"/>
        </w:trPr>
        <w:tc>
          <w:tcPr>
            <w:tcW w:w="12069" w:type="dxa"/>
            <w:gridSpan w:val="6"/>
            <w:tcBorders>
              <w:bottom w:val="single" w:sz="4" w:space="0" w:color="auto"/>
            </w:tcBorders>
          </w:tcPr>
          <w:p w:rsidR="001A3225" w:rsidRDefault="00666D4F">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3840" w:type="dxa"/>
            <w:gridSpan w:val="2"/>
            <w:tcBorders>
              <w:bottom w:val="single" w:sz="4" w:space="0" w:color="auto"/>
            </w:tcBorders>
            <w:vAlign w:val="center"/>
          </w:tcPr>
          <w:p w:rsidR="001A3225" w:rsidRDefault="00666D4F">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1A3225">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sz w:val="20"/>
              </w:rPr>
            </w:pPr>
            <w:r>
              <w:rPr>
                <w:rFonts w:ascii="仿宋" w:eastAsia="仿宋" w:hAnsi="仿宋" w:cs="仿宋" w:hint="eastAsia"/>
              </w:rPr>
              <w:t>培训费</w:t>
            </w:r>
          </w:p>
        </w:tc>
      </w:tr>
      <w:tr w:rsidR="001A3225">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1A3225" w:rsidRDefault="001A3225">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1A3225" w:rsidRDefault="001A3225">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1A3225" w:rsidRDefault="001A3225">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1A3225" w:rsidRDefault="001A3225">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1A3225" w:rsidRDefault="001A3225">
            <w:pPr>
              <w:rPr>
                <w:rFonts w:ascii="仿宋" w:eastAsia="仿宋" w:hAnsi="仿宋" w:cs="仿宋"/>
                <w:sz w:val="2"/>
                <w:szCs w:val="2"/>
              </w:rPr>
            </w:pPr>
          </w:p>
        </w:tc>
      </w:tr>
      <w:tr w:rsidR="001A3225">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c>
          <w:tcPr>
            <w:tcW w:w="2332"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c>
          <w:tcPr>
            <w:tcW w:w="2057"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c>
          <w:tcPr>
            <w:tcW w:w="1783"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r>
    </w:tbl>
    <w:p w:rsidR="001A3225" w:rsidRDefault="001A3225">
      <w:pPr>
        <w:ind w:left="227" w:firstLineChars="100" w:firstLine="221"/>
        <w:rPr>
          <w:rFonts w:ascii="仿宋" w:eastAsia="仿宋" w:hAnsi="仿宋" w:cs="仿宋"/>
          <w:b/>
          <w:bCs/>
        </w:rPr>
        <w:sectPr w:rsidR="001A3225">
          <w:footerReference w:type="default" r:id="rId20"/>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firstRow="1" w:lastRow="0" w:firstColumn="1" w:lastColumn="0" w:noHBand="0" w:noVBand="1"/>
      </w:tblPr>
      <w:tblGrid>
        <w:gridCol w:w="1618"/>
        <w:gridCol w:w="2834"/>
        <w:gridCol w:w="1783"/>
        <w:gridCol w:w="2092"/>
        <w:gridCol w:w="2485"/>
      </w:tblGrid>
      <w:tr w:rsidR="001A3225">
        <w:trPr>
          <w:cantSplit/>
          <w:trHeight w:val="213"/>
        </w:trPr>
        <w:tc>
          <w:tcPr>
            <w:tcW w:w="10812" w:type="dxa"/>
            <w:gridSpan w:val="5"/>
            <w:tcBorders>
              <w:top w:val="nil"/>
              <w:left w:val="nil"/>
              <w:bottom w:val="nil"/>
              <w:right w:val="nil"/>
            </w:tcBorders>
            <w:vAlign w:val="center"/>
          </w:tcPr>
          <w:p w:rsidR="001A3225" w:rsidRDefault="00666D4F">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1A3225">
        <w:trPr>
          <w:cantSplit/>
          <w:trHeight w:val="213"/>
        </w:trPr>
        <w:tc>
          <w:tcPr>
            <w:tcW w:w="10812" w:type="dxa"/>
            <w:gridSpan w:val="5"/>
            <w:tcBorders>
              <w:top w:val="nil"/>
              <w:left w:val="nil"/>
              <w:bottom w:val="nil"/>
              <w:right w:val="nil"/>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1A3225">
        <w:trPr>
          <w:cantSplit/>
          <w:trHeight w:val="213"/>
        </w:trPr>
        <w:tc>
          <w:tcPr>
            <w:tcW w:w="8327" w:type="dxa"/>
            <w:gridSpan w:val="4"/>
            <w:tcBorders>
              <w:top w:val="nil"/>
              <w:left w:val="nil"/>
              <w:bottom w:val="single" w:sz="4" w:space="0" w:color="auto"/>
              <w:right w:val="nil"/>
            </w:tcBorders>
            <w:vAlign w:val="center"/>
          </w:tcPr>
          <w:p w:rsidR="001A3225" w:rsidRDefault="00666D4F">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2485" w:type="dxa"/>
            <w:tcBorders>
              <w:top w:val="nil"/>
              <w:left w:val="nil"/>
              <w:bottom w:val="single" w:sz="4" w:space="0" w:color="auto"/>
              <w:right w:val="nil"/>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单位：万元</w:t>
            </w:r>
          </w:p>
        </w:tc>
      </w:tr>
      <w:tr w:rsidR="001A3225">
        <w:trPr>
          <w:cantSplit/>
          <w:trHeight w:val="187"/>
        </w:trPr>
        <w:tc>
          <w:tcPr>
            <w:tcW w:w="1618" w:type="dxa"/>
            <w:vMerge w:val="restart"/>
            <w:tcBorders>
              <w:top w:val="single" w:sz="4" w:space="0" w:color="auto"/>
              <w:left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本年政府性基金预算支出</w:t>
            </w:r>
          </w:p>
        </w:tc>
      </w:tr>
      <w:tr w:rsidR="001A3225">
        <w:trPr>
          <w:cantSplit/>
          <w:trHeight w:val="139"/>
        </w:trPr>
        <w:tc>
          <w:tcPr>
            <w:tcW w:w="1618" w:type="dxa"/>
            <w:vMerge/>
            <w:tcBorders>
              <w:left w:val="single" w:sz="4" w:space="0" w:color="auto"/>
              <w:bottom w:val="single" w:sz="4" w:space="0" w:color="auto"/>
              <w:right w:val="single" w:sz="4" w:space="0" w:color="auto"/>
            </w:tcBorders>
            <w:vAlign w:val="center"/>
          </w:tcPr>
          <w:p w:rsidR="001A3225" w:rsidRDefault="001A3225">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1A3225" w:rsidRDefault="001A3225">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项目支出</w:t>
            </w:r>
          </w:p>
        </w:tc>
      </w:tr>
      <w:tr w:rsidR="001A3225">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1A3225" w:rsidRDefault="001A3225">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1A3225" w:rsidRDefault="00666D4F">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r>
      <w:tr w:rsidR="001A322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1A3225" w:rsidRDefault="001A322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1A3225" w:rsidRDefault="001A322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r>
      <w:tr w:rsidR="001A322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1A3225" w:rsidRDefault="001A322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1A3225" w:rsidRDefault="001A322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1A3225" w:rsidRDefault="001A3225">
            <w:pPr>
              <w:jc w:val="right"/>
              <w:rPr>
                <w:rFonts w:ascii="仿宋" w:eastAsia="仿宋" w:hAnsi="仿宋" w:cs="仿宋"/>
              </w:rPr>
            </w:pPr>
          </w:p>
        </w:tc>
      </w:tr>
    </w:tbl>
    <w:p w:rsidR="001A3225" w:rsidRDefault="00666D4F">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1A3225" w:rsidRDefault="001A3225">
      <w:pPr>
        <w:spacing w:before="25"/>
        <w:rPr>
          <w:rFonts w:ascii="仿宋" w:eastAsia="仿宋" w:hAnsi="仿宋" w:cs="仿宋"/>
          <w:b/>
          <w:bCs/>
          <w:lang w:val="en-US"/>
        </w:rPr>
        <w:sectPr w:rsidR="001A3225">
          <w:footerReference w:type="default" r:id="rId21"/>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firstRow="1" w:lastRow="0" w:firstColumn="1" w:lastColumn="0" w:noHBand="0" w:noVBand="1"/>
      </w:tblPr>
      <w:tblGrid>
        <w:gridCol w:w="1596"/>
        <w:gridCol w:w="3803"/>
        <w:gridCol w:w="3111"/>
        <w:gridCol w:w="3094"/>
        <w:gridCol w:w="3091"/>
      </w:tblGrid>
      <w:tr w:rsidR="001A3225">
        <w:trPr>
          <w:cantSplit/>
          <w:trHeight w:val="447"/>
          <w:jc w:val="center"/>
        </w:trPr>
        <w:tc>
          <w:tcPr>
            <w:tcW w:w="14695" w:type="dxa"/>
            <w:gridSpan w:val="5"/>
            <w:tcBorders>
              <w:top w:val="nil"/>
              <w:left w:val="nil"/>
              <w:bottom w:val="nil"/>
              <w:right w:val="nil"/>
            </w:tcBorders>
            <w:shd w:val="clear" w:color="auto" w:fill="auto"/>
            <w:vAlign w:val="center"/>
          </w:tcPr>
          <w:p w:rsidR="001A3225" w:rsidRDefault="00666D4F">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1A3225">
        <w:trPr>
          <w:cantSplit/>
          <w:trHeight w:val="960"/>
          <w:jc w:val="center"/>
        </w:trPr>
        <w:tc>
          <w:tcPr>
            <w:tcW w:w="14695" w:type="dxa"/>
            <w:gridSpan w:val="5"/>
            <w:tcBorders>
              <w:top w:val="nil"/>
              <w:left w:val="nil"/>
              <w:bottom w:val="nil"/>
              <w:right w:val="nil"/>
            </w:tcBorders>
            <w:shd w:val="clear" w:color="auto" w:fill="auto"/>
            <w:vAlign w:val="center"/>
          </w:tcPr>
          <w:p w:rsidR="001A3225" w:rsidRDefault="00666D4F">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1A3225">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1A3225" w:rsidRDefault="00666D4F">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3091" w:type="dxa"/>
            <w:tcBorders>
              <w:top w:val="nil"/>
              <w:left w:val="nil"/>
              <w:bottom w:val="nil"/>
              <w:right w:val="nil"/>
            </w:tcBorders>
            <w:shd w:val="clear" w:color="auto" w:fill="auto"/>
            <w:noWrap/>
            <w:vAlign w:val="center"/>
          </w:tcPr>
          <w:p w:rsidR="001A3225" w:rsidRDefault="00666D4F">
            <w:pPr>
              <w:widowControl/>
              <w:jc w:val="right"/>
              <w:rPr>
                <w:rFonts w:ascii="仿宋" w:eastAsia="仿宋" w:hAnsi="仿宋" w:cs="仿宋"/>
              </w:rPr>
            </w:pPr>
            <w:r>
              <w:rPr>
                <w:rFonts w:ascii="仿宋" w:eastAsia="仿宋" w:hAnsi="仿宋" w:cs="仿宋" w:hint="eastAsia"/>
              </w:rPr>
              <w:t>单位：万元</w:t>
            </w:r>
          </w:p>
        </w:tc>
      </w:tr>
      <w:tr w:rsidR="001A3225">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项目支出</w:t>
            </w:r>
          </w:p>
        </w:tc>
      </w:tr>
      <w:tr w:rsidR="001A3225">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功能分类</w:t>
            </w:r>
          </w:p>
          <w:p w:rsidR="001A3225" w:rsidRDefault="00666D4F">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1A3225" w:rsidRDefault="001A3225">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1A3225" w:rsidRDefault="001A3225">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1A3225" w:rsidRDefault="001A3225">
            <w:pPr>
              <w:widowControl/>
              <w:spacing w:line="34" w:lineRule="atLeast"/>
              <w:rPr>
                <w:rFonts w:ascii="仿宋" w:eastAsia="仿宋" w:hAnsi="仿宋" w:cs="仿宋"/>
              </w:rPr>
            </w:pPr>
          </w:p>
        </w:tc>
      </w:tr>
      <w:tr w:rsidR="001A3225">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3</w:t>
            </w:r>
          </w:p>
        </w:tc>
      </w:tr>
      <w:tr w:rsidR="001A3225">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666D4F">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r>
      <w:tr w:rsidR="001A322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r>
      <w:tr w:rsidR="001A322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1A3225" w:rsidRDefault="001A3225">
            <w:pPr>
              <w:widowControl/>
              <w:spacing w:line="34" w:lineRule="atLeast"/>
              <w:jc w:val="right"/>
              <w:rPr>
                <w:rFonts w:ascii="仿宋" w:eastAsia="仿宋" w:hAnsi="仿宋" w:cs="仿宋"/>
              </w:rPr>
            </w:pPr>
          </w:p>
        </w:tc>
      </w:tr>
    </w:tbl>
    <w:p w:rsidR="001A3225" w:rsidRDefault="00666D4F">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1A3225" w:rsidRDefault="001A3225">
      <w:pPr>
        <w:spacing w:before="25"/>
        <w:rPr>
          <w:rFonts w:ascii="仿宋" w:eastAsia="仿宋" w:hAnsi="仿宋" w:cs="仿宋"/>
          <w:b/>
          <w:bCs/>
          <w:lang w:val="en-US"/>
        </w:rPr>
        <w:sectPr w:rsidR="001A3225">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1A3225">
        <w:trPr>
          <w:cantSplit/>
          <w:trHeight w:val="319"/>
        </w:trPr>
        <w:tc>
          <w:tcPr>
            <w:tcW w:w="10235" w:type="dxa"/>
            <w:gridSpan w:val="4"/>
          </w:tcPr>
          <w:p w:rsidR="001A3225" w:rsidRDefault="00666D4F">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1A3225">
        <w:trPr>
          <w:cantSplit/>
          <w:trHeight w:val="90"/>
        </w:trPr>
        <w:tc>
          <w:tcPr>
            <w:tcW w:w="10235" w:type="dxa"/>
            <w:gridSpan w:val="4"/>
          </w:tcPr>
          <w:p w:rsidR="001A3225" w:rsidRDefault="00666D4F">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1A3225">
        <w:trPr>
          <w:cantSplit/>
          <w:trHeight w:val="90"/>
        </w:trPr>
        <w:tc>
          <w:tcPr>
            <w:tcW w:w="7884" w:type="dxa"/>
            <w:gridSpan w:val="3"/>
            <w:tcBorders>
              <w:bottom w:val="single" w:sz="4" w:space="0" w:color="auto"/>
            </w:tcBorders>
            <w:vAlign w:val="center"/>
          </w:tcPr>
          <w:p w:rsidR="001A3225" w:rsidRDefault="00666D4F">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2351" w:type="dxa"/>
            <w:tcBorders>
              <w:bottom w:val="single" w:sz="4" w:space="0" w:color="auto"/>
            </w:tcBorders>
            <w:vAlign w:val="center"/>
          </w:tcPr>
          <w:p w:rsidR="001A3225" w:rsidRDefault="00666D4F">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1A3225">
        <w:trPr>
          <w:cantSplit/>
          <w:trHeight w:val="163"/>
        </w:trPr>
        <w:tc>
          <w:tcPr>
            <w:tcW w:w="3088" w:type="dxa"/>
            <w:tcBorders>
              <w:top w:val="single" w:sz="4" w:space="0" w:color="auto"/>
              <w:left w:val="single" w:sz="4" w:space="0" w:color="auto"/>
              <w:bottom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1A3225" w:rsidRDefault="00666D4F">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1A3225" w:rsidRDefault="00666D4F">
            <w:pPr>
              <w:jc w:val="center"/>
              <w:rPr>
                <w:rFonts w:ascii="仿宋" w:eastAsia="仿宋" w:hAnsi="仿宋" w:cs="仿宋"/>
              </w:rPr>
            </w:pPr>
            <w:r>
              <w:rPr>
                <w:rFonts w:ascii="仿宋" w:eastAsia="仿宋" w:hAnsi="仿宋" w:cs="仿宋" w:hint="eastAsia"/>
              </w:rPr>
              <w:t>机关运行经费支出</w:t>
            </w:r>
          </w:p>
        </w:tc>
      </w:tr>
      <w:tr w:rsidR="001A3225">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1A3225" w:rsidRDefault="00666D4F">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62.54</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30.94</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30202</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印刷费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4.00</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30211</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差旅费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6.00</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2.80</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5.60</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2.21</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9.99</w:t>
            </w:r>
          </w:p>
        </w:tc>
      </w:tr>
      <w:tr w:rsidR="001A322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1A3225" w:rsidRDefault="00666D4F">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1A3225" w:rsidRDefault="00666D4F">
            <w:pPr>
              <w:pStyle w:val="TableParagraph"/>
              <w:jc w:val="right"/>
              <w:rPr>
                <w:rFonts w:ascii="仿宋" w:eastAsia="仿宋" w:hAnsi="仿宋" w:cs="仿宋"/>
              </w:rPr>
            </w:pPr>
            <w:r>
              <w:rPr>
                <w:rFonts w:ascii="仿宋" w:eastAsia="仿宋" w:hAnsi="仿宋" w:cs="仿宋" w:hint="eastAsia"/>
              </w:rPr>
              <w:t>1.00</w:t>
            </w:r>
          </w:p>
        </w:tc>
      </w:tr>
    </w:tbl>
    <w:p w:rsidR="001A3225" w:rsidRDefault="00666D4F">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1A3225" w:rsidRDefault="001A3225">
      <w:pPr>
        <w:spacing w:before="78" w:line="290" w:lineRule="auto"/>
        <w:ind w:left="227" w:right="57"/>
        <w:jc w:val="both"/>
        <w:rPr>
          <w:rFonts w:ascii="仿宋" w:eastAsia="仿宋" w:hAnsi="仿宋" w:cs="仿宋"/>
          <w:b/>
          <w:bCs/>
        </w:rPr>
        <w:sectPr w:rsidR="001A3225">
          <w:footerReference w:type="default" r:id="rId22"/>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2"/>
        <w:gridCol w:w="2502"/>
        <w:gridCol w:w="1440"/>
        <w:gridCol w:w="2280"/>
        <w:gridCol w:w="1776"/>
        <w:gridCol w:w="1105"/>
        <w:gridCol w:w="1121"/>
        <w:gridCol w:w="1192"/>
        <w:gridCol w:w="1200"/>
        <w:gridCol w:w="1548"/>
      </w:tblGrid>
      <w:tr w:rsidR="001A322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1A3225" w:rsidRDefault="00666D4F">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1A322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1A3225" w:rsidRDefault="00666D4F">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1A3225">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1A3225" w:rsidRDefault="00666D4F">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江阴市行政审批局（机关）</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1A3225" w:rsidRDefault="001A3225">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1A3225" w:rsidRDefault="00666D4F">
            <w:pPr>
              <w:pStyle w:val="TableParagraph"/>
              <w:jc w:val="right"/>
              <w:rPr>
                <w:rFonts w:ascii="仿宋" w:eastAsia="仿宋" w:hAnsi="仿宋" w:cs="仿宋"/>
                <w:lang w:val="en-US"/>
              </w:rPr>
            </w:pPr>
            <w:r>
              <w:rPr>
                <w:rFonts w:ascii="仿宋" w:eastAsia="仿宋" w:hAnsi="仿宋" w:cs="仿宋" w:hint="eastAsia"/>
              </w:rPr>
              <w:t>单位：万元</w:t>
            </w:r>
          </w:p>
        </w:tc>
      </w:tr>
      <w:tr w:rsidR="001A3225">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1A3225">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229.87</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江阴市行政审批局（机关）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新开办企业免费刻制印章经费</w:t>
            </w:r>
            <w:r>
              <w:rPr>
                <w:rFonts w:ascii="仿宋" w:eastAsia="仿宋" w:hAnsi="仿宋" w:cs="仿宋" w:hint="eastAsia"/>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其他办公用品</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部门集中采购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200.00</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江阴市行政审批局（机关）</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r>
      <w:tr w:rsidR="001A322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投资项目节能评审费</w:t>
            </w:r>
            <w:r>
              <w:rPr>
                <w:rFonts w:ascii="仿宋" w:eastAsia="仿宋" w:hAnsi="仿宋" w:cs="仿宋" w:hint="eastAsia"/>
                <w:lang w:val="en-US"/>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其他服务</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rPr>
                <w:rFonts w:ascii="仿宋" w:eastAsia="仿宋" w:hAnsi="仿宋" w:cs="仿宋"/>
                <w:lang w:val="en-US"/>
              </w:rPr>
            </w:pPr>
            <w:r>
              <w:rPr>
                <w:rFonts w:ascii="仿宋" w:eastAsia="仿宋" w:hAnsi="仿宋" w:cs="仿宋" w:hint="eastAsia"/>
                <w:lang w:val="en-US"/>
              </w:rPr>
              <w:t>部门集中采购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1A322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1A3225" w:rsidRDefault="00666D4F">
            <w:pPr>
              <w:snapToGrid w:val="0"/>
              <w:ind w:right="57"/>
              <w:jc w:val="right"/>
              <w:rPr>
                <w:rFonts w:ascii="仿宋" w:eastAsia="仿宋" w:hAnsi="仿宋" w:cs="仿宋"/>
                <w:lang w:val="en-US"/>
              </w:rPr>
            </w:pPr>
            <w:r>
              <w:rPr>
                <w:rFonts w:ascii="仿宋" w:eastAsia="仿宋" w:hAnsi="仿宋" w:cs="仿宋" w:hint="eastAsia"/>
                <w:lang w:val="en-US"/>
              </w:rPr>
              <w:t>29.87</w:t>
            </w:r>
          </w:p>
        </w:tc>
      </w:tr>
    </w:tbl>
    <w:p w:rsidR="001A3225" w:rsidRDefault="001A3225">
      <w:pPr>
        <w:rPr>
          <w:rFonts w:ascii="仿宋" w:eastAsia="仿宋" w:hAnsi="仿宋" w:cs="仿宋"/>
          <w:b/>
          <w:bCs/>
        </w:rPr>
        <w:sectPr w:rsidR="001A3225">
          <w:footerReference w:type="default" r:id="rId23"/>
          <w:pgSz w:w="16838" w:h="11906" w:orient="landscape"/>
          <w:pgMar w:top="1320" w:right="567" w:bottom="1320" w:left="567" w:header="170" w:footer="280" w:gutter="0"/>
          <w:pgNumType w:fmt="numberInDash"/>
          <w:cols w:space="720"/>
          <w:formProt w:val="0"/>
          <w:docGrid w:linePitch="100"/>
        </w:sectPr>
      </w:pPr>
    </w:p>
    <w:p w:rsidR="001A3225" w:rsidRDefault="00666D4F">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1A3225" w:rsidRDefault="001A3225">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年度收入、支出预算总计</w:t>
      </w:r>
      <w:r>
        <w:rPr>
          <w:rFonts w:ascii="仿宋" w:eastAsia="仿宋" w:hAnsi="仿宋" w:cs="仿宋"/>
        </w:rPr>
        <w:t>2,249.46</w:t>
      </w:r>
      <w:r>
        <w:rPr>
          <w:rFonts w:ascii="仿宋" w:eastAsia="仿宋" w:hAnsi="仿宋" w:cs="仿宋"/>
        </w:rPr>
        <w:t>万元，与上年相比收、支预算总计各减少</w:t>
      </w:r>
      <w:r>
        <w:rPr>
          <w:rFonts w:ascii="仿宋" w:eastAsia="仿宋" w:hAnsi="仿宋" w:cs="仿宋"/>
        </w:rPr>
        <w:t>540.57</w:t>
      </w:r>
      <w:r>
        <w:rPr>
          <w:rFonts w:ascii="仿宋" w:eastAsia="仿宋" w:hAnsi="仿宋" w:cs="仿宋"/>
        </w:rPr>
        <w:t>万元，减少</w:t>
      </w:r>
      <w:r>
        <w:rPr>
          <w:rFonts w:ascii="仿宋" w:eastAsia="仿宋" w:hAnsi="仿宋" w:cs="仿宋"/>
        </w:rPr>
        <w:t>19.38%</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2,249.46</w:t>
      </w:r>
      <w:r>
        <w:rPr>
          <w:rFonts w:ascii="仿宋" w:eastAsia="仿宋" w:hAnsi="仿宋" w:cs="仿宋"/>
          <w:b/>
        </w:rPr>
        <w:t>万元。包括：</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2,249.46</w:t>
      </w:r>
      <w:r>
        <w:rPr>
          <w:rFonts w:ascii="仿宋" w:eastAsia="仿宋" w:hAnsi="仿宋" w:cs="仿宋"/>
        </w:rPr>
        <w:t>万元。</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2,249.46</w:t>
      </w:r>
      <w:r>
        <w:rPr>
          <w:rFonts w:ascii="仿宋" w:eastAsia="仿宋" w:hAnsi="仿宋" w:cs="仿宋"/>
        </w:rPr>
        <w:t>万元，与上年相比减少</w:t>
      </w:r>
      <w:r>
        <w:rPr>
          <w:rFonts w:ascii="仿宋" w:eastAsia="仿宋" w:hAnsi="仿宋" w:cs="仿宋"/>
        </w:rPr>
        <w:t>540.57</w:t>
      </w:r>
      <w:r>
        <w:rPr>
          <w:rFonts w:ascii="仿宋" w:eastAsia="仿宋" w:hAnsi="仿宋" w:cs="仿宋"/>
        </w:rPr>
        <w:t>万元，减少</w:t>
      </w:r>
      <w:r>
        <w:rPr>
          <w:rFonts w:ascii="仿宋" w:eastAsia="仿宋" w:hAnsi="仿宋" w:cs="仿宋"/>
        </w:rPr>
        <w:t>19.38%</w:t>
      </w:r>
      <w:r>
        <w:rPr>
          <w:rFonts w:ascii="仿宋" w:eastAsia="仿宋" w:hAnsi="仿宋" w:cs="仿宋"/>
        </w:rPr>
        <w:t>。主要原因是专项金额压缩、专项减少。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w:t>
      </w:r>
      <w:r>
        <w:rPr>
          <w:rFonts w:ascii="仿宋" w:eastAsia="仿宋" w:hAnsi="仿宋" w:cs="仿宋"/>
        </w:rPr>
        <w:t>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2,249.46</w:t>
      </w:r>
      <w:r>
        <w:rPr>
          <w:rFonts w:ascii="仿宋" w:eastAsia="仿宋" w:hAnsi="仿宋" w:cs="仿宋"/>
          <w:b/>
        </w:rPr>
        <w:t>万元。包括：</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．本年支出合计</w:t>
      </w:r>
      <w:r>
        <w:rPr>
          <w:rFonts w:ascii="仿宋" w:eastAsia="仿宋" w:hAnsi="仿宋" w:cs="仿宋"/>
        </w:rPr>
        <w:t>2,249.46</w:t>
      </w:r>
      <w:r>
        <w:rPr>
          <w:rFonts w:ascii="仿宋" w:eastAsia="仿宋" w:hAnsi="仿宋" w:cs="仿宋"/>
        </w:rPr>
        <w:t>万元。</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）一般公共服务支出（类）支出</w:t>
      </w:r>
      <w:r>
        <w:rPr>
          <w:rFonts w:ascii="仿宋" w:eastAsia="仿宋" w:hAnsi="仿宋" w:cs="仿宋"/>
        </w:rPr>
        <w:t>1,714.35</w:t>
      </w:r>
      <w:r>
        <w:rPr>
          <w:rFonts w:ascii="仿宋" w:eastAsia="仿宋" w:hAnsi="仿宋" w:cs="仿宋"/>
        </w:rPr>
        <w:t>万元，主要用于人员工资福利支出、商品服务支出、对个人和家庭的补助支出、专项支出。与上年相比减少</w:t>
      </w:r>
      <w:r>
        <w:rPr>
          <w:rFonts w:ascii="仿宋" w:eastAsia="仿宋" w:hAnsi="仿宋" w:cs="仿宋"/>
        </w:rPr>
        <w:t>438.74</w:t>
      </w:r>
      <w:r>
        <w:rPr>
          <w:rFonts w:ascii="仿宋" w:eastAsia="仿宋" w:hAnsi="仿宋" w:cs="仿宋"/>
        </w:rPr>
        <w:t>万元，减少</w:t>
      </w:r>
      <w:r>
        <w:rPr>
          <w:rFonts w:ascii="仿宋" w:eastAsia="仿宋" w:hAnsi="仿宋" w:cs="仿宋"/>
        </w:rPr>
        <w:t>20.38%</w:t>
      </w:r>
      <w:r>
        <w:rPr>
          <w:rFonts w:ascii="仿宋" w:eastAsia="仿宋" w:hAnsi="仿宋" w:cs="仿宋"/>
        </w:rPr>
        <w:t>。主要原因是专项金额压缩、专项减少。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167.26</w:t>
      </w:r>
      <w:r>
        <w:rPr>
          <w:rFonts w:ascii="仿宋" w:eastAsia="仿宋" w:hAnsi="仿宋" w:cs="仿宋"/>
        </w:rPr>
        <w:t>万元，主要用于养老保险、职业年金、社保等。与上年相比增加</w:t>
      </w:r>
      <w:r>
        <w:rPr>
          <w:rFonts w:ascii="仿宋" w:eastAsia="仿宋" w:hAnsi="仿宋" w:cs="仿宋"/>
        </w:rPr>
        <w:t>9</w:t>
      </w:r>
      <w:r>
        <w:rPr>
          <w:rFonts w:ascii="仿宋" w:eastAsia="仿宋" w:hAnsi="仿宋" w:cs="仿宋"/>
        </w:rPr>
        <w:t>.64</w:t>
      </w:r>
      <w:r>
        <w:rPr>
          <w:rFonts w:ascii="仿宋" w:eastAsia="仿宋" w:hAnsi="仿宋" w:cs="仿宋"/>
        </w:rPr>
        <w:t>万元，增长</w:t>
      </w:r>
      <w:r>
        <w:rPr>
          <w:rFonts w:ascii="仿宋" w:eastAsia="仿宋" w:hAnsi="仿宋" w:cs="仿宋"/>
        </w:rPr>
        <w:t>6.12%</w:t>
      </w:r>
      <w:r>
        <w:rPr>
          <w:rFonts w:ascii="仿宋" w:eastAsia="仿宋" w:hAnsi="仿宋" w:cs="仿宋"/>
        </w:rPr>
        <w:t>。主要原因是养老保险、职业年金、社保等基数调整。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）住房保障支出（类）支出</w:t>
      </w:r>
      <w:r>
        <w:rPr>
          <w:rFonts w:ascii="仿宋" w:eastAsia="仿宋" w:hAnsi="仿宋" w:cs="仿宋"/>
        </w:rPr>
        <w:t>348.07</w:t>
      </w:r>
      <w:r>
        <w:rPr>
          <w:rFonts w:ascii="仿宋" w:eastAsia="仿宋" w:hAnsi="仿宋" w:cs="仿宋"/>
        </w:rPr>
        <w:t>万元，主要用于住房公积金、购房补贴、提租补贴。与上年相比减少</w:t>
      </w:r>
      <w:r>
        <w:rPr>
          <w:rFonts w:ascii="仿宋" w:eastAsia="仿宋" w:hAnsi="仿宋" w:cs="仿宋"/>
        </w:rPr>
        <w:t>0.5</w:t>
      </w:r>
      <w:r>
        <w:rPr>
          <w:rFonts w:ascii="仿宋" w:eastAsia="仿宋" w:hAnsi="仿宋" w:cs="仿宋"/>
        </w:rPr>
        <w:t>万元，减少</w:t>
      </w:r>
      <w:r>
        <w:rPr>
          <w:rFonts w:ascii="仿宋" w:eastAsia="仿宋" w:hAnsi="仿宋" w:cs="仿宋"/>
        </w:rPr>
        <w:t>0.14%</w:t>
      </w:r>
      <w:r>
        <w:rPr>
          <w:rFonts w:ascii="仿宋" w:eastAsia="仿宋" w:hAnsi="仿宋" w:cs="仿宋"/>
        </w:rPr>
        <w:t>。主要原因是住房公积金、购房补贴、提租补贴基数调整。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）其他支出（类）支出</w:t>
      </w:r>
      <w:r>
        <w:rPr>
          <w:rFonts w:ascii="仿宋" w:eastAsia="仿宋" w:hAnsi="仿宋" w:cs="仿宋"/>
        </w:rPr>
        <w:t>19.78</w:t>
      </w:r>
      <w:r>
        <w:rPr>
          <w:rFonts w:ascii="仿宋" w:eastAsia="仿宋" w:hAnsi="仿宋" w:cs="仿宋"/>
        </w:rPr>
        <w:t>万元，主要用于人员工作服专项。与上年相比减少</w:t>
      </w:r>
      <w:r>
        <w:rPr>
          <w:rFonts w:ascii="仿宋" w:eastAsia="仿宋" w:hAnsi="仿宋" w:cs="仿宋"/>
        </w:rPr>
        <w:t>110.97</w:t>
      </w:r>
      <w:r>
        <w:rPr>
          <w:rFonts w:ascii="仿宋" w:eastAsia="仿宋" w:hAnsi="仿宋" w:cs="仿宋"/>
        </w:rPr>
        <w:t>万元，减少</w:t>
      </w:r>
      <w:r>
        <w:rPr>
          <w:rFonts w:ascii="仿宋" w:eastAsia="仿宋" w:hAnsi="仿宋" w:cs="仿宋"/>
        </w:rPr>
        <w:t>84.87%</w:t>
      </w:r>
      <w:r>
        <w:rPr>
          <w:rFonts w:ascii="仿宋" w:eastAsia="仿宋" w:hAnsi="仿宋" w:cs="仿宋"/>
        </w:rPr>
        <w:t>。主要原因是减少大厅窗口</w:t>
      </w:r>
      <w:proofErr w:type="gramStart"/>
      <w:r>
        <w:rPr>
          <w:rFonts w:ascii="仿宋" w:eastAsia="仿宋" w:hAnsi="仿宋" w:cs="仿宋"/>
        </w:rPr>
        <w:t>绩效奖</w:t>
      </w:r>
      <w:proofErr w:type="gramEnd"/>
      <w:r>
        <w:rPr>
          <w:rFonts w:ascii="仿宋" w:eastAsia="仿宋" w:hAnsi="仿宋" w:cs="仿宋"/>
        </w:rPr>
        <w:t>专项。</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年收入预算合计</w:t>
      </w:r>
      <w:r>
        <w:rPr>
          <w:rFonts w:ascii="仿宋" w:eastAsia="仿宋" w:hAnsi="仿宋" w:cs="仿宋"/>
        </w:rPr>
        <w:t>2,249.46</w:t>
      </w:r>
      <w:r>
        <w:rPr>
          <w:rFonts w:ascii="仿宋" w:eastAsia="仿宋" w:hAnsi="仿宋" w:cs="仿宋"/>
        </w:rPr>
        <w:t>万元，包括本年收入</w:t>
      </w:r>
      <w:r>
        <w:rPr>
          <w:rFonts w:ascii="仿宋" w:eastAsia="仿宋" w:hAnsi="仿宋" w:cs="仿宋"/>
        </w:rPr>
        <w:t>2,249.46</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2,249.46</w:t>
      </w:r>
      <w:r>
        <w:rPr>
          <w:rFonts w:ascii="仿宋" w:eastAsia="仿宋" w:hAnsi="仿宋" w:cs="仿宋"/>
        </w:rPr>
        <w:t>万元，占</w:t>
      </w:r>
      <w:r>
        <w:rPr>
          <w:rFonts w:ascii="仿宋" w:eastAsia="仿宋" w:hAnsi="仿宋" w:cs="仿宋"/>
        </w:rPr>
        <w:t>100%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CD5B7E">
        <w:rPr>
          <w:rFonts w:ascii="仿宋" w:eastAsia="仿宋" w:hAnsi="仿宋" w:cs="仿宋"/>
          <w:lang w:val="en-US"/>
        </w:rPr>
        <w:t>0</w:t>
      </w:r>
      <w:r>
        <w:rPr>
          <w:rFonts w:ascii="仿宋" w:eastAsia="仿宋" w:hAnsi="仿宋" w:cs="仿宋"/>
        </w:rPr>
        <w:t>万元</w:t>
      </w:r>
      <w:r w:rsidRPr="00CD5B7E">
        <w:rPr>
          <w:rFonts w:ascii="仿宋" w:eastAsia="仿宋" w:hAnsi="仿宋" w:cs="仿宋"/>
          <w:lang w:val="en-US"/>
        </w:rPr>
        <w:t>，</w:t>
      </w:r>
      <w:r>
        <w:rPr>
          <w:rFonts w:ascii="仿宋" w:eastAsia="仿宋" w:hAnsi="仿宋" w:cs="仿宋"/>
        </w:rPr>
        <w:t>占</w:t>
      </w:r>
      <w:r w:rsidRPr="00CD5B7E">
        <w:rPr>
          <w:rFonts w:ascii="仿宋" w:eastAsia="仿宋" w:hAnsi="仿宋" w:cs="仿宋"/>
          <w:lang w:val="en-US"/>
        </w:rPr>
        <w:t>0%</w:t>
      </w:r>
      <w:r w:rsidRPr="00CD5B7E">
        <w:rPr>
          <w:rFonts w:ascii="仿宋" w:eastAsia="仿宋" w:hAnsi="仿宋" w:cs="仿宋"/>
          <w:lang w:val="en-US"/>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年支出预算合计</w:t>
      </w:r>
      <w:r>
        <w:rPr>
          <w:rFonts w:ascii="仿宋" w:eastAsia="仿宋" w:hAnsi="仿宋" w:cs="仿宋"/>
        </w:rPr>
        <w:t>2,249.46</w:t>
      </w:r>
      <w:r>
        <w:rPr>
          <w:rFonts w:ascii="仿宋" w:eastAsia="仿宋" w:hAnsi="仿宋" w:cs="仿宋"/>
        </w:rPr>
        <w:t>万元，其中：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1,792.01</w:t>
      </w:r>
      <w:r>
        <w:rPr>
          <w:rFonts w:ascii="仿宋" w:eastAsia="仿宋" w:hAnsi="仿宋" w:cs="仿宋"/>
        </w:rPr>
        <w:t>万元，占</w:t>
      </w:r>
      <w:r>
        <w:rPr>
          <w:rFonts w:ascii="仿宋" w:eastAsia="仿宋" w:hAnsi="仿宋" w:cs="仿宋"/>
        </w:rPr>
        <w:t>79.66%</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项目支出</w:t>
      </w:r>
      <w:r>
        <w:rPr>
          <w:rFonts w:ascii="仿宋" w:eastAsia="仿宋" w:hAnsi="仿宋" w:cs="仿宋"/>
        </w:rPr>
        <w:t>457.45</w:t>
      </w:r>
      <w:r>
        <w:rPr>
          <w:rFonts w:ascii="仿宋" w:eastAsia="仿宋" w:hAnsi="仿宋" w:cs="仿宋"/>
        </w:rPr>
        <w:t>万元，占</w:t>
      </w:r>
      <w:r>
        <w:rPr>
          <w:rFonts w:ascii="仿宋" w:eastAsia="仿宋" w:hAnsi="仿宋" w:cs="仿宋"/>
        </w:rPr>
        <w:t>20.34%</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1A3225" w:rsidRDefault="00666D4F">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5"/>
                    <a:stretch>
                      <a:fillRect/>
                    </a:stretch>
                  </pic:blipFill>
                  <pic:spPr>
                    <a:xfrm>
                      <a:off x="0" y="0"/>
                      <a:ext cx="6134100" cy="3429000"/>
                    </a:xfrm>
                    <a:prstGeom prst="rect">
                      <a:avLst/>
                    </a:prstGeom>
                  </pic:spPr>
                </pic:pic>
              </a:graphicData>
            </a:graphic>
          </wp:inline>
        </w:drawing>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2,249.46</w:t>
      </w:r>
      <w:r>
        <w:rPr>
          <w:rFonts w:ascii="仿宋" w:eastAsia="仿宋" w:hAnsi="仿宋" w:cs="仿宋"/>
        </w:rPr>
        <w:t>万元。与上年相比，财政拨款收、支总计各减少</w:t>
      </w:r>
      <w:r>
        <w:rPr>
          <w:rFonts w:ascii="仿宋" w:eastAsia="仿宋" w:hAnsi="仿宋" w:cs="仿宋"/>
        </w:rPr>
        <w:t>540.57</w:t>
      </w:r>
      <w:r>
        <w:rPr>
          <w:rFonts w:ascii="仿宋" w:eastAsia="仿宋" w:hAnsi="仿宋" w:cs="仿宋"/>
        </w:rPr>
        <w:t>万元，减少</w:t>
      </w:r>
      <w:r>
        <w:rPr>
          <w:rFonts w:ascii="仿宋" w:eastAsia="仿宋" w:hAnsi="仿宋" w:cs="仿宋"/>
        </w:rPr>
        <w:t>19.38%</w:t>
      </w:r>
      <w:r>
        <w:rPr>
          <w:rFonts w:ascii="仿宋" w:eastAsia="仿宋" w:hAnsi="仿宋" w:cs="仿宋"/>
        </w:rPr>
        <w:t>。主要原因是专项金额压缩、专项减少。</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年财政拨款预算支出</w:t>
      </w:r>
      <w:r>
        <w:rPr>
          <w:rFonts w:ascii="仿宋" w:eastAsia="仿宋" w:hAnsi="仿宋" w:cs="仿宋"/>
        </w:rPr>
        <w:t>2,249.46</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540.57</w:t>
      </w:r>
      <w:r>
        <w:rPr>
          <w:rFonts w:ascii="仿宋" w:eastAsia="仿宋" w:hAnsi="仿宋" w:cs="仿宋"/>
        </w:rPr>
        <w:t>万元，减少</w:t>
      </w:r>
      <w:r>
        <w:rPr>
          <w:rFonts w:ascii="仿宋" w:eastAsia="仿宋" w:hAnsi="仿宋" w:cs="仿宋"/>
        </w:rPr>
        <w:t>19.38%</w:t>
      </w:r>
      <w:r>
        <w:rPr>
          <w:rFonts w:ascii="仿宋" w:eastAsia="仿宋" w:hAnsi="仿宋" w:cs="仿宋"/>
        </w:rPr>
        <w:t>。主要原因是专项金额压缩、专项减少。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（一）一般公共服</w:t>
      </w:r>
      <w:r>
        <w:rPr>
          <w:rFonts w:ascii="仿宋" w:eastAsia="仿宋" w:hAnsi="仿宋" w:cs="仿宋"/>
        </w:rPr>
        <w:t>务支出（类）</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政府办公厅（室）及相关机构事务（款）行政运行（项）支出</w:t>
      </w:r>
      <w:r>
        <w:rPr>
          <w:rFonts w:ascii="仿宋" w:eastAsia="仿宋" w:hAnsi="仿宋" w:cs="仿宋"/>
        </w:rPr>
        <w:t>1,276.68</w:t>
      </w:r>
      <w:r>
        <w:rPr>
          <w:rFonts w:ascii="仿宋" w:eastAsia="仿宋" w:hAnsi="仿宋" w:cs="仿宋"/>
        </w:rPr>
        <w:t>万元，与上年相比减少</w:t>
      </w:r>
      <w:r>
        <w:rPr>
          <w:rFonts w:ascii="仿宋" w:eastAsia="仿宋" w:hAnsi="仿宋" w:cs="仿宋"/>
        </w:rPr>
        <w:t>167.61</w:t>
      </w:r>
      <w:r>
        <w:rPr>
          <w:rFonts w:ascii="仿宋" w:eastAsia="仿宋" w:hAnsi="仿宋" w:cs="仿宋"/>
        </w:rPr>
        <w:t>万元，减少</w:t>
      </w:r>
      <w:r>
        <w:rPr>
          <w:rFonts w:ascii="仿宋" w:eastAsia="仿宋" w:hAnsi="仿宋" w:cs="仿宋"/>
        </w:rPr>
        <w:t>11.61%</w:t>
      </w:r>
      <w:r>
        <w:rPr>
          <w:rFonts w:ascii="仿宋" w:eastAsia="仿宋" w:hAnsi="仿宋" w:cs="仿宋"/>
        </w:rPr>
        <w:t>。主要原因是人员、奖金数调整。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政府办公厅（室）及相关机构事务（款）政务公开审批（项）支出</w:t>
      </w:r>
      <w:r>
        <w:rPr>
          <w:rFonts w:ascii="仿宋" w:eastAsia="仿宋" w:hAnsi="仿宋" w:cs="仿宋"/>
        </w:rPr>
        <w:t>437.67</w:t>
      </w:r>
      <w:r>
        <w:rPr>
          <w:rFonts w:ascii="仿宋" w:eastAsia="仿宋" w:hAnsi="仿宋" w:cs="仿宋"/>
        </w:rPr>
        <w:t>万元，与上年相比减少</w:t>
      </w:r>
      <w:r>
        <w:rPr>
          <w:rFonts w:ascii="仿宋" w:eastAsia="仿宋" w:hAnsi="仿宋" w:cs="仿宋"/>
        </w:rPr>
        <w:t>271.13</w:t>
      </w:r>
      <w:r>
        <w:rPr>
          <w:rFonts w:ascii="仿宋" w:eastAsia="仿宋" w:hAnsi="仿宋" w:cs="仿宋"/>
        </w:rPr>
        <w:t>万元，减少</w:t>
      </w:r>
      <w:r>
        <w:rPr>
          <w:rFonts w:ascii="仿宋" w:eastAsia="仿宋" w:hAnsi="仿宋" w:cs="仿宋"/>
        </w:rPr>
        <w:t>38.25%</w:t>
      </w:r>
      <w:r>
        <w:rPr>
          <w:rFonts w:ascii="仿宋" w:eastAsia="仿宋" w:hAnsi="仿宋" w:cs="仿宋"/>
        </w:rPr>
        <w:t>。主要原因是专项金额压缩、专项减少。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（二）社会保障和就业支出（类）</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85.92</w:t>
      </w:r>
      <w:r>
        <w:rPr>
          <w:rFonts w:ascii="仿宋" w:eastAsia="仿宋" w:hAnsi="仿宋" w:cs="仿宋"/>
        </w:rPr>
        <w:t>万元，与上年相比增加</w:t>
      </w:r>
      <w:r>
        <w:rPr>
          <w:rFonts w:ascii="仿宋" w:eastAsia="仿宋" w:hAnsi="仿宋" w:cs="仿宋"/>
        </w:rPr>
        <w:t>4.6</w:t>
      </w:r>
      <w:r>
        <w:rPr>
          <w:rFonts w:ascii="仿宋" w:eastAsia="仿宋" w:hAnsi="仿宋" w:cs="仿宋"/>
        </w:rPr>
        <w:t>万元，增长</w:t>
      </w:r>
      <w:r>
        <w:rPr>
          <w:rFonts w:ascii="仿宋" w:eastAsia="仿宋" w:hAnsi="仿宋" w:cs="仿宋"/>
        </w:rPr>
        <w:t>5.66%</w:t>
      </w:r>
      <w:r>
        <w:rPr>
          <w:rFonts w:ascii="仿宋" w:eastAsia="仿宋" w:hAnsi="仿宋" w:cs="仿宋"/>
        </w:rPr>
        <w:t>。主要原因是</w:t>
      </w:r>
      <w:r>
        <w:rPr>
          <w:rFonts w:ascii="仿宋" w:eastAsia="仿宋" w:hAnsi="仿宋" w:cs="仿宋"/>
        </w:rPr>
        <w:t>养老保险基数调整。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42.96</w:t>
      </w:r>
      <w:r>
        <w:rPr>
          <w:rFonts w:ascii="仿宋" w:eastAsia="仿宋" w:hAnsi="仿宋" w:cs="仿宋"/>
        </w:rPr>
        <w:t>万元，与上年相比增加</w:t>
      </w:r>
      <w:r>
        <w:rPr>
          <w:rFonts w:ascii="仿宋" w:eastAsia="仿宋" w:hAnsi="仿宋" w:cs="仿宋"/>
        </w:rPr>
        <w:t>2.3</w:t>
      </w:r>
      <w:r>
        <w:rPr>
          <w:rFonts w:ascii="仿宋" w:eastAsia="仿宋" w:hAnsi="仿宋" w:cs="仿宋"/>
        </w:rPr>
        <w:t>万元，增长</w:t>
      </w:r>
      <w:r>
        <w:rPr>
          <w:rFonts w:ascii="仿宋" w:eastAsia="仿宋" w:hAnsi="仿宋" w:cs="仿宋"/>
        </w:rPr>
        <w:t>5.66%</w:t>
      </w:r>
      <w:r>
        <w:rPr>
          <w:rFonts w:ascii="仿宋" w:eastAsia="仿宋" w:hAnsi="仿宋" w:cs="仿宋"/>
        </w:rPr>
        <w:t>。主要原因是职业年金基数调整。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其他社会保障和就业支出（款）其他社会保障和就业支出（项）支出</w:t>
      </w:r>
      <w:r>
        <w:rPr>
          <w:rFonts w:ascii="仿宋" w:eastAsia="仿宋" w:hAnsi="仿宋" w:cs="仿宋"/>
        </w:rPr>
        <w:t>38.38</w:t>
      </w:r>
      <w:r>
        <w:rPr>
          <w:rFonts w:ascii="仿宋" w:eastAsia="仿宋" w:hAnsi="仿宋" w:cs="仿宋"/>
        </w:rPr>
        <w:t>万元，与上年相比增加</w:t>
      </w:r>
      <w:r>
        <w:rPr>
          <w:rFonts w:ascii="仿宋" w:eastAsia="仿宋" w:hAnsi="仿宋" w:cs="仿宋"/>
        </w:rPr>
        <w:t>2.74</w:t>
      </w:r>
      <w:r>
        <w:rPr>
          <w:rFonts w:ascii="仿宋" w:eastAsia="仿宋" w:hAnsi="仿宋" w:cs="仿宋"/>
        </w:rPr>
        <w:t>万元，增长</w:t>
      </w:r>
      <w:r>
        <w:rPr>
          <w:rFonts w:ascii="仿宋" w:eastAsia="仿宋" w:hAnsi="仿宋" w:cs="仿宋"/>
        </w:rPr>
        <w:t>7.69%</w:t>
      </w:r>
      <w:r>
        <w:rPr>
          <w:rFonts w:ascii="仿宋" w:eastAsia="仿宋" w:hAnsi="仿宋" w:cs="仿宋"/>
        </w:rPr>
        <w:t>。主要原因是社保基数调整。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（三）住房保障支出（类）</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104.55</w:t>
      </w:r>
      <w:r>
        <w:rPr>
          <w:rFonts w:ascii="仿宋" w:eastAsia="仿宋" w:hAnsi="仿宋" w:cs="仿宋"/>
        </w:rPr>
        <w:t>万元，与上年相比减少</w:t>
      </w:r>
      <w:r>
        <w:rPr>
          <w:rFonts w:ascii="仿宋" w:eastAsia="仿宋" w:hAnsi="仿宋" w:cs="仿宋"/>
        </w:rPr>
        <w:t>1.32</w:t>
      </w:r>
      <w:r>
        <w:rPr>
          <w:rFonts w:ascii="仿宋" w:eastAsia="仿宋" w:hAnsi="仿宋" w:cs="仿宋"/>
        </w:rPr>
        <w:t>万元，减少</w:t>
      </w:r>
      <w:r>
        <w:rPr>
          <w:rFonts w:ascii="仿宋" w:eastAsia="仿宋" w:hAnsi="仿宋" w:cs="仿宋"/>
        </w:rPr>
        <w:t>1.25%</w:t>
      </w:r>
      <w:r>
        <w:rPr>
          <w:rFonts w:ascii="仿宋" w:eastAsia="仿宋" w:hAnsi="仿宋" w:cs="仿宋"/>
        </w:rPr>
        <w:t>。主要原因是住房公积金基数调整。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w:t>
      </w:r>
      <w:r>
        <w:rPr>
          <w:rFonts w:ascii="仿宋" w:eastAsia="仿宋" w:hAnsi="仿宋" w:cs="仿宋"/>
        </w:rPr>
        <w:t>租补贴（项）支出</w:t>
      </w:r>
      <w:r>
        <w:rPr>
          <w:rFonts w:ascii="仿宋" w:eastAsia="仿宋" w:hAnsi="仿宋" w:cs="仿宋"/>
        </w:rPr>
        <w:t>126.31</w:t>
      </w:r>
      <w:r>
        <w:rPr>
          <w:rFonts w:ascii="仿宋" w:eastAsia="仿宋" w:hAnsi="仿宋" w:cs="仿宋"/>
        </w:rPr>
        <w:t>万元，与上年相比增加</w:t>
      </w:r>
      <w:r>
        <w:rPr>
          <w:rFonts w:ascii="仿宋" w:eastAsia="仿宋" w:hAnsi="仿宋" w:cs="仿宋"/>
        </w:rPr>
        <w:t>3.7</w:t>
      </w:r>
      <w:r>
        <w:rPr>
          <w:rFonts w:ascii="仿宋" w:eastAsia="仿宋" w:hAnsi="仿宋" w:cs="仿宋"/>
        </w:rPr>
        <w:t>万元，增长</w:t>
      </w:r>
      <w:r>
        <w:rPr>
          <w:rFonts w:ascii="仿宋" w:eastAsia="仿宋" w:hAnsi="仿宋" w:cs="仿宋"/>
        </w:rPr>
        <w:t>3.02%</w:t>
      </w:r>
      <w:r>
        <w:rPr>
          <w:rFonts w:ascii="仿宋" w:eastAsia="仿宋" w:hAnsi="仿宋" w:cs="仿宋"/>
        </w:rPr>
        <w:t>。主要原因是提租补贴基数调</w:t>
      </w:r>
      <w:r>
        <w:rPr>
          <w:rFonts w:ascii="仿宋" w:eastAsia="仿宋" w:hAnsi="仿宋" w:cs="仿宋"/>
        </w:rPr>
        <w:lastRenderedPageBreak/>
        <w:t>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117.21</w:t>
      </w:r>
      <w:r>
        <w:rPr>
          <w:rFonts w:ascii="仿宋" w:eastAsia="仿宋" w:hAnsi="仿宋" w:cs="仿宋"/>
        </w:rPr>
        <w:t>万元，与上年相比减少</w:t>
      </w:r>
      <w:r>
        <w:rPr>
          <w:rFonts w:ascii="仿宋" w:eastAsia="仿宋" w:hAnsi="仿宋" w:cs="仿宋"/>
        </w:rPr>
        <w:t>2.88</w:t>
      </w:r>
      <w:r>
        <w:rPr>
          <w:rFonts w:ascii="仿宋" w:eastAsia="仿宋" w:hAnsi="仿宋" w:cs="仿宋"/>
        </w:rPr>
        <w:t>万元，减少</w:t>
      </w:r>
      <w:r>
        <w:rPr>
          <w:rFonts w:ascii="仿宋" w:eastAsia="仿宋" w:hAnsi="仿宋" w:cs="仿宋"/>
        </w:rPr>
        <w:t>2.4%</w:t>
      </w:r>
      <w:r>
        <w:rPr>
          <w:rFonts w:ascii="仿宋" w:eastAsia="仿宋" w:hAnsi="仿宋" w:cs="仿宋"/>
        </w:rPr>
        <w:t>。主要原因是购房补贴基数调整。</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（四）其他支出（类）</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其他支出（款）其他支出（项）支出</w:t>
      </w:r>
      <w:r>
        <w:rPr>
          <w:rFonts w:ascii="仿宋" w:eastAsia="仿宋" w:hAnsi="仿宋" w:cs="仿宋"/>
        </w:rPr>
        <w:t>19.78</w:t>
      </w:r>
      <w:r>
        <w:rPr>
          <w:rFonts w:ascii="仿宋" w:eastAsia="仿宋" w:hAnsi="仿宋" w:cs="仿宋"/>
        </w:rPr>
        <w:t>万元，与上年相比减少</w:t>
      </w:r>
      <w:r>
        <w:rPr>
          <w:rFonts w:ascii="仿宋" w:eastAsia="仿宋" w:hAnsi="仿宋" w:cs="仿宋"/>
        </w:rPr>
        <w:t>110.97</w:t>
      </w:r>
      <w:r>
        <w:rPr>
          <w:rFonts w:ascii="仿宋" w:eastAsia="仿宋" w:hAnsi="仿宋" w:cs="仿宋"/>
        </w:rPr>
        <w:t>万元，减少</w:t>
      </w:r>
      <w:r>
        <w:rPr>
          <w:rFonts w:ascii="仿宋" w:eastAsia="仿宋" w:hAnsi="仿宋" w:cs="仿宋"/>
        </w:rPr>
        <w:t>84.87%</w:t>
      </w:r>
      <w:r>
        <w:rPr>
          <w:rFonts w:ascii="仿宋" w:eastAsia="仿宋" w:hAnsi="仿宋" w:cs="仿宋"/>
        </w:rPr>
        <w:t>。主要原因是减少窗口绩效考核奖专项。</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1,792.01</w:t>
      </w:r>
      <w:r>
        <w:rPr>
          <w:rFonts w:ascii="仿宋" w:eastAsia="仿宋" w:hAnsi="仿宋" w:cs="仿宋"/>
        </w:rPr>
        <w:t>万元，其中：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1,728.11</w:t>
      </w:r>
      <w:r>
        <w:rPr>
          <w:rFonts w:ascii="仿宋" w:eastAsia="仿宋" w:hAnsi="仿宋" w:cs="仿宋"/>
        </w:rPr>
        <w:t>万元。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63.9</w:t>
      </w:r>
      <w:r>
        <w:rPr>
          <w:rFonts w:ascii="仿宋" w:eastAsia="仿宋" w:hAnsi="仿宋" w:cs="仿宋"/>
        </w:rPr>
        <w:t>万元。主要包括：办公费、印刷费、差旅费、会议费、培训费、公务接待费、工会经费、其他商品和服务支出、其他资本性支出。</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2,249.46</w:t>
      </w:r>
      <w:r>
        <w:rPr>
          <w:rFonts w:ascii="仿宋" w:eastAsia="仿宋" w:hAnsi="仿宋" w:cs="仿宋"/>
        </w:rPr>
        <w:t>万元，与上年相比减少</w:t>
      </w:r>
      <w:r>
        <w:rPr>
          <w:rFonts w:ascii="仿宋" w:eastAsia="仿宋" w:hAnsi="仿宋" w:cs="仿宋"/>
        </w:rPr>
        <w:t>5</w:t>
      </w:r>
      <w:r>
        <w:rPr>
          <w:rFonts w:ascii="仿宋" w:eastAsia="仿宋" w:hAnsi="仿宋" w:cs="仿宋"/>
        </w:rPr>
        <w:t>40.57</w:t>
      </w:r>
      <w:r>
        <w:rPr>
          <w:rFonts w:ascii="仿宋" w:eastAsia="仿宋" w:hAnsi="仿宋" w:cs="仿宋"/>
        </w:rPr>
        <w:t>万元，减少</w:t>
      </w:r>
      <w:r>
        <w:rPr>
          <w:rFonts w:ascii="仿宋" w:eastAsia="仿宋" w:hAnsi="仿宋" w:cs="仿宋"/>
        </w:rPr>
        <w:t>19.38%</w:t>
      </w:r>
      <w:r>
        <w:rPr>
          <w:rFonts w:ascii="仿宋" w:eastAsia="仿宋" w:hAnsi="仿宋" w:cs="仿宋"/>
        </w:rPr>
        <w:t>。主要原因是专项金额压缩、专项减少。</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八、一般公共预算基本支出预算情况说明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1,792.01</w:t>
      </w:r>
      <w:r>
        <w:rPr>
          <w:rFonts w:ascii="仿宋" w:eastAsia="仿宋" w:hAnsi="仿宋" w:cs="仿宋"/>
        </w:rPr>
        <w:t>万元，其中：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1,728.11</w:t>
      </w:r>
      <w:r>
        <w:rPr>
          <w:rFonts w:ascii="仿宋" w:eastAsia="仿宋" w:hAnsi="仿宋" w:cs="仿宋"/>
        </w:rPr>
        <w:t>万元。主要包括：基本工资、津贴补贴、奖金、伙食补助费、机关事业单位基本养老保险缴费、职业年金缴费、职工基本医疗保险缴费、其他社会保障缴费、住房公积金、医疗费、其他工资福利支出、退休费、其他对个人和家庭的补助。</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63.9</w:t>
      </w:r>
      <w:r>
        <w:rPr>
          <w:rFonts w:ascii="仿宋" w:eastAsia="仿宋" w:hAnsi="仿宋" w:cs="仿宋"/>
        </w:rPr>
        <w:t>万元。主要包括：办公费、印刷费、差旅费、会议</w:t>
      </w:r>
      <w:r>
        <w:rPr>
          <w:rFonts w:ascii="仿宋" w:eastAsia="仿宋" w:hAnsi="仿宋" w:cs="仿宋"/>
        </w:rPr>
        <w:t>费、培训费、公务接待费、工会经费、其他商品和服务支出、其他资本性支出。</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2.21</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w:t>
      </w:r>
      <w:r>
        <w:rPr>
          <w:rFonts w:ascii="仿宋" w:eastAsia="仿宋" w:hAnsi="仿宋" w:cs="仿宋"/>
        </w:rPr>
        <w:t>用车购置预算支出</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3</w:t>
      </w:r>
      <w:r>
        <w:rPr>
          <w:rFonts w:ascii="仿宋" w:eastAsia="仿宋" w:hAnsi="仿宋" w:cs="仿宋"/>
        </w:rPr>
        <w:t>．公务接待费预算支出</w:t>
      </w:r>
      <w:r>
        <w:rPr>
          <w:rFonts w:ascii="仿宋" w:eastAsia="仿宋" w:hAnsi="仿宋" w:cs="仿宋"/>
        </w:rPr>
        <w:t>2.21</w:t>
      </w:r>
      <w:r>
        <w:rPr>
          <w:rFonts w:ascii="仿宋" w:eastAsia="仿宋" w:hAnsi="仿宋" w:cs="仿宋"/>
        </w:rPr>
        <w:t>万元，比上年预算减少</w:t>
      </w:r>
      <w:r>
        <w:rPr>
          <w:rFonts w:ascii="仿宋" w:eastAsia="仿宋" w:hAnsi="仿宋" w:cs="仿宋"/>
        </w:rPr>
        <w:t>0.94</w:t>
      </w:r>
      <w:r>
        <w:rPr>
          <w:rFonts w:ascii="仿宋" w:eastAsia="仿宋" w:hAnsi="仿宋" w:cs="仿宋"/>
        </w:rPr>
        <w:t>万元，主要原因是公务接待减少。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2.8</w:t>
      </w:r>
      <w:r>
        <w:rPr>
          <w:rFonts w:ascii="仿宋" w:eastAsia="仿宋" w:hAnsi="仿宋" w:cs="仿宋"/>
        </w:rPr>
        <w:t>万元，比上年预算减少</w:t>
      </w:r>
      <w:r>
        <w:rPr>
          <w:rFonts w:ascii="仿宋" w:eastAsia="仿宋" w:hAnsi="仿宋" w:cs="仿宋"/>
        </w:rPr>
        <w:t>1.2</w:t>
      </w:r>
      <w:r>
        <w:rPr>
          <w:rFonts w:ascii="仿宋" w:eastAsia="仿宋" w:hAnsi="仿宋" w:cs="仿宋"/>
        </w:rPr>
        <w:t>万元，主要原因是会议减少。</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5.6</w:t>
      </w:r>
      <w:r>
        <w:rPr>
          <w:rFonts w:ascii="仿宋" w:eastAsia="仿宋" w:hAnsi="仿宋" w:cs="仿宋"/>
        </w:rPr>
        <w:t>万元，比上年预算减少</w:t>
      </w:r>
      <w:r>
        <w:rPr>
          <w:rFonts w:ascii="仿宋" w:eastAsia="仿宋" w:hAnsi="仿宋" w:cs="仿宋"/>
        </w:rPr>
        <w:t>2.4</w:t>
      </w:r>
      <w:r>
        <w:rPr>
          <w:rFonts w:ascii="仿宋" w:eastAsia="仿宋" w:hAnsi="仿宋" w:cs="仿宋"/>
        </w:rPr>
        <w:t>万元，主要原因是培训减少。</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w:t>
      </w:r>
      <w:r>
        <w:rPr>
          <w:rFonts w:ascii="仿宋" w:eastAsia="仿宋" w:hAnsi="仿宋" w:cs="仿宋"/>
        </w:rPr>
        <w:t>机关）</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江阴市行政审批局（机关）</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62.54</w:t>
      </w:r>
      <w:r>
        <w:rPr>
          <w:rFonts w:ascii="仿宋" w:eastAsia="仿宋" w:hAnsi="仿宋" w:cs="仿宋"/>
        </w:rPr>
        <w:t>万元。与上年相比减少</w:t>
      </w:r>
      <w:r>
        <w:rPr>
          <w:rFonts w:ascii="仿宋" w:eastAsia="仿宋" w:hAnsi="仿宋" w:cs="仿宋"/>
        </w:rPr>
        <w:t>3.74</w:t>
      </w:r>
      <w:r>
        <w:rPr>
          <w:rFonts w:ascii="仿宋" w:eastAsia="仿宋" w:hAnsi="仿宋" w:cs="仿宋"/>
        </w:rPr>
        <w:t>万元，减少</w:t>
      </w:r>
      <w:r>
        <w:rPr>
          <w:rFonts w:ascii="仿宋" w:eastAsia="仿宋" w:hAnsi="仿宋" w:cs="仿宋"/>
        </w:rPr>
        <w:t>5.64%</w:t>
      </w:r>
      <w:r>
        <w:rPr>
          <w:rFonts w:ascii="仿宋" w:eastAsia="仿宋" w:hAnsi="仿宋" w:cs="仿宋"/>
        </w:rPr>
        <w:t>。主要原因是公用经费压减。</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229.87</w:t>
      </w:r>
      <w:r>
        <w:rPr>
          <w:rFonts w:ascii="仿宋" w:eastAsia="仿宋" w:hAnsi="仿宋" w:cs="仿宋"/>
        </w:rPr>
        <w:t>万元，其中：拟采购货物支出</w:t>
      </w:r>
      <w:r>
        <w:rPr>
          <w:rFonts w:ascii="仿宋" w:eastAsia="仿宋" w:hAnsi="仿宋" w:cs="仿宋"/>
        </w:rPr>
        <w:t>200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29.87</w:t>
      </w:r>
      <w:r>
        <w:rPr>
          <w:rFonts w:ascii="仿宋" w:eastAsia="仿宋" w:hAnsi="仿宋" w:cs="仿宋"/>
        </w:rPr>
        <w:t>万元。</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2</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1A3225" w:rsidRDefault="00666D4F" w:rsidP="00CD5B7E">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1A3225" w:rsidRDefault="00666D4F">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w:t>
      </w:r>
      <w:r>
        <w:rPr>
          <w:rFonts w:ascii="仿宋" w:eastAsia="仿宋" w:hAnsi="仿宋" w:cs="仿宋"/>
        </w:rPr>
        <w:t>效目标管理，涉及财政性资金</w:t>
      </w:r>
      <w:r>
        <w:rPr>
          <w:rFonts w:ascii="仿宋" w:eastAsia="仿宋" w:hAnsi="仿宋" w:cs="仿宋"/>
        </w:rPr>
        <w:t>2,249.46</w:t>
      </w:r>
      <w:r>
        <w:rPr>
          <w:rFonts w:ascii="仿宋" w:eastAsia="仿宋" w:hAnsi="仿宋" w:cs="仿宋"/>
        </w:rPr>
        <w:t>万元；本单位共</w:t>
      </w:r>
      <w:r>
        <w:rPr>
          <w:rFonts w:ascii="仿宋" w:eastAsia="仿宋" w:hAnsi="仿宋" w:cs="仿宋"/>
        </w:rPr>
        <w:t>6</w:t>
      </w:r>
      <w:r>
        <w:rPr>
          <w:rFonts w:ascii="仿宋" w:eastAsia="仿宋" w:hAnsi="仿宋" w:cs="仿宋"/>
        </w:rPr>
        <w:t>个项目纳入绩效目标管理，涉及财政性资金合计</w:t>
      </w:r>
      <w:r>
        <w:rPr>
          <w:rFonts w:ascii="仿宋" w:eastAsia="仿宋" w:hAnsi="仿宋" w:cs="仿宋"/>
        </w:rPr>
        <w:t>457.45</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1A3225" w:rsidRDefault="00666D4F">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1A3225" w:rsidRDefault="001A3225">
      <w:pPr>
        <w:pStyle w:val="a4"/>
        <w:tabs>
          <w:tab w:val="left" w:pos="3864"/>
          <w:tab w:val="left" w:pos="6248"/>
          <w:tab w:val="left" w:pos="7386"/>
        </w:tabs>
        <w:ind w:leftChars="200" w:left="440" w:firstLineChars="206" w:firstLine="659"/>
        <w:jc w:val="both"/>
        <w:rPr>
          <w:rFonts w:ascii="仿宋" w:eastAsia="仿宋" w:hAnsi="仿宋" w:cs="仿宋"/>
        </w:rPr>
      </w:pP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w:t>
      </w:r>
      <w:proofErr w:type="gramStart"/>
      <w:r>
        <w:rPr>
          <w:rFonts w:ascii="仿宋" w:eastAsia="仿宋" w:hAnsi="仿宋" w:cs="仿宋" w:hint="eastAsia"/>
        </w:rPr>
        <w:t>类财政</w:t>
      </w:r>
      <w:proofErr w:type="gramEnd"/>
      <w:r>
        <w:rPr>
          <w:rFonts w:ascii="仿宋" w:eastAsia="仿宋" w:hAnsi="仿宋" w:cs="仿宋" w:hint="eastAsia"/>
        </w:rPr>
        <w:t>拨款，包括一般公共预算拨款、政府性基金预算拨款、国有资本经营预算拨款。</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w:t>
      </w:r>
      <w:proofErr w:type="gramStart"/>
      <w:r>
        <w:rPr>
          <w:rFonts w:ascii="仿宋" w:eastAsia="仿宋" w:hAnsi="仿宋" w:cs="仿宋" w:hint="eastAsia"/>
        </w:rPr>
        <w:t>费反映</w:t>
      </w:r>
      <w:proofErr w:type="gramEnd"/>
      <w:r>
        <w:rPr>
          <w:rFonts w:ascii="仿宋" w:eastAsia="仿宋" w:hAnsi="仿宋" w:cs="仿宋" w:hint="eastAsia"/>
        </w:rPr>
        <w:t>单位公务出国（境）的住宿费、旅费、伙食补助费、杂费、培训费</w:t>
      </w:r>
      <w:r>
        <w:rPr>
          <w:rFonts w:ascii="仿宋" w:eastAsia="仿宋" w:hAnsi="仿宋" w:cs="仿宋" w:hint="eastAsia"/>
        </w:rPr>
        <w:t>等支出；公务用车购置及运行维护费反映单位公务用车购置费、燃料费、维修费、过路过桥费、保险费、安全奖励费用等支出；公务接待</w:t>
      </w:r>
      <w:proofErr w:type="gramStart"/>
      <w:r>
        <w:rPr>
          <w:rFonts w:ascii="仿宋" w:eastAsia="仿宋" w:hAnsi="仿宋" w:cs="仿宋" w:hint="eastAsia"/>
        </w:rPr>
        <w:t>费反映</w:t>
      </w:r>
      <w:proofErr w:type="gramEnd"/>
      <w:r>
        <w:rPr>
          <w:rFonts w:ascii="仿宋" w:eastAsia="仿宋" w:hAnsi="仿宋" w:cs="仿宋" w:hint="eastAsia"/>
        </w:rPr>
        <w:t>单位按规定开支的各类公务接待（含外宾接待）支出。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w:t>
      </w:r>
      <w:r>
        <w:rPr>
          <w:rFonts w:ascii="仿宋" w:eastAsia="仿宋" w:hAnsi="仿宋" w:cs="仿宋" w:hint="eastAsia"/>
          <w:b/>
          <w:bCs/>
        </w:rPr>
        <w:t>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九、一般公共服务支出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政府办公厅（室）及相关机构事务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政务公开审批</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反映各级政府政务公开审批方面的支出。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十一、社会保障和就业支出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其他社会保障和就业支出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反映除上述项目以外其他用于社会保障和就业方面的支出。</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w:t>
      </w:r>
      <w:r>
        <w:rPr>
          <w:rFonts w:ascii="仿宋" w:eastAsia="仿宋" w:hAnsi="仿宋" w:cs="仿宋" w:hint="eastAsia"/>
          <w:b/>
          <w:bCs/>
        </w:rPr>
        <w:t>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1A3225" w:rsidRDefault="00666D4F">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十六、其他支出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其他支出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反映除上述项目以外其他不能划分到具体功能科目中的支出项目。</w:t>
      </w:r>
    </w:p>
    <w:sectPr w:rsidR="001A3225">
      <w:pgSz w:w="11906" w:h="16838"/>
      <w:pgMar w:top="1580" w:right="820" w:bottom="770" w:left="822" w:header="17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4F" w:rsidRDefault="00666D4F">
      <w:r>
        <w:separator/>
      </w:r>
    </w:p>
  </w:endnote>
  <w:endnote w:type="continuationSeparator" w:id="0">
    <w:p w:rsidR="00666D4F" w:rsidRDefault="006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ì."/>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altName w:val="Arial Unicode MS"/>
    <w:charset w:val="86"/>
    <w:family w:val="roman"/>
    <w:pitch w:val="default"/>
    <w:sig w:usb0="00000000"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1A3225" w:rsidRDefault="00666D4F">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CD5B7E">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- 19 -</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- 20 -</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- 22 -</w:t>
                </w:r>
                <w:r>
                  <w:rPr>
                    <w:rFonts w:hint="eastAsia"/>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3"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- 23 -</w:t>
                </w:r>
                <w:r>
                  <w:rPr>
                    <w:rFonts w:hint="eastAsia"/>
                  </w:rPr>
                  <w:fldChar w:fldCharType="end"/>
                </w:r>
              </w:p>
            </w:txbxContent>
          </v:textbox>
          <w10:wrap anchorx="margin"/>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4"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- 35 -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89"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1A3225" w:rsidRDefault="00666D4F">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CD5B7E">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7"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- 9 -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88"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- 10 -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- 12 -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- 14 -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- 16 -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- 17 -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5"/>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1A3225" w:rsidRDefault="00666D4F">
                <w:pPr>
                  <w:pStyle w:val="a5"/>
                </w:pPr>
                <w:r>
                  <w:rPr>
                    <w:rFonts w:hint="eastAsia"/>
                  </w:rPr>
                  <w:fldChar w:fldCharType="begin"/>
                </w:r>
                <w:r>
                  <w:rPr>
                    <w:rFonts w:hint="eastAsia"/>
                  </w:rPr>
                  <w:instrText xml:space="preserve"> PAGE  \* MERGEFORMAT </w:instrText>
                </w:r>
                <w:r>
                  <w:rPr>
                    <w:rFonts w:hint="eastAsia"/>
                  </w:rPr>
                  <w:fldChar w:fldCharType="separate"/>
                </w:r>
                <w:r w:rsidR="00CD5B7E">
                  <w:rPr>
                    <w:noProof/>
                  </w:rPr>
                  <w:t>- 18 -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4F" w:rsidRDefault="00666D4F">
      <w:r>
        <w:separator/>
      </w:r>
    </w:p>
  </w:footnote>
  <w:footnote w:type="continuationSeparator" w:id="0">
    <w:p w:rsidR="00666D4F" w:rsidRDefault="00666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666D4F">
    <w:pPr>
      <w:pStyle w:val="a6"/>
      <w:pBdr>
        <w:bottom w:val="single" w:sz="4" w:space="1" w:color="000000"/>
      </w:pBdr>
      <w:jc w:val="both"/>
      <w:rPr>
        <w:lang w:val="en-US"/>
      </w:rPr>
    </w:pPr>
    <w:r>
      <w:rPr>
        <w:rFonts w:hint="eastAsia"/>
        <w:lang w:val="en-US"/>
      </w:rPr>
      <w:t>江阴市行政审批局（机关）</w:t>
    </w:r>
    <w:r>
      <w:t>2023</w:t>
    </w:r>
    <w:r>
      <w:t>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25" w:rsidRDefault="001A3225">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0"/>
  <w:autoHyphenation/>
  <w:noPunctuationKerning/>
  <w:characterSpacingControl w:val="doNotCompress"/>
  <w:hdrShapeDefaults>
    <o:shapedefaults v:ext="edit" spidmax="3090"/>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1A3225"/>
    <w:rsid w:val="DBEED555"/>
    <w:rsid w:val="00064984"/>
    <w:rsid w:val="00071288"/>
    <w:rsid w:val="00071789"/>
    <w:rsid w:val="000F12AB"/>
    <w:rsid w:val="001A3225"/>
    <w:rsid w:val="001C31F9"/>
    <w:rsid w:val="00407CA7"/>
    <w:rsid w:val="00413AD8"/>
    <w:rsid w:val="004460AE"/>
    <w:rsid w:val="005F037B"/>
    <w:rsid w:val="00666D4F"/>
    <w:rsid w:val="00671ED7"/>
    <w:rsid w:val="00672164"/>
    <w:rsid w:val="00867423"/>
    <w:rsid w:val="008B5B05"/>
    <w:rsid w:val="00925913"/>
    <w:rsid w:val="009965EA"/>
    <w:rsid w:val="00A61D7A"/>
    <w:rsid w:val="00A6752E"/>
    <w:rsid w:val="00BD7F33"/>
    <w:rsid w:val="00C15920"/>
    <w:rsid w:val="00C35C3A"/>
    <w:rsid w:val="00C82582"/>
    <w:rsid w:val="00CD5B7E"/>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2371</Words>
  <Characters>13516</Characters>
  <Application>Microsoft Office Word</Application>
  <DocSecurity>0</DocSecurity>
  <Lines>112</Lines>
  <Paragraphs>31</Paragraphs>
  <ScaleCrop>false</ScaleCrop>
  <Company>Microsoft</Company>
  <LinksUpToDate>false</LinksUpToDate>
  <CharactersWithSpaces>15856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PC</cp:lastModifiedBy>
  <cp:revision>176</cp:revision>
  <dcterms:created xsi:type="dcterms:W3CDTF">2021-04-16T03:22:00Z</dcterms:created>
  <dcterms:modified xsi:type="dcterms:W3CDTF">2023-06-30T08:07:00Z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