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ascii="宋体" w:hAnsi="宋体" w:eastAsia="宋体" w:cs="Times New Roman"/>
          <w:b/>
          <w:sz w:val="36"/>
          <w:szCs w:val="36"/>
        </w:rPr>
        <w:t>江苏省政府专项债券项目-长泾镇工业集中区基础设施配套提升工程（西区）项目绩效自评价报告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  <w:color w:val="222222"/>
          <w:spacing w:val="8"/>
          <w:sz w:val="27"/>
          <w:szCs w:val="27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Times New Roman" w:hAnsi="Times New Roman" w:cs="Times New Roman"/>
          <w:b/>
          <w:color w:val="222222"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pacing w:val="8"/>
          <w:sz w:val="28"/>
          <w:szCs w:val="28"/>
        </w:rPr>
        <w:t>一、项目情况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Times New Roman" w:hAnsi="Times New Roman" w:cs="Times New Roman"/>
          <w:color w:val="222222"/>
          <w:spacing w:val="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长泾镇工业集中区基础设施配套提升工程（西区）项目位于长泾镇，其中开元路改建工程（企业-云顾公路）起点与企业相接，终点至云顾公路；兴园路改建工程（沿河路-长安路）西起沿河路，东至长安路；景观改造工程对兴园路（长安路—沿河路）路段道路两侧及中间绿化景观进行提标改造。</w:t>
      </w:r>
      <w:r>
        <w:rPr>
          <w:rFonts w:ascii="Times New Roman" w:hAnsi="Times New Roman" w:cs="Times New Roman"/>
          <w:color w:val="222222"/>
          <w:spacing w:val="8"/>
          <w:sz w:val="28"/>
          <w:szCs w:val="28"/>
        </w:rPr>
        <w:t>开元路和兴园路两侧主要为工业厂房，交通量较大，导致路面出现破损、坑槽、车辙和拥包等现象，严重了影响交通的安全性；近年来，随着交通量的增加，道路通行能力明显不足，承载能力逐年下降。兴园路道路景观建成时间较长，存在植被单一、色相单一、缺少特色、存在安全隐患等方面的问题。</w:t>
      </w:r>
      <w:bookmarkStart w:id="0" w:name="_GoBack"/>
      <w:bookmarkEnd w:id="0"/>
      <w:r>
        <w:rPr>
          <w:rFonts w:ascii="Times New Roman" w:hAnsi="Times New Roman" w:cs="Times New Roman"/>
          <w:color w:val="222222"/>
          <w:spacing w:val="8"/>
          <w:sz w:val="28"/>
          <w:szCs w:val="28"/>
        </w:rPr>
        <w:t>通过对长泾镇工业集中区（西区）进行基础设施配套提升建设，有助于提高区域道路通行能力、改善区域生态环境、完善投资硬环境，有效增加园区承载能力，为园区企业、项目发展创造有利条件。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  <w:color w:val="222222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8"/>
          <w:sz w:val="28"/>
          <w:szCs w:val="28"/>
        </w:rPr>
        <w:t>项目主要建设内容包括开元路改建工程（企业-云顾公路）、兴园路改建工程（沿河路-长安路）</w:t>
      </w:r>
      <w:r>
        <w:rPr>
          <w:rFonts w:hint="eastAsia" w:ascii="Times New Roman" w:hAnsi="Times New Roman" w:cs="Times New Roman"/>
          <w:color w:val="222222"/>
          <w:spacing w:val="8"/>
          <w:sz w:val="28"/>
          <w:szCs w:val="28"/>
        </w:rPr>
        <w:t>和兴园路污水管网工程</w:t>
      </w:r>
      <w:r>
        <w:rPr>
          <w:rFonts w:ascii="Times New Roman" w:hAnsi="Times New Roman" w:cs="Times New Roman"/>
          <w:color w:val="222222"/>
          <w:spacing w:val="8"/>
          <w:sz w:val="28"/>
          <w:szCs w:val="28"/>
        </w:rPr>
        <w:t>。开元路改建工程（企业-云顾公路）起点与企业相接，终点至云顾公路，道路全长886米；兴园路改建工程（沿河路-长安路）西起沿河路，东至长安路，道路全长2752米；</w:t>
      </w:r>
      <w:r>
        <w:rPr>
          <w:rFonts w:hint="eastAsia" w:ascii="Times New Roman" w:hAnsi="Times New Roman" w:cs="Times New Roman"/>
          <w:color w:val="222222"/>
          <w:spacing w:val="8"/>
          <w:sz w:val="28"/>
          <w:szCs w:val="28"/>
        </w:rPr>
        <w:t>兴园路污水管网工程</w:t>
      </w:r>
      <w:r>
        <w:rPr>
          <w:rFonts w:hint="eastAsia" w:ascii="Times New Roman" w:hAnsi="Times New Roman" w:cs="Times New Roman"/>
          <w:color w:val="222222"/>
          <w:spacing w:val="8"/>
          <w:sz w:val="28"/>
          <w:szCs w:val="28"/>
          <w:lang w:val="en-US" w:eastAsia="zh-CN"/>
        </w:rPr>
        <w:t>3587</w:t>
      </w:r>
      <w:r>
        <w:rPr>
          <w:rFonts w:hint="eastAsia" w:ascii="Times New Roman" w:hAnsi="Times New Roman" w:cs="Times New Roman"/>
          <w:color w:val="222222"/>
          <w:spacing w:val="8"/>
          <w:sz w:val="28"/>
          <w:szCs w:val="28"/>
        </w:rPr>
        <w:t>米</w:t>
      </w:r>
      <w:r>
        <w:rPr>
          <w:rFonts w:ascii="Times New Roman" w:hAnsi="Times New Roman" w:cs="Times New Roman"/>
          <w:color w:val="222222"/>
          <w:spacing w:val="8"/>
          <w:sz w:val="28"/>
          <w:szCs w:val="28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8"/>
          <w:sz w:val="28"/>
          <w:szCs w:val="28"/>
        </w:rPr>
        <w:t>项目项目建设期1年，2021年11月开始工程招投标，</w:t>
      </w:r>
      <w:r>
        <w:rPr>
          <w:rFonts w:ascii="Times New Roman" w:hAnsi="Times New Roman" w:cs="Times New Roman"/>
          <w:spacing w:val="8"/>
          <w:sz w:val="28"/>
          <w:szCs w:val="28"/>
        </w:rPr>
        <w:t>2022年1</w:t>
      </w:r>
      <w:r>
        <w:rPr>
          <w:rFonts w:hint="eastAsia" w:ascii="Times New Roman" w:hAnsi="Times New Roman" w:cs="Times New Roman"/>
          <w:spacing w:val="8"/>
          <w:sz w:val="28"/>
          <w:szCs w:val="28"/>
        </w:rPr>
        <w:t>2</w:t>
      </w:r>
      <w:r>
        <w:rPr>
          <w:rFonts w:ascii="Times New Roman" w:hAnsi="Times New Roman" w:cs="Times New Roman"/>
          <w:spacing w:val="8"/>
          <w:sz w:val="28"/>
          <w:szCs w:val="28"/>
        </w:rPr>
        <w:t>月工程竣工</w:t>
      </w:r>
      <w:r>
        <w:rPr>
          <w:rFonts w:hint="eastAsia" w:ascii="Times New Roman" w:hAnsi="Times New Roman" w:cs="Times New Roman"/>
          <w:spacing w:val="8"/>
          <w:sz w:val="28"/>
          <w:szCs w:val="28"/>
          <w:lang w:eastAsia="zh-CN"/>
        </w:rPr>
        <w:t>，</w:t>
      </w:r>
      <w:r>
        <w:rPr>
          <w:rFonts w:hint="eastAsia" w:ascii="Times New Roman" w:hAnsi="Times New Roman" w:cs="Times New Roman"/>
          <w:spacing w:val="8"/>
          <w:sz w:val="28"/>
          <w:szCs w:val="28"/>
          <w:lang w:val="en-US" w:eastAsia="zh-CN"/>
        </w:rPr>
        <w:t>目前处于验收阶段</w:t>
      </w:r>
      <w:r>
        <w:rPr>
          <w:rFonts w:ascii="Times New Roman" w:hAnsi="Times New Roman" w:cs="Times New Roman"/>
          <w:spacing w:val="8"/>
          <w:sz w:val="28"/>
          <w:szCs w:val="28"/>
        </w:rPr>
        <w:t>。项目总投资约为</w:t>
      </w:r>
      <w:r>
        <w:rPr>
          <w:rFonts w:hint="eastAsia" w:ascii="Times New Roman" w:hAnsi="Times New Roman" w:cs="Times New Roman"/>
          <w:spacing w:val="8"/>
          <w:sz w:val="28"/>
          <w:szCs w:val="28"/>
        </w:rPr>
        <w:t>3157</w:t>
      </w:r>
      <w:r>
        <w:rPr>
          <w:rFonts w:ascii="Times New Roman" w:hAnsi="Times New Roman" w:cs="Times New Roman"/>
          <w:spacing w:val="8"/>
          <w:sz w:val="28"/>
          <w:szCs w:val="28"/>
        </w:rPr>
        <w:t>.00 万元；其中项目建设单位自有资金</w:t>
      </w:r>
      <w:r>
        <w:rPr>
          <w:rFonts w:hint="eastAsia" w:ascii="Times New Roman" w:hAnsi="Times New Roman" w:cs="Times New Roman"/>
          <w:spacing w:val="8"/>
          <w:sz w:val="28"/>
          <w:szCs w:val="28"/>
        </w:rPr>
        <w:t>657</w:t>
      </w:r>
      <w:r>
        <w:rPr>
          <w:rFonts w:ascii="Times New Roman" w:hAnsi="Times New Roman" w:cs="Times New Roman"/>
          <w:spacing w:val="8"/>
          <w:sz w:val="28"/>
          <w:szCs w:val="28"/>
        </w:rPr>
        <w:t>.00 万元</w:t>
      </w:r>
      <w:r>
        <w:rPr>
          <w:rFonts w:hint="eastAsia" w:ascii="Times New Roman" w:hAnsi="Times New Roman" w:cs="Times New Roman"/>
          <w:spacing w:val="8"/>
          <w:sz w:val="28"/>
          <w:szCs w:val="28"/>
        </w:rPr>
        <w:t>，占比20.8%；</w:t>
      </w:r>
      <w:r>
        <w:rPr>
          <w:rFonts w:ascii="Times New Roman" w:hAnsi="Times New Roman" w:cs="Times New Roman"/>
          <w:spacing w:val="8"/>
          <w:sz w:val="28"/>
          <w:szCs w:val="28"/>
        </w:rPr>
        <w:t>发行债券2500.00 万元</w:t>
      </w:r>
      <w:r>
        <w:rPr>
          <w:rFonts w:hint="eastAsia" w:ascii="Times New Roman" w:hAnsi="Times New Roman" w:cs="Times New Roman"/>
          <w:spacing w:val="8"/>
          <w:sz w:val="28"/>
          <w:szCs w:val="28"/>
        </w:rPr>
        <w:t>，占比79.2%</w:t>
      </w:r>
      <w:r>
        <w:rPr>
          <w:rFonts w:ascii="Times New Roman" w:hAnsi="Times New Roman" w:cs="Times New Roman"/>
          <w:spacing w:val="8"/>
          <w:sz w:val="28"/>
          <w:szCs w:val="28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594" w:firstLineChars="200"/>
        <w:jc w:val="both"/>
        <w:rPr>
          <w:rFonts w:ascii="Times New Roman" w:hAnsi="Times New Roman" w:cs="Times New Roman"/>
          <w:b/>
          <w:color w:val="222222"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pacing w:val="8"/>
          <w:sz w:val="28"/>
          <w:szCs w:val="28"/>
        </w:rPr>
        <w:t>二、评价情况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592" w:firstLineChars="200"/>
        <w:jc w:val="both"/>
        <w:rPr>
          <w:rFonts w:ascii="Times New Roman" w:hAnsi="Times New Roman" w:cs="Times New Roman"/>
          <w:color w:val="222222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8"/>
          <w:sz w:val="28"/>
          <w:szCs w:val="28"/>
        </w:rPr>
        <w:t>1、项目特点分析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本</w:t>
      </w:r>
      <w:r>
        <w:rPr>
          <w:rFonts w:ascii="Times New Roman" w:hAnsi="Times New Roman" w:eastAsia="宋体" w:cs="Times New Roman"/>
          <w:sz w:val="28"/>
          <w:szCs w:val="28"/>
        </w:rPr>
        <w:t>项目定位为基础设施建设，是工业集中区招商引资改善投资环境和项目建设的必备硬件，在工业集中区开发建设中</w:t>
      </w:r>
      <w:r>
        <w:rPr>
          <w:rFonts w:hint="eastAsia" w:ascii="Times New Roman" w:hAnsi="Times New Roman" w:eastAsia="宋体" w:cs="Times New Roman"/>
          <w:sz w:val="28"/>
          <w:szCs w:val="28"/>
        </w:rPr>
        <w:t>起到</w:t>
      </w:r>
      <w:r>
        <w:rPr>
          <w:rFonts w:ascii="Times New Roman" w:hAnsi="Times New Roman" w:eastAsia="宋体" w:cs="Times New Roman"/>
          <w:sz w:val="28"/>
          <w:szCs w:val="28"/>
        </w:rPr>
        <w:t>纽带和载体作用。该项目</w:t>
      </w:r>
      <w:r>
        <w:rPr>
          <w:rFonts w:hint="eastAsia" w:ascii="Times New Roman" w:hAnsi="Times New Roman" w:eastAsia="宋体" w:cs="Times New Roman"/>
          <w:sz w:val="28"/>
          <w:szCs w:val="28"/>
        </w:rPr>
        <w:t>通过</w:t>
      </w:r>
      <w:r>
        <w:rPr>
          <w:rFonts w:ascii="Times New Roman" w:hAnsi="Times New Roman" w:eastAsia="宋体" w:cs="Times New Roman"/>
          <w:sz w:val="28"/>
          <w:szCs w:val="28"/>
        </w:rPr>
        <w:t>对长泾镇工业集中区（西区）进行基础设施配套提升建设，有助于提高区域道路通行能力、改善区域生态环境、完善投资硬环境，有效增加园区承载能力，为园区企业、项目发展创造有利条件。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根据本项目以上主要特点，绩效评价的要点主要集中在工程决策可行性、过程管理、投入产出效益等方面展开。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2、评价工作情况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长泾镇工业集中区基础设施配套提升工程（西区）项目实际情况：总投资</w:t>
      </w:r>
      <w:r>
        <w:rPr>
          <w:rFonts w:hint="eastAsia" w:ascii="Times New Roman" w:hAnsi="Times New Roman" w:eastAsia="宋体" w:cs="Times New Roman"/>
          <w:sz w:val="28"/>
          <w:szCs w:val="28"/>
        </w:rPr>
        <w:t>3157</w:t>
      </w:r>
      <w:r>
        <w:rPr>
          <w:rFonts w:ascii="Times New Roman" w:hAnsi="Times New Roman" w:eastAsia="宋体" w:cs="Times New Roman"/>
          <w:sz w:val="28"/>
          <w:szCs w:val="28"/>
        </w:rPr>
        <w:t>.00万</w:t>
      </w:r>
      <w:r>
        <w:rPr>
          <w:rFonts w:hint="eastAsia" w:ascii="Times New Roman" w:hAnsi="Times New Roman" w:eastAsia="宋体" w:cs="Times New Roman"/>
          <w:sz w:val="28"/>
          <w:szCs w:val="28"/>
        </w:rPr>
        <w:t>元</w:t>
      </w:r>
      <w:r>
        <w:rPr>
          <w:rFonts w:ascii="Times New Roman" w:hAnsi="Times New Roman" w:eastAsia="宋体" w:cs="Times New Roman"/>
          <w:sz w:val="28"/>
          <w:szCs w:val="28"/>
        </w:rPr>
        <w:t>，项目建设期1年，2021年11月开始工程招投标，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目前</w:t>
      </w:r>
      <w:r>
        <w:rPr>
          <w:rFonts w:hint="eastAsia" w:ascii="Times New Roman" w:hAnsi="Times New Roman" w:eastAsia="宋体" w:cs="Times New Roman"/>
          <w:sz w:val="28"/>
          <w:szCs w:val="28"/>
        </w:rPr>
        <w:t>处于竣工验收阶段</w:t>
      </w:r>
      <w:r>
        <w:rPr>
          <w:rFonts w:ascii="Times New Roman" w:hAnsi="Times New Roman" w:eastAsia="宋体" w:cs="Times New Roman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围绕工程决策可行性、过程管理、投入产出效益三个方面，本次评价工作着重考察了项目决策的合法合规性、项目实施的可行性及投入产出效益的公益性等。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宋体" w:cs="Times New Roman"/>
          <w:sz w:val="28"/>
          <w:szCs w:val="28"/>
        </w:rPr>
        <w:t>、绩效评价结论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经自我评价，2022年度长泾镇工业集中区基础设施配套提升工程（西区）项目专项债券资金评分为9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宋体" w:cs="Times New Roman"/>
          <w:sz w:val="28"/>
          <w:szCs w:val="28"/>
        </w:rPr>
        <w:t>分，评价等级为优秀。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Times New Roman" w:hAnsi="Times New Roman" w:cs="Times New Roman"/>
          <w:b/>
          <w:color w:val="C00000"/>
          <w:spacing w:val="8"/>
          <w:sz w:val="28"/>
          <w:szCs w:val="28"/>
          <w:highlight w:val="none"/>
        </w:rPr>
      </w:pPr>
      <w:r>
        <w:rPr>
          <w:rFonts w:hint="eastAsia" w:ascii="黑体" w:hAnsi="黑体" w:eastAsia="黑体"/>
          <w:sz w:val="30"/>
          <w:szCs w:val="30"/>
          <w:highlight w:val="none"/>
        </w:rPr>
        <w:t>三、</w:t>
      </w:r>
      <w:r>
        <w:rPr>
          <w:rFonts w:hint="eastAsia" w:ascii="Times New Roman" w:hAnsi="Times New Roman" w:cs="Times New Roman"/>
          <w:b/>
          <w:color w:val="222222"/>
          <w:spacing w:val="8"/>
          <w:sz w:val="28"/>
          <w:szCs w:val="28"/>
          <w:highlight w:val="none"/>
        </w:rPr>
        <w:t>项目绩效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1、项目预期经济效益良好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本项目经济效益体现在两个方面。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一是土地价值带动效益。</w:t>
      </w:r>
      <w:r>
        <w:rPr>
          <w:rFonts w:ascii="Times New Roman" w:hAnsi="Times New Roman" w:eastAsia="宋体" w:cs="Times New Roman"/>
          <w:sz w:val="28"/>
          <w:szCs w:val="28"/>
        </w:rPr>
        <w:t>长泾镇工业集中区基础设施配套提升工程（西区）</w:t>
      </w:r>
      <w:r>
        <w:rPr>
          <w:rFonts w:hint="eastAsia" w:ascii="Times New Roman" w:hAnsi="Times New Roman" w:eastAsia="宋体" w:cs="Times New Roman"/>
          <w:sz w:val="28"/>
          <w:szCs w:val="28"/>
        </w:rPr>
        <w:t>的建设，改善了开元路和兴园路的交通出行条件和区域环境，使</w:t>
      </w:r>
      <w:r>
        <w:rPr>
          <w:rFonts w:ascii="Times New Roman" w:hAnsi="Times New Roman" w:eastAsia="宋体" w:cs="Times New Roman"/>
          <w:sz w:val="28"/>
          <w:szCs w:val="28"/>
        </w:rPr>
        <w:t>长泾镇工业集中区</w:t>
      </w:r>
      <w:r>
        <w:rPr>
          <w:rFonts w:hint="eastAsia" w:ascii="Times New Roman" w:hAnsi="Times New Roman" w:eastAsia="宋体" w:cs="Times New Roman"/>
          <w:sz w:val="28"/>
          <w:szCs w:val="28"/>
        </w:rPr>
        <w:t>的交通联系更加便捷，有效改善区域外部交通条件，实现区域内外的商品与人员便捷流通，促进区域内工业资源开发和土地价值提升，将资源优势转化为经济优势。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二是税收增量效益。市政基础设施的完善有助于吸引优质企业，</w:t>
      </w:r>
      <w:r>
        <w:rPr>
          <w:rFonts w:ascii="Times New Roman" w:hAnsi="Times New Roman" w:eastAsia="宋体" w:cs="Times New Roman"/>
          <w:sz w:val="28"/>
          <w:szCs w:val="28"/>
        </w:rPr>
        <w:t>长泾镇工业集中区基础设施配套提升工程（西区）</w:t>
      </w:r>
      <w:r>
        <w:rPr>
          <w:rFonts w:hint="eastAsia" w:ascii="Times New Roman" w:hAnsi="Times New Roman" w:eastAsia="宋体" w:cs="Times New Roman"/>
          <w:sz w:val="28"/>
          <w:szCs w:val="28"/>
        </w:rPr>
        <w:t>的建设，能够显著改善园区进出条件，有助于吸引企业入驻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，2022年底</w:t>
      </w:r>
      <w:r>
        <w:rPr>
          <w:rFonts w:ascii="Times New Roman" w:hAnsi="Times New Roman" w:eastAsia="宋体" w:cs="Times New Roman"/>
          <w:sz w:val="28"/>
          <w:szCs w:val="28"/>
        </w:rPr>
        <w:t>工业集中区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内引进江苏晋瑄陶瓷设备有限公司、江阴市高达输送机械科技有限公司，亩均税收可达40余万元，年税收预计超2千万元</w:t>
      </w:r>
      <w:r>
        <w:rPr>
          <w:rFonts w:hint="eastAsia" w:ascii="Times New Roman" w:hAnsi="Times New Roman" w:eastAsia="宋体" w:cs="Times New Roman"/>
          <w:sz w:val="28"/>
          <w:szCs w:val="28"/>
        </w:rPr>
        <w:t>，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大大</w:t>
      </w:r>
      <w:r>
        <w:rPr>
          <w:rFonts w:hint="eastAsia" w:ascii="Times New Roman" w:hAnsi="Times New Roman" w:eastAsia="宋体" w:cs="Times New Roman"/>
          <w:sz w:val="28"/>
          <w:szCs w:val="28"/>
        </w:rPr>
        <w:t>增加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了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地方财政</w:t>
      </w:r>
      <w:r>
        <w:rPr>
          <w:rFonts w:hint="eastAsia" w:ascii="Times New Roman" w:hAnsi="Times New Roman" w:eastAsia="宋体" w:cs="Times New Roman"/>
          <w:sz w:val="28"/>
          <w:szCs w:val="28"/>
        </w:rPr>
        <w:t>税源。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2、项目社会效益显著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该项目的建设将有助于优化区域路网结构，充分发挥区域路网功能，将显著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改善</w:t>
      </w:r>
      <w:r>
        <w:rPr>
          <w:rFonts w:hint="eastAsia" w:ascii="Times New Roman" w:hAnsi="Times New Roman" w:eastAsia="宋体" w:cs="Times New Roman"/>
          <w:sz w:val="28"/>
          <w:szCs w:val="28"/>
        </w:rPr>
        <w:t>长泾镇工业集中区路网和基础设施，改善区域交通及投资环境，提高长泾镇的投资潜力，改善当地居民的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出行</w:t>
      </w:r>
      <w:r>
        <w:rPr>
          <w:rFonts w:hint="eastAsia" w:ascii="Times New Roman" w:hAnsi="Times New Roman" w:eastAsia="宋体" w:cs="Times New Roman"/>
          <w:sz w:val="28"/>
          <w:szCs w:val="28"/>
        </w:rPr>
        <w:t>质量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8"/>
          <w:szCs w:val="28"/>
        </w:rPr>
        <w:t>促进区域社会经济可持续发展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8"/>
          <w:szCs w:val="28"/>
        </w:rPr>
        <w:t>增强可持续发展的后劲与潜力。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此外，该项目的建设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还</w:t>
      </w:r>
      <w:r>
        <w:rPr>
          <w:rFonts w:hint="eastAsia" w:ascii="Times New Roman" w:hAnsi="Times New Roman" w:eastAsia="宋体" w:cs="Times New Roman"/>
          <w:sz w:val="28"/>
          <w:szCs w:val="28"/>
        </w:rPr>
        <w:t>可以直接带动沿路区域人员就业与增收。项目建设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和后期养护</w:t>
      </w:r>
      <w:r>
        <w:rPr>
          <w:rFonts w:hint="eastAsia" w:ascii="Times New Roman" w:hAnsi="Times New Roman" w:eastAsia="宋体" w:cs="Times New Roman"/>
          <w:sz w:val="28"/>
          <w:szCs w:val="28"/>
        </w:rPr>
        <w:t>期间，将为项目建设周边地区提供大量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便利</w:t>
      </w:r>
      <w:r>
        <w:rPr>
          <w:rFonts w:hint="eastAsia" w:ascii="Times New Roman" w:hAnsi="Times New Roman" w:eastAsia="宋体" w:cs="Times New Roman"/>
          <w:sz w:val="28"/>
          <w:szCs w:val="28"/>
        </w:rPr>
        <w:t>，促进本区域居民就业与增收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。</w:t>
      </w:r>
      <w:r>
        <w:rPr>
          <w:rFonts w:hint="eastAsia" w:ascii="Times New Roman" w:hAnsi="Times New Roman" w:eastAsia="宋体" w:cs="Times New Roman"/>
          <w:sz w:val="28"/>
          <w:szCs w:val="28"/>
        </w:rPr>
        <w:t>本项目建设所形成的社会效益显著。</w:t>
      </w:r>
    </w:p>
    <w:p>
      <w:pPr>
        <w:spacing w:line="574" w:lineRule="exact"/>
        <w:ind w:firstLine="600" w:firstLineChars="200"/>
        <w:rPr>
          <w:rFonts w:ascii="方正仿宋_GBK" w:eastAsia="方正仿宋_GBK"/>
          <w:color w:val="FF0000"/>
          <w:sz w:val="30"/>
          <w:szCs w:val="30"/>
          <w:highlight w:val="none"/>
        </w:rPr>
      </w:pPr>
      <w:r>
        <w:rPr>
          <w:rFonts w:hint="eastAsia" w:ascii="黑体" w:hAnsi="黑体" w:eastAsia="黑体"/>
          <w:sz w:val="30"/>
          <w:szCs w:val="30"/>
          <w:highlight w:val="none"/>
        </w:rPr>
        <w:t>四、存在问题。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受本地疫情影响，工程建设完成时间较晚，后续将加强工程监理，按计划完成目标工程量。</w:t>
      </w:r>
    </w:p>
    <w:p>
      <w:pPr>
        <w:spacing w:line="574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五、有关建议。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（一）项目单位现行工程建设管理制度已健全，对建设进度、质量、安全、环保、成本控制等方面的管理与控制工作卓有成效，项目管理成效显著。</w:t>
      </w:r>
      <w:r>
        <w:rPr>
          <w:rFonts w:hint="eastAsia" w:ascii="Times New Roman" w:hAnsi="Times New Roman" w:cs="Times New Roman"/>
          <w:kern w:val="2"/>
          <w:sz w:val="28"/>
          <w:szCs w:val="28"/>
          <w:lang w:val="en-US" w:eastAsia="zh-CN" w:bidi="ar-SA"/>
        </w:rPr>
        <w:t>但仍需进一步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加强项目过程管理，质量控制、工期控制，保证项目按时按质完成。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（</w:t>
      </w:r>
      <w:r>
        <w:rPr>
          <w:rFonts w:hint="eastAsia" w:ascii="Times New Roman" w:hAnsi="Times New Roman" w:cs="Times New Roman"/>
          <w:kern w:val="2"/>
          <w:sz w:val="28"/>
          <w:szCs w:val="28"/>
          <w:lang w:val="en-US" w:eastAsia="zh-CN" w:bidi="ar-SA"/>
        </w:rPr>
        <w:t>二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）做好项目完工后的移交工作及后期养护管理工作。工业集中区道路建设投资额大，预计使用年限长，道路使用寿命取决于后期养护管理，建议做好这方面的工作。</w:t>
      </w:r>
    </w:p>
    <w:p>
      <w:pPr>
        <w:spacing w:line="360" w:lineRule="auto"/>
        <w:ind w:firstLine="60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黑体" w:hAnsi="黑体" w:eastAsia="黑体"/>
          <w:sz w:val="30"/>
          <w:szCs w:val="30"/>
        </w:rPr>
        <w:t>六、相关信息。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wMWJlNjU3OGRlNjAyZGFjYzFkMGFkYjliZWIyZTcifQ=="/>
  </w:docVars>
  <w:rsids>
    <w:rsidRoot w:val="00BD3653"/>
    <w:rsid w:val="00064A4A"/>
    <w:rsid w:val="001C68F4"/>
    <w:rsid w:val="002B4C59"/>
    <w:rsid w:val="003D32CF"/>
    <w:rsid w:val="003D6A02"/>
    <w:rsid w:val="004E0708"/>
    <w:rsid w:val="00520C33"/>
    <w:rsid w:val="00596186"/>
    <w:rsid w:val="00684BD5"/>
    <w:rsid w:val="006E35D2"/>
    <w:rsid w:val="007C6330"/>
    <w:rsid w:val="00A10ABA"/>
    <w:rsid w:val="00BC65D7"/>
    <w:rsid w:val="00BD3653"/>
    <w:rsid w:val="00C83EA6"/>
    <w:rsid w:val="00E442CE"/>
    <w:rsid w:val="00EF6C9D"/>
    <w:rsid w:val="00F33C11"/>
    <w:rsid w:val="00FA0587"/>
    <w:rsid w:val="00FB7FF7"/>
    <w:rsid w:val="0C566AD6"/>
    <w:rsid w:val="0D185FB6"/>
    <w:rsid w:val="0E33483C"/>
    <w:rsid w:val="15F7327C"/>
    <w:rsid w:val="1ABE480F"/>
    <w:rsid w:val="1C3E4E9C"/>
    <w:rsid w:val="20B42FF9"/>
    <w:rsid w:val="222F3BF9"/>
    <w:rsid w:val="265A0E7C"/>
    <w:rsid w:val="27315E16"/>
    <w:rsid w:val="2AAA5340"/>
    <w:rsid w:val="2D490B3D"/>
    <w:rsid w:val="2E2A2094"/>
    <w:rsid w:val="32830F54"/>
    <w:rsid w:val="34017ED0"/>
    <w:rsid w:val="39224DAA"/>
    <w:rsid w:val="41C06EB5"/>
    <w:rsid w:val="46C43142"/>
    <w:rsid w:val="4FBA2EEE"/>
    <w:rsid w:val="51844B18"/>
    <w:rsid w:val="531975AC"/>
    <w:rsid w:val="558C6691"/>
    <w:rsid w:val="56AA5E83"/>
    <w:rsid w:val="576A2A02"/>
    <w:rsid w:val="58B773EF"/>
    <w:rsid w:val="5B4527FC"/>
    <w:rsid w:val="5D245401"/>
    <w:rsid w:val="5E671983"/>
    <w:rsid w:val="5ED07BB6"/>
    <w:rsid w:val="63B119F7"/>
    <w:rsid w:val="67167309"/>
    <w:rsid w:val="68E9146E"/>
    <w:rsid w:val="6C6635CF"/>
    <w:rsid w:val="71427902"/>
    <w:rsid w:val="79E30944"/>
    <w:rsid w:val="7C0D37D8"/>
    <w:rsid w:val="7D1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annotation subject"/>
    <w:basedOn w:val="2"/>
    <w:next w:val="2"/>
    <w:link w:val="11"/>
    <w:semiHidden/>
    <w:unhideWhenUsed/>
    <w:qFormat/>
    <w:uiPriority w:val="99"/>
    <w:rPr>
      <w:b/>
      <w:bCs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0">
    <w:name w:val="批注文字 字符"/>
    <w:basedOn w:val="7"/>
    <w:link w:val="2"/>
    <w:semiHidden/>
    <w:qFormat/>
    <w:uiPriority w:val="99"/>
  </w:style>
  <w:style w:type="character" w:customStyle="1" w:styleId="11">
    <w:name w:val="批注主题 字符"/>
    <w:basedOn w:val="10"/>
    <w:link w:val="5"/>
    <w:semiHidden/>
    <w:qFormat/>
    <w:uiPriority w:val="99"/>
    <w:rPr>
      <w:b/>
      <w:bCs/>
    </w:rPr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1875</Words>
  <Characters>1934</Characters>
  <Lines>20</Lines>
  <Paragraphs>5</Paragraphs>
  <TotalTime>8</TotalTime>
  <ScaleCrop>false</ScaleCrop>
  <LinksUpToDate>false</LinksUpToDate>
  <CharactersWithSpaces>1938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2023-02-28T00:55:00Z</dcterms:created>
  <dc:creator>86130</dc:creator>
  <cp:lastModifiedBy>DY</cp:lastModifiedBy>
  <cp:lastPrinted>2023-03-16T02:09:00Z</cp:lastPrinted>
  <dcterms:modified xsi:type="dcterms:W3CDTF">2023-03-28T08:05:08Z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EEF2D6F4EB7C4E889DF63E3D9198DC2B</vt:lpwstr>
  </property>
</Properties>
</file>