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A7A2" w14:textId="77777777" w:rsidR="00731C78" w:rsidRPr="00731C78" w:rsidRDefault="00731C78" w:rsidP="00731C78">
      <w:pPr>
        <w:widowControl/>
        <w:spacing w:line="600" w:lineRule="atLeast"/>
        <w:jc w:val="center"/>
        <w:outlineLvl w:val="0"/>
        <w:rPr>
          <w:rFonts w:ascii="微软雅黑" w:eastAsia="微软雅黑" w:hAnsi="微软雅黑" w:cs="宋体"/>
          <w:b/>
          <w:bCs/>
          <w:color w:val="C60002"/>
          <w:kern w:val="36"/>
          <w:sz w:val="36"/>
          <w:szCs w:val="36"/>
        </w:rPr>
      </w:pPr>
      <w:r w:rsidRPr="00731C78">
        <w:rPr>
          <w:rFonts w:ascii="微软雅黑" w:eastAsia="微软雅黑" w:hAnsi="微软雅黑" w:cs="宋体" w:hint="eastAsia"/>
          <w:b/>
          <w:bCs/>
          <w:color w:val="C60002"/>
          <w:kern w:val="36"/>
          <w:sz w:val="36"/>
          <w:szCs w:val="36"/>
        </w:rPr>
        <w:t>关于提升危险废物环境监管能力、利用处置能力和环境风险防范能力的指导意见</w:t>
      </w:r>
    </w:p>
    <w:p w14:paraId="0028B13F"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各省、自治区、直辖市生态环境厅（局），新疆生产建设兵团生态环境局：</w:t>
      </w:r>
    </w:p>
    <w:p w14:paraId="342464A0"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危险废物环境管理是生态文明建设和生态环境保护的重要方面，是打好污染防治攻坚战的重要内容，对于改善环境质量，防范环境风险，维护生态环境安全，保障人体健康具有重要意义。为切实提升危险废物环境监管能力、利用处置能力和环境风险防范能力（以下简称“三个能力”），提出以下意见。</w:t>
      </w:r>
    </w:p>
    <w:p w14:paraId="7335247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一、总体要求</w:t>
      </w:r>
    </w:p>
    <w:p w14:paraId="58C3F4DE"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以习近平新时代中国特色社会主义思想为指导，深入贯彻落实习近平生态文明思想和全国生态环境保护大会精神，以改善环境质量为核心，以有效防范环境风险为目标，以疏堵结合、先行先试、分步实施、联防联控为原则，聚焦重点地区和重点行业，围绕打好污染防治攻坚战，着力提升危险废物“三个能力”，切实维护生态环境安全和人民群众身体健康。</w:t>
      </w:r>
    </w:p>
    <w:p w14:paraId="7095BF30"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到2025年年底，建立健全“源头严防、过程严管、后果严惩”的危险废物环境监管体系；各省（区、市）危险废物利用处置能力与实际需求基本匹配，全国危险废物利用处置能力与实际需要总体平衡，布局趋于合理；危险废物环境风险防范能力显著提升，危险废物非法转移倾倒案件高发态势得到有效遏制。其中，2020年年底前，长三角地区（包括上海市、江苏省、浙江省）及“无废城市”建设试点城市率先实现；2022年年底前，珠三角、京津冀和长江经济带其他地区提前实现。</w:t>
      </w:r>
    </w:p>
    <w:p w14:paraId="3BD48CC6"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二、着力强化危险废物环境监管能力</w:t>
      </w:r>
    </w:p>
    <w:p w14:paraId="642956FA"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lastRenderedPageBreak/>
        <w:t xml:space="preserve">　　（一）完善危险废物监管源清单。各级生态环境部门要结合第二次全国污染源普查、环境统计工作分别健全危险废物产生单位清单和拥有危险废物自行利用处置设施的单位清单，在此基础上，结合危险废物经营单位清单，建立危险废物重点监管单位清单。自2020年起，上述清单纳入全国固体废物管理信息系统统一管理。</w:t>
      </w:r>
    </w:p>
    <w:p w14:paraId="20FAA6DD"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持续推进危险废物规范化环境管理。地方各级生态环境部门要加强危险废物环境执法检查，督促企业落实相关法律制度和标准规范要求。各省（区、市）应当将危险废物规范化环境管理情况纳入对地方环境保护绩效考核的指标体系中，督促地方政府落实监管责任。推进企业环境信用评价，将违法企业纳入生态环境保护领域违法失信名单，实行公开曝光，开展联合惩戒。依法将危险废物产生单位和危险废物经营单位纳入环境污染强制责任保险投保范围。</w:t>
      </w:r>
    </w:p>
    <w:p w14:paraId="4AE0314B" w14:textId="0F3D8E7D"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三）强化危险废物全过程环境监管。地方各级生态环境部门要严格危险废物经营许可证审批，不得违反国家法律法规擅自下放审批权限；应建立危险废物经营许可证审批与环境影响评价文件审批的有效衔接机制。新建项目要严格执行《建设项目危险废物环境影响评价指南》及《危险废物处置工程技术导则》；加大涉危险废物重点行业建设项目环境影响评价文件的技术校核抽查比例，长期投运企业的危险废物产生种类、数量以及利用处置方式与原环境影响评价文件严重不一致的，应尽快按现有危险废物法律法规和指南等文件要求整改；构成违法行为的，依法严格处罚到位。结合实施固定污染源排污许可制度，依法将固体废物纳入排污许可管理。将危险废物日常环境监管纳入生态环境执法“双随机</w:t>
      </w:r>
      <w:r w:rsidR="00EA0400">
        <w:rPr>
          <w:rFonts w:ascii="微软雅黑" w:eastAsia="微软雅黑" w:hAnsi="微软雅黑" w:cs="宋体" w:hint="eastAsia"/>
          <w:color w:val="000000"/>
          <w:kern w:val="0"/>
          <w:sz w:val="24"/>
          <w:szCs w:val="24"/>
        </w:rPr>
        <w:t>、一公开</w:t>
      </w:r>
      <w:r w:rsidRPr="00731C78">
        <w:rPr>
          <w:rFonts w:ascii="微软雅黑" w:eastAsia="微软雅黑" w:hAnsi="微软雅黑" w:cs="宋体" w:hint="eastAsia"/>
          <w:color w:val="000000"/>
          <w:kern w:val="0"/>
          <w:sz w:val="24"/>
          <w:szCs w:val="24"/>
        </w:rPr>
        <w:t>”内容。优化危险废物跨省转移审批手续、明确审批时限、运行电子联单，为危险废物跨区域转移利用提供便利。</w:t>
      </w:r>
    </w:p>
    <w:p w14:paraId="15CFEF4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lastRenderedPageBreak/>
        <w:t xml:space="preserve">　　（四）加强监管机构和人才队伍建设。强化全国危险废物环境管理培训，鼓励依托条件较好的危险废物产生单位和危险废物经营单位建设危险废物培训实习基地，加强生态环境保护督察、环境影响评价、排污许可、环境执法和固体废物管理机构人员的技术培训与交流。加强危险废物专业机构及人才队伍建设，组建危险废物环境管理专家团队，强化重点难点问题的技术支撑。</w:t>
      </w:r>
    </w:p>
    <w:p w14:paraId="651A3E64"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五）提升信息化监管能力和水平。开展危险废物产生单位在线申报登记和管理计划在线备案，全面运行危险废物转移电子联单，2019年年底前实现全国危险废物信息化管理“一张网”。各地应当保障固体废物管理信息系统运维人员和经费，确保联网运行和网络信息安全。通过信息系统依法公开危险废物相关信息，搭建信息交流平台。鼓励有条件的地区在重点单位的重点环节和关键节点推行应用视频监控、电子标签等集成智能监控手段，实现对危险废物全过程跟踪管理。各地应充分利用“互联网+监管”系统，加强事中事后环境监管，归集共享各类相关数据，及时发现和防范苗头性风险。</w:t>
      </w:r>
    </w:p>
    <w:p w14:paraId="3AD881DB"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三、着力强化危险废物利用处置能力</w:t>
      </w:r>
    </w:p>
    <w:p w14:paraId="1EFA8E3F"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（六）统筹危险废物处置能力建设。推动建立“省域内能力总体匹配、省域间协同合作、特殊类别全国统筹”的危险废物处置体系。</w:t>
      </w:r>
    </w:p>
    <w:p w14:paraId="0D2FB8A4"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各省级生态环境部门应于2020年年底前完成危险废物产生、利用处置能力和设施运行情况评估，科学制定并实施危险废物集中处置设施建设规划，推动地方政府将危险废物集中处置设施纳入当地公共基础设施统筹建设，并针对集中焚烧和填埋处置危险废物在税收、资金投入和建设用地等方面给予政策保障。</w:t>
      </w:r>
    </w:p>
    <w:p w14:paraId="7ACB366E"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长三角、珠三角、京津冀和长江经济带其他地区等应当开展危险废物集中处置区域合作，跨省域协同规划、共享危险废物集中处置能力。鼓励开展区域合作</w:t>
      </w:r>
      <w:r w:rsidRPr="00731C78">
        <w:rPr>
          <w:rFonts w:ascii="微软雅黑" w:eastAsia="微软雅黑" w:hAnsi="微软雅黑" w:cs="宋体" w:hint="eastAsia"/>
          <w:color w:val="000000"/>
          <w:kern w:val="0"/>
          <w:sz w:val="24"/>
          <w:szCs w:val="24"/>
        </w:rPr>
        <w:lastRenderedPageBreak/>
        <w:t>的省份之间，探索以“白名单”方式对危险废物跨省转移审批实行简化许可。探索建立危险废物跨区域转移处置的生态环境保护补偿机制。</w:t>
      </w:r>
    </w:p>
    <w:p w14:paraId="60F40568"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对多氯联苯废物等需要特殊处置的危险废物和含汞废物等具有地域分布特征的危险废物，实行全国统筹和相对集中布局，打造专业化利用处置基地。加强废酸、废盐、生活垃圾焚烧飞灰等危险废物利用处置能力建设。</w:t>
      </w:r>
    </w:p>
    <w:p w14:paraId="0C8052E8"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鼓励石油开采、石化、化工、有色等产业基地、大型企业集团根据需要自行配套建设高标准的危险废物利用处置设施。鼓励化工等工业园区配套建设危险废物集中贮存、预处理和处置设施。</w:t>
      </w:r>
    </w:p>
    <w:p w14:paraId="31F945E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七）促进危险废物源头减量与资源化利用。企业应采取清洁生产等措施，从源头减少危险废物的产生量和危害性，优先实行企业内部资源化利用危险废物。鼓励有条件的地区结合本地实际情况制定危险废物资源化利用污染控制标准或技术规范。鼓励省级生态环境部门在环境风险可控前提下，探索开展危险废物“点对点”定向利用的危险废物经营许可豁免管理试点。</w:t>
      </w:r>
    </w:p>
    <w:p w14:paraId="42FA9A09"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八）推进危险废物利用处置能力结构优化。鼓励危险废物龙头企业通过兼并重组等方式做大做强，推行危险废物专业化、规模化利用，建设技术先进的大型危险废物焚烧处置设施，控制可焚烧减量的危险废物直接填埋。制定重点类别危险废物经营许可证审查指南，开展危险废物利用处置设施绩效评估。支持大型企业集团跨区域统筹布局，集团内部共享危险废物利用处置设施。</w:t>
      </w:r>
    </w:p>
    <w:p w14:paraId="22F4282F"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九）健全危险废物收集体系。鼓励省级生态环境部门选择典型区域、典型企业和典型危险废物类别，组织开展危险废物集中收集贮存试点工作。落实生产者责任延伸制，推动有条件的生产企业依托销售网点回收其产品使用过程产生的</w:t>
      </w:r>
      <w:r w:rsidRPr="00731C78">
        <w:rPr>
          <w:rFonts w:ascii="微软雅黑" w:eastAsia="微软雅黑" w:hAnsi="微软雅黑" w:cs="宋体" w:hint="eastAsia"/>
          <w:color w:val="000000"/>
          <w:kern w:val="0"/>
          <w:sz w:val="24"/>
          <w:szCs w:val="24"/>
        </w:rPr>
        <w:lastRenderedPageBreak/>
        <w:t>危险废物，开展铅蓄电池生产企业集中收集和跨区域转运制度试点工作，依托矿物油生产企业开展废矿物油收集网络建设试点。</w:t>
      </w:r>
    </w:p>
    <w:p w14:paraId="0BB64F8B"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推动医疗废物处置设施建设。加强与卫生健康部门配合，制定医疗废物集中处置设施建设规划，2020年年底前设区市的医疗废物处置能力满足本地区实际需求；2022年6月底前各县（市）具有较为完善的医疗废物收集转运处置体系。不具备集中处置条件的医疗卫生机构，应配套自建符合要求的医疗废物处置设施。鼓励发展移动式医疗废物处置设施，为偏远基层提供就地处置服务。各省（区、市）应建立医疗废物协同应急处置机制，保障突发疫情、处置设施检修等期间医疗废物应急处置能力。</w:t>
      </w:r>
    </w:p>
    <w:p w14:paraId="6C16515F"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一）规范水泥窑及工业炉窑协同处置。适度发展水泥窑协同处置危险废物项目，将其作为危险废物利用处置能力的有益补充。能有效发挥协同处置危险废物功能的水泥窑，在重污染天气预警期间，可根据实际处置能力减免相应减排措施。支持工业炉窑协同处置危险废物技术研发，依托有条件的企业开展钢铁冶炼等工业炉窑协同处置危险废物试点。</w:t>
      </w:r>
    </w:p>
    <w:p w14:paraId="2F3CAD76"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四、着力强化危险废物环境风险防范能力</w:t>
      </w:r>
    </w:p>
    <w:p w14:paraId="45D75CC3"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二）完善政策法规标准体系。贯彻落实《中华人民共和国固体废物污染环境防治法》，研究修订《危险废物经营许可证管理办法》《危险废物转移联单管理办法》等法规规章。修订危险废物贮存、焚烧以及水泥窑协同处置等污染控制标准。配合有关部门完善《资源综合利用产品和劳务增值税优惠目录》，推动完善危险废物利用税收优惠政策和处置收费制度。</w:t>
      </w:r>
    </w:p>
    <w:p w14:paraId="720E76F5"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（十三）着力解决危险废物鉴别难问题。推动危险废物分级分类管理，动态修订《国家危险废物名录》及豁免管理清单，研究建立危险废物排除清单。修订</w:t>
      </w:r>
      <w:r w:rsidRPr="00731C78">
        <w:rPr>
          <w:rFonts w:ascii="微软雅黑" w:eastAsia="微软雅黑" w:hAnsi="微软雅黑" w:cs="宋体" w:hint="eastAsia"/>
          <w:color w:val="000000"/>
          <w:kern w:val="0"/>
          <w:sz w:val="24"/>
          <w:szCs w:val="24"/>
        </w:rPr>
        <w:lastRenderedPageBreak/>
        <w:t>《危险废物鉴别标准》《危险废物鉴别技术规范》等标准规范。研究制定危险废物鉴别单位管理办法，强化企业的危险废物鉴别主体责任，鼓励科研院所、规范化检测机构开展危险废物鉴别。</w:t>
      </w:r>
    </w:p>
    <w:p w14:paraId="2FF69834"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四）建立区域和部门联防联控联治机制。推进长三角等区域编制危险废物联防联治实施方案。地方各级生态环境部门依照有关环境保护法律法规加强危险废物环境监督管理，应与发展改革、卫生健康、交通运输、公安、应急等相关行政主管部门建立合作机制，强化信息共享和协作配合；生态环境执法检查中发现涉嫌危险废物环境违法犯罪的问题，应及时移交公安机关；发现涉及安全、消防等方面的问题，应及时将线索移交相关行政主管部门。</w:t>
      </w:r>
    </w:p>
    <w:p w14:paraId="2239DED4"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五）强化化工园区环境风险防控。深入排查化工园区环境风险隐患，督促落实化工园区环境保护主体责任和“一园一策”危险废物利用处置要求。新建园区要科学评估园区内企业危险废物产生种类和数量，保障危险废物利用处置能力。鼓励有条件的化工园区建立危险废物智能化可追溯管控平台，实现园区内危险废物全程管控。</w:t>
      </w:r>
    </w:p>
    <w:p w14:paraId="21263FFD"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六）提升危险废物环境应急响应能力。深入推进跨区域、跨部门协同应急处置突发环境事件及其处理过程中产生的危险废物，完善现场指挥与协调制度以及信息报告和公开机制。加强突发环境事件及其处理过程中产生的危险废物应急处置的管理队伍、专家队伍建设，将危险废物利用处置龙头企业纳入突发环境事件应急处置工作体系。</w:t>
      </w:r>
    </w:p>
    <w:p w14:paraId="53717FA3"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（十七）严厉打击固体废物环境违法行为。截至2020年10月底，聚焦长江经济带，深入开展“清废行动”；会同相关部门，以医疗废物、废酸、废铅蓄</w:t>
      </w:r>
      <w:r w:rsidRPr="00731C78">
        <w:rPr>
          <w:rFonts w:ascii="微软雅黑" w:eastAsia="微软雅黑" w:hAnsi="微软雅黑" w:cs="宋体" w:hint="eastAsia"/>
          <w:color w:val="000000"/>
          <w:kern w:val="0"/>
          <w:sz w:val="24"/>
          <w:szCs w:val="24"/>
        </w:rPr>
        <w:lastRenderedPageBreak/>
        <w:t>电池、废矿物油等危险废物为重点，持续开展打击固体废物环境违法犯罪活动。结合生态环境保护统筹强化监督，分期分批分类开展危险废物经营单位专项检查。</w:t>
      </w:r>
    </w:p>
    <w:p w14:paraId="443A68EE"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八）加强危险废物污染防治科技支撑。建设区域性危险废物和化学品测试分析、环境风险评估与污染控制技术实验室，充分发挥国家环境保护危险废物处置工程技术中心的作用，加强危险废物环境风险评估、污染控制技术等基础研究。鼓励废酸、废盐、生活垃圾焚烧飞灰等难处置危险废物污染防治和利用处置技术研发、应用、示范和推广。开展重点行业危险废物调查，分阶段分步骤制定重点行业、重点类别危险废物污染防治配套政策和标准规范。</w:t>
      </w:r>
    </w:p>
    <w:p w14:paraId="0FD84EB3"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五、保障措施</w:t>
      </w:r>
    </w:p>
    <w:p w14:paraId="784FF38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（十九）加强组织实施。各级生态环境部门要充分认识提升危险废物“三个能力”的重要性，细化工作措施，明确任务分工、时间表、路线图、责任人，确保各项任务落实到位。</w:t>
      </w:r>
    </w:p>
    <w:p w14:paraId="2E3D8AD5"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十）压实地方责任。建立健全危险废物污染环境督察问责长效机制，对危险废物环境违法案件频发、处置能力严重不足并造成严重环境污染或恶劣社会影响的地方，视情开展专项督察，并依纪依法实施督察问责。</w:t>
      </w:r>
    </w:p>
    <w:p w14:paraId="0A03E7AC"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（二十一）加大投入力度。加强危险废物“三个能力”建设的工作经费保障。各地应结合实际，通过统筹各类专项资金、引导社会资金参与等多种形式建立危险废物“三个能力”建设的资金渠道。</w:t>
      </w:r>
    </w:p>
    <w:p w14:paraId="52DB603D"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十二）强化公众参与。鼓励将举报危险废物非法转移、倾倒、处置等列入重点奖励范围，提高公众、社会组织参与积极性。推进危险废物利用处置设施向公众开放。加强对涉危险废物重大环境案件查处情况的宣传，形成强力震慑，营造良好社会氛围。</w:t>
      </w:r>
    </w:p>
    <w:p w14:paraId="4507EB30" w14:textId="77777777" w:rsidR="00731C78" w:rsidRPr="00731C78" w:rsidRDefault="00731C78" w:rsidP="00731C78">
      <w:pPr>
        <w:widowControl/>
        <w:spacing w:line="540" w:lineRule="atLeast"/>
        <w:jc w:val="righ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lastRenderedPageBreak/>
        <w:t>生态环境部</w:t>
      </w:r>
    </w:p>
    <w:p w14:paraId="5BD660E9" w14:textId="77777777" w:rsidR="00731C78" w:rsidRPr="00731C78" w:rsidRDefault="00731C78" w:rsidP="00731C78">
      <w:pPr>
        <w:widowControl/>
        <w:spacing w:line="540" w:lineRule="atLeast"/>
        <w:jc w:val="righ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2019年10月15日</w:t>
      </w:r>
    </w:p>
    <w:p w14:paraId="4A50A7A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（此件社会公开）</w:t>
      </w:r>
    </w:p>
    <w:p w14:paraId="133BB54A"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抄送：中国石油天然气集团有限公司、中国石油化工集团有限公司、中国海洋石油集团有限公司、鞍钢集团有限公司、中国宝武钢铁集团有限公司、中国铝业集团有限公司、中国中化集团有限公司、中国五矿集团有限公司、中国节能环保集团有限公司、中国中钢集团有限公司、中国化工集团有限公司、中国化学工程集团有限公司、中国有色矿业集团有限公司、中国医药集团有限公司、中国黄金集团有限公司。</w:t>
      </w:r>
    </w:p>
    <w:p w14:paraId="74A69DA3"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生态环境部办公厅2019年10月16日印发</w:t>
      </w:r>
    </w:p>
    <w:p w14:paraId="36FA7A8A" w14:textId="77777777" w:rsidR="007A61FD" w:rsidRDefault="007A61FD"/>
    <w:sectPr w:rsidR="007A61FD" w:rsidSect="007A6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8ED9" w14:textId="77777777" w:rsidR="00EC6DBC" w:rsidRDefault="00EC6DBC" w:rsidP="00EA0400">
      <w:r>
        <w:separator/>
      </w:r>
    </w:p>
  </w:endnote>
  <w:endnote w:type="continuationSeparator" w:id="0">
    <w:p w14:paraId="1DF82A84" w14:textId="77777777" w:rsidR="00EC6DBC" w:rsidRDefault="00EC6DBC" w:rsidP="00EA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A720" w14:textId="77777777" w:rsidR="00EC6DBC" w:rsidRDefault="00EC6DBC" w:rsidP="00EA0400">
      <w:r>
        <w:separator/>
      </w:r>
    </w:p>
  </w:footnote>
  <w:footnote w:type="continuationSeparator" w:id="0">
    <w:p w14:paraId="7B76DA13" w14:textId="77777777" w:rsidR="00EC6DBC" w:rsidRDefault="00EC6DBC" w:rsidP="00EA0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C78"/>
    <w:rsid w:val="0054129F"/>
    <w:rsid w:val="00731C78"/>
    <w:rsid w:val="007A61FD"/>
    <w:rsid w:val="00EA0400"/>
    <w:rsid w:val="00EC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CB04"/>
  <w15:docId w15:val="{A56F1A10-14CD-499B-A9C4-08E60E8E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31C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1C78"/>
    <w:rPr>
      <w:rFonts w:ascii="宋体" w:eastAsia="宋体" w:hAnsi="宋体" w:cs="宋体"/>
      <w:b/>
      <w:bCs/>
      <w:kern w:val="36"/>
      <w:sz w:val="48"/>
      <w:szCs w:val="48"/>
    </w:rPr>
  </w:style>
  <w:style w:type="paragraph" w:styleId="a3">
    <w:name w:val="Normal (Web)"/>
    <w:basedOn w:val="a"/>
    <w:uiPriority w:val="99"/>
    <w:semiHidden/>
    <w:unhideWhenUsed/>
    <w:rsid w:val="00731C7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A04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A0400"/>
    <w:rPr>
      <w:sz w:val="18"/>
      <w:szCs w:val="18"/>
    </w:rPr>
  </w:style>
  <w:style w:type="paragraph" w:styleId="a6">
    <w:name w:val="footer"/>
    <w:basedOn w:val="a"/>
    <w:link w:val="a7"/>
    <w:uiPriority w:val="99"/>
    <w:unhideWhenUsed/>
    <w:rsid w:val="00EA0400"/>
    <w:pPr>
      <w:tabs>
        <w:tab w:val="center" w:pos="4153"/>
        <w:tab w:val="right" w:pos="8306"/>
      </w:tabs>
      <w:snapToGrid w:val="0"/>
      <w:jc w:val="left"/>
    </w:pPr>
    <w:rPr>
      <w:sz w:val="18"/>
      <w:szCs w:val="18"/>
    </w:rPr>
  </w:style>
  <w:style w:type="character" w:customStyle="1" w:styleId="a7">
    <w:name w:val="页脚 字符"/>
    <w:basedOn w:val="a0"/>
    <w:link w:val="a6"/>
    <w:uiPriority w:val="99"/>
    <w:rsid w:val="00EA04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2132">
      <w:bodyDiv w:val="1"/>
      <w:marLeft w:val="0"/>
      <w:marRight w:val="0"/>
      <w:marTop w:val="0"/>
      <w:marBottom w:val="0"/>
      <w:divBdr>
        <w:top w:val="none" w:sz="0" w:space="0" w:color="auto"/>
        <w:left w:val="none" w:sz="0" w:space="0" w:color="auto"/>
        <w:bottom w:val="none" w:sz="0" w:space="0" w:color="auto"/>
        <w:right w:val="none" w:sz="0" w:space="0" w:color="auto"/>
      </w:divBdr>
      <w:divsChild>
        <w:div w:id="1625844280">
          <w:marLeft w:val="0"/>
          <w:marRight w:val="0"/>
          <w:marTop w:val="0"/>
          <w:marBottom w:val="0"/>
          <w:divBdr>
            <w:top w:val="none" w:sz="0" w:space="0" w:color="auto"/>
            <w:left w:val="none" w:sz="0" w:space="0" w:color="auto"/>
            <w:bottom w:val="none" w:sz="0" w:space="0" w:color="auto"/>
            <w:right w:val="none" w:sz="0" w:space="0" w:color="auto"/>
          </w:divBdr>
          <w:divsChild>
            <w:div w:id="917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2633</Characters>
  <Application>Microsoft Office Word</Application>
  <DocSecurity>0</DocSecurity>
  <Lines>877</Lines>
  <Paragraphs>238</Paragraphs>
  <ScaleCrop>false</ScaleCrop>
  <Company>Microsoft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WXEPB-FGC-QLL</dc:creator>
  <cp:lastModifiedBy>马立涛</cp:lastModifiedBy>
  <cp:revision>3</cp:revision>
  <dcterms:created xsi:type="dcterms:W3CDTF">2020-01-02T10:55:00Z</dcterms:created>
  <dcterms:modified xsi:type="dcterms:W3CDTF">2023-06-12T09:21:00Z</dcterms:modified>
</cp:coreProperties>
</file>