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DDA" w:rsidRPr="00950DDA" w:rsidRDefault="00950DDA" w:rsidP="00950DDA">
      <w:pPr>
        <w:shd w:val="clear" w:color="auto" w:fill="FFFFFF"/>
        <w:adjustRightInd/>
        <w:snapToGrid/>
        <w:spacing w:after="0"/>
        <w:jc w:val="center"/>
        <w:textAlignment w:val="baseline"/>
        <w:outlineLvl w:val="0"/>
        <w:rPr>
          <w:rFonts w:ascii="华文中宋" w:eastAsia="华文中宋" w:hAnsi="华文中宋" w:cs="宋体"/>
          <w:b/>
          <w:bCs/>
          <w:color w:val="FF0000"/>
          <w:kern w:val="36"/>
          <w:sz w:val="60"/>
          <w:szCs w:val="60"/>
        </w:rPr>
      </w:pPr>
      <w:r w:rsidRPr="00950DDA">
        <w:rPr>
          <w:rFonts w:ascii="华文中宋" w:eastAsia="华文中宋" w:hAnsi="华文中宋" w:cs="宋体" w:hint="eastAsia"/>
          <w:b/>
          <w:bCs/>
          <w:color w:val="FF0000"/>
          <w:kern w:val="36"/>
          <w:sz w:val="60"/>
          <w:szCs w:val="60"/>
          <w:bdr w:val="none" w:sz="0" w:space="0" w:color="auto" w:frame="1"/>
        </w:rPr>
        <w:t>中华人民共和国财政部令</w:t>
      </w:r>
    </w:p>
    <w:p w:rsidR="00950DDA" w:rsidRPr="00950DDA" w:rsidRDefault="00950DDA" w:rsidP="00950DDA">
      <w:pPr>
        <w:shd w:val="clear" w:color="auto" w:fill="FFFFFF"/>
        <w:adjustRightInd/>
        <w:snapToGrid/>
        <w:spacing w:after="0" w:line="750" w:lineRule="atLeast"/>
        <w:jc w:val="center"/>
        <w:textAlignment w:val="baseline"/>
        <w:outlineLvl w:val="1"/>
        <w:rPr>
          <w:rFonts w:ascii="仿宋" w:eastAsia="仿宋" w:hAnsi="仿宋" w:cs="宋体" w:hint="eastAsia"/>
          <w:color w:val="000000"/>
          <w:sz w:val="26"/>
          <w:szCs w:val="26"/>
        </w:rPr>
      </w:pPr>
      <w:r w:rsidRPr="00950DDA">
        <w:rPr>
          <w:rFonts w:ascii="仿宋" w:eastAsia="仿宋" w:hAnsi="仿宋" w:cs="宋体" w:hint="eastAsia"/>
          <w:color w:val="000000"/>
          <w:sz w:val="26"/>
          <w:szCs w:val="26"/>
        </w:rPr>
        <w:t>财政部令第110号</w:t>
      </w:r>
    </w:p>
    <w:p w:rsidR="00950DDA" w:rsidRPr="00950DDA" w:rsidRDefault="00950DDA" w:rsidP="00950DDA">
      <w:pPr>
        <w:shd w:val="clear" w:color="auto" w:fill="FFFFFF"/>
        <w:adjustRightInd/>
        <w:snapToGrid/>
        <w:spacing w:after="100" w:line="420" w:lineRule="atLeast"/>
        <w:jc w:val="center"/>
        <w:textAlignment w:val="baseline"/>
        <w:rPr>
          <w:rFonts w:ascii="华文中宋" w:eastAsia="华文中宋" w:hAnsi="华文中宋" w:cs="宋体" w:hint="eastAsia"/>
          <w:color w:val="000000"/>
          <w:sz w:val="30"/>
          <w:szCs w:val="30"/>
        </w:rPr>
      </w:pPr>
      <w:r w:rsidRPr="00950DDA">
        <w:rPr>
          <w:rFonts w:ascii="华文中宋" w:eastAsia="华文中宋" w:hAnsi="华文中宋" w:cs="宋体" w:hint="eastAsia"/>
          <w:color w:val="000000"/>
          <w:sz w:val="30"/>
          <w:szCs w:val="30"/>
        </w:rPr>
        <w:t>中华人民共和国财政部令第110号《政府采购框架协议采购方式管理暂行办法》</w:t>
      </w:r>
    </w:p>
    <w:p w:rsidR="00950DDA" w:rsidRPr="00950DDA" w:rsidRDefault="00950DDA" w:rsidP="00950DDA">
      <w:pPr>
        <w:shd w:val="clear" w:color="auto" w:fill="FFFFFF"/>
        <w:adjustRightInd/>
        <w:snapToGrid/>
        <w:spacing w:after="0" w:line="450" w:lineRule="atLeast"/>
        <w:textAlignment w:val="baseline"/>
        <w:rPr>
          <w:rFonts w:ascii="仿宋" w:eastAsia="仿宋" w:hAnsi="仿宋" w:cs="宋体" w:hint="eastAsia"/>
          <w:color w:val="000000"/>
          <w:sz w:val="29"/>
          <w:szCs w:val="29"/>
        </w:rPr>
      </w:pPr>
      <w:r w:rsidRPr="00950DDA">
        <w:rPr>
          <w:rFonts w:ascii="宋体" w:eastAsia="宋体" w:hAnsi="宋体" w:cs="宋体" w:hint="eastAsia"/>
          <w:color w:val="000000"/>
          <w:sz w:val="29"/>
          <w:szCs w:val="29"/>
        </w:rPr>
        <w:t> </w:t>
      </w:r>
      <w:r w:rsidRPr="00950DDA">
        <w:rPr>
          <w:rFonts w:ascii="Arial" w:eastAsia="仿宋" w:hAnsi="Arial" w:cs="Arial"/>
          <w:color w:val="333333"/>
          <w:sz w:val="24"/>
          <w:szCs w:val="24"/>
        </w:rPr>
        <w:t xml:space="preserve">       </w:t>
      </w:r>
      <w:r w:rsidRPr="00950DDA">
        <w:rPr>
          <w:rFonts w:ascii="Arial" w:eastAsia="仿宋" w:hAnsi="Arial" w:cs="Arial"/>
          <w:color w:val="333333"/>
          <w:sz w:val="24"/>
          <w:szCs w:val="24"/>
        </w:rPr>
        <w:t>《</w:t>
      </w:r>
      <w:r w:rsidRPr="00950DDA">
        <w:rPr>
          <w:rFonts w:ascii="inherit" w:eastAsia="仿宋" w:hAnsi="inherit" w:cs="宋体"/>
          <w:color w:val="333333"/>
          <w:sz w:val="24"/>
          <w:szCs w:val="24"/>
          <w:bdr w:val="none" w:sz="0" w:space="0" w:color="auto" w:frame="1"/>
        </w:rPr>
        <w:t>政府采购框架协议采购方式管理暂行办法</w:t>
      </w:r>
      <w:r w:rsidRPr="00950DDA">
        <w:rPr>
          <w:rFonts w:ascii="Arial" w:eastAsia="仿宋" w:hAnsi="Arial" w:cs="Arial"/>
          <w:color w:val="333333"/>
          <w:sz w:val="24"/>
          <w:szCs w:val="24"/>
          <w:bdr w:val="none" w:sz="0" w:space="0" w:color="auto" w:frame="1"/>
        </w:rPr>
        <w:t>》已经</w:t>
      </w:r>
      <w:r w:rsidRPr="00950DDA">
        <w:rPr>
          <w:rFonts w:ascii="Arial" w:eastAsia="仿宋" w:hAnsi="Arial" w:cs="Arial"/>
          <w:color w:val="333333"/>
          <w:sz w:val="24"/>
          <w:szCs w:val="24"/>
          <w:bdr w:val="none" w:sz="0" w:space="0" w:color="auto" w:frame="1"/>
        </w:rPr>
        <w:t>2021</w:t>
      </w:r>
      <w:r w:rsidRPr="00950DDA">
        <w:rPr>
          <w:rFonts w:ascii="Arial" w:eastAsia="仿宋" w:hAnsi="Arial" w:cs="Arial"/>
          <w:color w:val="333333"/>
          <w:sz w:val="24"/>
          <w:szCs w:val="24"/>
          <w:bdr w:val="none" w:sz="0" w:space="0" w:color="auto" w:frame="1"/>
        </w:rPr>
        <w:t>年</w:t>
      </w:r>
      <w:r w:rsidRPr="00950DDA">
        <w:rPr>
          <w:rFonts w:ascii="Arial" w:eastAsia="仿宋" w:hAnsi="Arial" w:cs="Arial"/>
          <w:color w:val="333333"/>
          <w:sz w:val="24"/>
          <w:szCs w:val="24"/>
          <w:bdr w:val="none" w:sz="0" w:space="0" w:color="auto" w:frame="1"/>
        </w:rPr>
        <w:t>12</w:t>
      </w:r>
      <w:r w:rsidRPr="00950DDA">
        <w:rPr>
          <w:rFonts w:ascii="Arial" w:eastAsia="仿宋" w:hAnsi="Arial" w:cs="Arial"/>
          <w:color w:val="333333"/>
          <w:sz w:val="24"/>
          <w:szCs w:val="24"/>
          <w:bdr w:val="none" w:sz="0" w:space="0" w:color="auto" w:frame="1"/>
        </w:rPr>
        <w:t>月</w:t>
      </w:r>
      <w:r w:rsidRPr="00950DDA">
        <w:rPr>
          <w:rFonts w:ascii="Arial" w:eastAsia="仿宋" w:hAnsi="Arial" w:cs="Arial"/>
          <w:color w:val="333333"/>
          <w:sz w:val="24"/>
          <w:szCs w:val="24"/>
          <w:bdr w:val="none" w:sz="0" w:space="0" w:color="auto" w:frame="1"/>
        </w:rPr>
        <w:t>31</w:t>
      </w:r>
      <w:r w:rsidRPr="00950DDA">
        <w:rPr>
          <w:rFonts w:ascii="Arial" w:eastAsia="仿宋" w:hAnsi="Arial" w:cs="Arial"/>
          <w:color w:val="333333"/>
          <w:sz w:val="24"/>
          <w:szCs w:val="24"/>
          <w:bdr w:val="none" w:sz="0" w:space="0" w:color="auto" w:frame="1"/>
        </w:rPr>
        <w:t>日部务会议审议通过，现予公布，自</w:t>
      </w:r>
      <w:r w:rsidRPr="00950DDA">
        <w:rPr>
          <w:rFonts w:ascii="Arial" w:eastAsia="仿宋" w:hAnsi="Arial" w:cs="Arial"/>
          <w:color w:val="333333"/>
          <w:sz w:val="24"/>
          <w:szCs w:val="24"/>
          <w:bdr w:val="none" w:sz="0" w:space="0" w:color="auto" w:frame="1"/>
        </w:rPr>
        <w:t>2022</w:t>
      </w:r>
      <w:r w:rsidRPr="00950DDA">
        <w:rPr>
          <w:rFonts w:ascii="Arial" w:eastAsia="仿宋" w:hAnsi="Arial" w:cs="Arial"/>
          <w:color w:val="333333"/>
          <w:sz w:val="24"/>
          <w:szCs w:val="24"/>
          <w:bdr w:val="none" w:sz="0" w:space="0" w:color="auto" w:frame="1"/>
        </w:rPr>
        <w:t>年</w:t>
      </w:r>
      <w:r w:rsidRPr="00950DDA">
        <w:rPr>
          <w:rFonts w:ascii="Arial" w:eastAsia="仿宋" w:hAnsi="Arial" w:cs="Arial"/>
          <w:color w:val="333333"/>
          <w:sz w:val="24"/>
          <w:szCs w:val="24"/>
          <w:bdr w:val="none" w:sz="0" w:space="0" w:color="auto" w:frame="1"/>
        </w:rPr>
        <w:t>3</w:t>
      </w:r>
      <w:r w:rsidRPr="00950DDA">
        <w:rPr>
          <w:rFonts w:ascii="Arial" w:eastAsia="仿宋" w:hAnsi="Arial" w:cs="Arial"/>
          <w:color w:val="333333"/>
          <w:sz w:val="24"/>
          <w:szCs w:val="24"/>
          <w:bdr w:val="none" w:sz="0" w:space="0" w:color="auto" w:frame="1"/>
        </w:rPr>
        <w:t>月</w:t>
      </w:r>
      <w:r w:rsidRPr="00950DDA">
        <w:rPr>
          <w:rFonts w:ascii="Arial" w:eastAsia="仿宋" w:hAnsi="Arial" w:cs="Arial"/>
          <w:color w:val="333333"/>
          <w:sz w:val="24"/>
          <w:szCs w:val="24"/>
          <w:bdr w:val="none" w:sz="0" w:space="0" w:color="auto" w:frame="1"/>
        </w:rPr>
        <w:t>1</w:t>
      </w:r>
      <w:r w:rsidRPr="00950DDA">
        <w:rPr>
          <w:rFonts w:ascii="Arial" w:eastAsia="仿宋" w:hAnsi="Arial" w:cs="Arial"/>
          <w:color w:val="333333"/>
          <w:sz w:val="24"/>
          <w:szCs w:val="24"/>
          <w:bdr w:val="none" w:sz="0" w:space="0" w:color="auto" w:frame="1"/>
        </w:rPr>
        <w:t>日起施行。</w:t>
      </w:r>
    </w:p>
    <w:p w:rsidR="00950DDA" w:rsidRPr="00950DDA" w:rsidRDefault="00950DDA" w:rsidP="00950DDA">
      <w:pPr>
        <w:shd w:val="clear" w:color="auto" w:fill="FFFFFF"/>
        <w:adjustRightInd/>
        <w:snapToGrid/>
        <w:spacing w:after="150" w:line="480" w:lineRule="auto"/>
        <w:jc w:val="right"/>
        <w:textAlignment w:val="baseline"/>
        <w:rPr>
          <w:rFonts w:ascii="Arial" w:hAnsi="Arial" w:cs="Arial" w:hint="eastAsia"/>
          <w:color w:val="333333"/>
          <w:sz w:val="24"/>
          <w:szCs w:val="24"/>
        </w:rPr>
      </w:pPr>
      <w:r w:rsidRPr="00950DDA">
        <w:rPr>
          <w:rFonts w:ascii="宋体" w:eastAsia="宋体" w:hAnsi="宋体" w:cs="Arial" w:hint="eastAsia"/>
          <w:color w:val="333333"/>
          <w:sz w:val="24"/>
          <w:szCs w:val="24"/>
        </w:rPr>
        <w:t xml:space="preserve">　部 长 刘昆</w:t>
      </w:r>
    </w:p>
    <w:p w:rsidR="00950DDA" w:rsidRPr="00950DDA" w:rsidRDefault="00950DDA" w:rsidP="00950DDA">
      <w:pPr>
        <w:shd w:val="clear" w:color="auto" w:fill="FFFFFF"/>
        <w:adjustRightInd/>
        <w:snapToGrid/>
        <w:spacing w:after="150" w:line="480" w:lineRule="auto"/>
        <w:jc w:val="right"/>
        <w:textAlignment w:val="baseline"/>
        <w:rPr>
          <w:rFonts w:ascii="Arial" w:hAnsi="Arial" w:cs="Arial"/>
          <w:color w:val="333333"/>
          <w:sz w:val="24"/>
          <w:szCs w:val="24"/>
        </w:rPr>
      </w:pPr>
      <w:r w:rsidRPr="00950DDA">
        <w:rPr>
          <w:rFonts w:ascii="宋体" w:eastAsia="宋体" w:hAnsi="宋体" w:cs="Arial" w:hint="eastAsia"/>
          <w:color w:val="333333"/>
          <w:sz w:val="24"/>
          <w:szCs w:val="24"/>
        </w:rPr>
        <w:t xml:space="preserve">　　2022年1月14日</w:t>
      </w:r>
    </w:p>
    <w:p w:rsidR="00950DDA" w:rsidRPr="00950DDA" w:rsidRDefault="00950DDA" w:rsidP="00950DDA">
      <w:pPr>
        <w:shd w:val="clear" w:color="auto" w:fill="FFFFFF"/>
        <w:adjustRightInd/>
        <w:snapToGrid/>
        <w:spacing w:after="0" w:line="560" w:lineRule="atLeast"/>
        <w:jc w:val="center"/>
        <w:textAlignment w:val="baseline"/>
        <w:rPr>
          <w:rFonts w:ascii="inherit" w:hAnsi="inherit" w:cs="宋体"/>
          <w:color w:val="333333"/>
          <w:sz w:val="28"/>
          <w:szCs w:val="28"/>
        </w:rPr>
      </w:pPr>
      <w:r w:rsidRPr="00950DDA">
        <w:rPr>
          <w:rFonts w:ascii="inherit" w:hAnsi="inherit" w:cs="宋体"/>
          <w:color w:val="333333"/>
          <w:sz w:val="28"/>
          <w:szCs w:val="28"/>
        </w:rPr>
        <w:t xml:space="preserve">　　</w:t>
      </w:r>
      <w:r w:rsidRPr="00950DDA">
        <w:rPr>
          <w:rFonts w:ascii="inherit" w:hAnsi="inherit" w:cs="宋体"/>
          <w:color w:val="333333"/>
          <w:sz w:val="24"/>
          <w:szCs w:val="24"/>
          <w:bdr w:val="none" w:sz="0" w:space="0" w:color="auto" w:frame="1"/>
        </w:rPr>
        <w:t>第一章</w:t>
      </w:r>
      <w:r w:rsidRPr="00950DDA">
        <w:rPr>
          <w:rFonts w:ascii="inherit" w:hAnsi="inherit" w:cs="宋体"/>
          <w:color w:val="333333"/>
          <w:sz w:val="24"/>
          <w:szCs w:val="24"/>
          <w:bdr w:val="none" w:sz="0" w:space="0" w:color="auto" w:frame="1"/>
        </w:rPr>
        <w:t xml:space="preserve"> </w:t>
      </w:r>
      <w:r w:rsidRPr="00950DDA">
        <w:rPr>
          <w:rFonts w:ascii="inherit" w:hAnsi="inherit" w:cs="宋体"/>
          <w:color w:val="333333"/>
          <w:sz w:val="24"/>
          <w:szCs w:val="24"/>
          <w:bdr w:val="none" w:sz="0" w:space="0" w:color="auto" w:frame="1"/>
        </w:rPr>
        <w:t>总则</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第一条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为了规范多频次、小额度采购活动，提高政府采购项目绩效，根据《中华人民共和国政府采购法》、《中华人民共和国政府采购法实施条例》等法律法规规定，制定本办法。</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第二条</w:t>
      </w:r>
      <w:r w:rsidRPr="00950DDA">
        <w:rPr>
          <w:rFonts w:ascii="inherit" w:hAnsi="inherit" w:cs="宋体"/>
          <w:color w:val="333333"/>
          <w:sz w:val="24"/>
          <w:szCs w:val="24"/>
          <w:bdr w:val="none" w:sz="0" w:space="0" w:color="auto" w:frame="1"/>
        </w:rPr>
        <w:t> </w:t>
      </w:r>
      <w:r w:rsidRPr="00950DDA">
        <w:rPr>
          <w:rFonts w:ascii="inherit" w:hAnsi="inherit" w:cs="宋体"/>
          <w:color w:val="333333"/>
          <w:sz w:val="24"/>
          <w:szCs w:val="24"/>
          <w:bdr w:val="none" w:sz="0" w:space="0" w:color="auto" w:frame="1"/>
        </w:rPr>
        <w:t>本办法所称框架协议采购，是指集中采购机构或者主管预算单位对技术、服务等标准明确、统一，需要多次重复采购的货物和服务，通过公开征集程序，确定第一阶段入围供应商并订立框架协议，采购人或者服务对象按照框架协议约定规则，在入围供应商范围内确定第二阶段成交供应商并订立采购合同的采购方式。</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前款所称主管预算单位是指负有编制部门预算职责，向本级财政部门申报预算的国家机关、事业单位和团体组织。</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第三条</w:t>
      </w:r>
      <w:r w:rsidRPr="00950DDA">
        <w:rPr>
          <w:rFonts w:ascii="inherit" w:hAnsi="inherit" w:cs="宋体"/>
          <w:color w:val="333333"/>
          <w:sz w:val="24"/>
          <w:szCs w:val="24"/>
          <w:bdr w:val="none" w:sz="0" w:space="0" w:color="auto" w:frame="1"/>
        </w:rPr>
        <w:t> </w:t>
      </w:r>
      <w:r w:rsidRPr="00950DDA">
        <w:rPr>
          <w:rFonts w:ascii="inherit" w:hAnsi="inherit" w:cs="宋体"/>
          <w:color w:val="333333"/>
          <w:sz w:val="24"/>
          <w:szCs w:val="24"/>
          <w:bdr w:val="none" w:sz="0" w:space="0" w:color="auto" w:frame="1"/>
        </w:rPr>
        <w:t>符合下列情形之一的，可以采用框架协议采购方式采购：</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（一）集中采购目录以内品目，以及与之配套的必要耗材、配件等，属于小额零星采购的；</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lastRenderedPageBreak/>
        <w:t xml:space="preserve">　　</w:t>
      </w:r>
      <w:r w:rsidRPr="00950DDA">
        <w:rPr>
          <w:rFonts w:ascii="inherit" w:hAnsi="inherit" w:cs="宋体"/>
          <w:color w:val="333333"/>
          <w:sz w:val="24"/>
          <w:szCs w:val="24"/>
          <w:bdr w:val="none" w:sz="0" w:space="0" w:color="auto" w:frame="1"/>
        </w:rPr>
        <w:t>（二）集中采购目录以外，采购限额标准以上，本部门、本系统行政管理所需的法律、评估、会计、审计等鉴证咨询服务，属于小额零星采购的；</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（三）集中采购目录以外，采购限额标准以上，为本部门、本系统以外的服务对象提供服务的政府购买服务项目，需要确定</w:t>
      </w:r>
      <w:r w:rsidRPr="00950DDA">
        <w:rPr>
          <w:rFonts w:ascii="inherit" w:hAnsi="inherit" w:cs="宋体"/>
          <w:color w:val="333333"/>
          <w:sz w:val="24"/>
          <w:szCs w:val="24"/>
          <w:bdr w:val="none" w:sz="0" w:space="0" w:color="auto" w:frame="1"/>
        </w:rPr>
        <w:t>2</w:t>
      </w:r>
      <w:r w:rsidRPr="00950DDA">
        <w:rPr>
          <w:rFonts w:ascii="inherit" w:hAnsi="inherit" w:cs="宋体"/>
          <w:color w:val="333333"/>
          <w:sz w:val="24"/>
          <w:szCs w:val="24"/>
          <w:bdr w:val="none" w:sz="0" w:space="0" w:color="auto" w:frame="1"/>
        </w:rPr>
        <w:t>家以上供应商由服务对象自主选择的；</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（四）国务院财政部门规定的其他情形。</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前款所称采购限额标准以上，是指同一品目或者同一类别的货物、服务年度采购预算达到采购限额标准以上。</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属于本条第一款第二项情形，主管预算单位能够归集需求形成单一项目进行采购，通过签订时间、地点、数量不确定的采购合同满足需求的，不得采用框架协议采购方式。</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第四条</w:t>
      </w:r>
      <w:r w:rsidRPr="00950DDA">
        <w:rPr>
          <w:rFonts w:ascii="inherit" w:hAnsi="inherit" w:cs="宋体"/>
          <w:color w:val="333333"/>
          <w:sz w:val="24"/>
          <w:szCs w:val="24"/>
          <w:bdr w:val="none" w:sz="0" w:space="0" w:color="auto" w:frame="1"/>
        </w:rPr>
        <w:t> </w:t>
      </w:r>
      <w:r w:rsidRPr="00950DDA">
        <w:rPr>
          <w:rFonts w:ascii="inherit" w:hAnsi="inherit" w:cs="宋体"/>
          <w:color w:val="333333"/>
          <w:sz w:val="24"/>
          <w:szCs w:val="24"/>
          <w:bdr w:val="none" w:sz="0" w:space="0" w:color="auto" w:frame="1"/>
        </w:rPr>
        <w:t>框架协议采购包括封闭式框架协议采购和开放式框架协议采购。</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封闭式框架协议采购是框架协议采购的主要形式。除法律、行政法规或者本办法另有规定外，框架协议采购应当采用封闭式框架协议采购。</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第五条</w:t>
      </w:r>
      <w:r w:rsidRPr="00950DDA">
        <w:rPr>
          <w:rFonts w:ascii="inherit" w:hAnsi="inherit" w:cs="宋体"/>
          <w:color w:val="333333"/>
          <w:sz w:val="24"/>
          <w:szCs w:val="24"/>
          <w:bdr w:val="none" w:sz="0" w:space="0" w:color="auto" w:frame="1"/>
        </w:rPr>
        <w:t> </w:t>
      </w:r>
      <w:r w:rsidRPr="00950DDA">
        <w:rPr>
          <w:rFonts w:ascii="inherit" w:hAnsi="inherit" w:cs="宋体"/>
          <w:color w:val="333333"/>
          <w:sz w:val="24"/>
          <w:szCs w:val="24"/>
          <w:bdr w:val="none" w:sz="0" w:space="0" w:color="auto" w:frame="1"/>
        </w:rPr>
        <w:t>集中采购目录以内品目以及与之配套的必要耗材、配件等，采用框架协议采购的，由集中采购机构负责征集程序和订立框架协议。</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集中采购目录以外品目采用框架协议采购的，由主管预算单位负责征集程序和订立框架协议。其他预算单位确有需要的，经其主管预算单位批准，可以采用框架协议采购方式采购。其他预算单位采用框架协议采购方式采购的，应当遵守本办法关于主管预算单位的规定。</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主管预算单位可以委托采购代理机构代理框架协议采购，采购代理机构应当在委托的范围内依法开展采购活动。</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集中采购机构、主管预算单位及其委托的采购代理机构，本办法统称征集人。</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lastRenderedPageBreak/>
        <w:t xml:space="preserve">　　</w:t>
      </w:r>
      <w:r w:rsidRPr="00950DDA">
        <w:rPr>
          <w:rFonts w:ascii="inherit" w:hAnsi="inherit" w:cs="宋体"/>
          <w:color w:val="333333"/>
          <w:sz w:val="24"/>
          <w:szCs w:val="24"/>
          <w:bdr w:val="none" w:sz="0" w:space="0" w:color="auto" w:frame="1"/>
        </w:rPr>
        <w:t>第六条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框架协议采购遵循竞争择优、讲求绩效的原则，应当有明确的采购标的和定价机制，不得采用供应商符合资格条件即入围的方法。</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第七条</w:t>
      </w:r>
      <w:r w:rsidRPr="00950DDA">
        <w:rPr>
          <w:rFonts w:ascii="inherit" w:hAnsi="inherit" w:cs="宋体"/>
          <w:color w:val="333333"/>
          <w:sz w:val="24"/>
          <w:szCs w:val="24"/>
          <w:bdr w:val="none" w:sz="0" w:space="0" w:color="auto" w:frame="1"/>
        </w:rPr>
        <w:t> </w:t>
      </w:r>
      <w:r w:rsidRPr="00950DDA">
        <w:rPr>
          <w:rFonts w:ascii="inherit" w:hAnsi="inherit" w:cs="宋体"/>
          <w:color w:val="333333"/>
          <w:sz w:val="24"/>
          <w:szCs w:val="24"/>
          <w:bdr w:val="none" w:sz="0" w:space="0" w:color="auto" w:frame="1"/>
        </w:rPr>
        <w:t>框架协议采购应当实行电子化采购。</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第八条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集中采购机构采用框架协议采购的，应当拟定采购方案，报本级财政部门审核后实施。主管预算单位采用框架协议采购的，应当在采购活动开始前将采购方案报本级财政部门备案。</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jc w:val="center"/>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第二章</w:t>
      </w:r>
      <w:r w:rsidRPr="00950DDA">
        <w:rPr>
          <w:rFonts w:ascii="inherit" w:hAnsi="inherit" w:cs="宋体"/>
          <w:color w:val="333333"/>
          <w:sz w:val="24"/>
          <w:szCs w:val="24"/>
          <w:bdr w:val="none" w:sz="0" w:space="0" w:color="auto" w:frame="1"/>
        </w:rPr>
        <w:t xml:space="preserve"> </w:t>
      </w:r>
      <w:r w:rsidRPr="00950DDA">
        <w:rPr>
          <w:rFonts w:ascii="inherit" w:hAnsi="inherit" w:cs="宋体"/>
          <w:color w:val="333333"/>
          <w:sz w:val="24"/>
          <w:szCs w:val="24"/>
          <w:bdr w:val="none" w:sz="0" w:space="0" w:color="auto" w:frame="1"/>
        </w:rPr>
        <w:t>一般规定</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第九条</w:t>
      </w:r>
      <w:r w:rsidRPr="00950DDA">
        <w:rPr>
          <w:rFonts w:ascii="inherit" w:hAnsi="inherit" w:cs="宋体"/>
          <w:color w:val="333333"/>
          <w:sz w:val="24"/>
          <w:szCs w:val="24"/>
          <w:bdr w:val="none" w:sz="0" w:space="0" w:color="auto" w:frame="1"/>
        </w:rPr>
        <w:t> </w:t>
      </w:r>
      <w:r w:rsidRPr="00950DDA">
        <w:rPr>
          <w:rFonts w:ascii="inherit" w:hAnsi="inherit" w:cs="宋体"/>
          <w:color w:val="333333"/>
          <w:sz w:val="24"/>
          <w:szCs w:val="24"/>
          <w:bdr w:val="none" w:sz="0" w:space="0" w:color="auto" w:frame="1"/>
        </w:rPr>
        <w:t>封闭式框架协议采购是指符合本办法第三条规定情形，通过公开竞争订立框架协议后，除经过框架协议约定的补充征集程序外，不得增加协议供应商的框架协议采购。</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封闭式框架协议的公开征集程序，按照政府采购公开招标的规定执行，本办法另有规定的，从其规定。</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第十条</w:t>
      </w:r>
      <w:r w:rsidRPr="00950DDA">
        <w:rPr>
          <w:rFonts w:ascii="inherit" w:hAnsi="inherit" w:cs="宋体"/>
          <w:color w:val="333333"/>
          <w:sz w:val="24"/>
          <w:szCs w:val="24"/>
          <w:bdr w:val="none" w:sz="0" w:space="0" w:color="auto" w:frame="1"/>
        </w:rPr>
        <w:t> </w:t>
      </w:r>
      <w:r w:rsidRPr="00950DDA">
        <w:rPr>
          <w:rFonts w:ascii="inherit" w:hAnsi="inherit" w:cs="宋体"/>
          <w:color w:val="333333"/>
          <w:sz w:val="24"/>
          <w:szCs w:val="24"/>
          <w:bdr w:val="none" w:sz="0" w:space="0" w:color="auto" w:frame="1"/>
        </w:rPr>
        <w:t>开放式框架协议采购是指符合本条第二款规定情形，明确采购需求和付费标准等框架协议条件，愿意接受协议条件的供应商可以随时申请加入的框架协议采购。开放式框架协议的公开征集程序，按照本办法规定执行。</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符合下列情形之一的，可以采用开放式框架协议采购：</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（一）本办法第三条第一款第一项规定的情形，因执行政府采购政策不宜淘汰供应商的，或者受基础设施、行政许可、知识产权等限制，供应商数量在</w:t>
      </w:r>
      <w:r w:rsidRPr="00950DDA">
        <w:rPr>
          <w:rFonts w:ascii="宋体" w:eastAsia="宋体" w:hAnsi="宋体" w:cs="宋体"/>
          <w:color w:val="333333"/>
          <w:sz w:val="24"/>
          <w:szCs w:val="24"/>
          <w:bdr w:val="none" w:sz="0" w:space="0" w:color="auto" w:frame="1"/>
        </w:rPr>
        <w:t>3</w:t>
      </w:r>
      <w:r w:rsidRPr="00950DDA">
        <w:rPr>
          <w:rFonts w:ascii="inherit" w:hAnsi="inherit" w:cs="宋体"/>
          <w:color w:val="333333"/>
          <w:sz w:val="24"/>
          <w:szCs w:val="24"/>
          <w:bdr w:val="none" w:sz="0" w:space="0" w:color="auto" w:frame="1"/>
        </w:rPr>
        <w:t>家以下且不宜淘汰供应商的；</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（二）本办法第三条第一款第三项规定的情形，能够确定统一付费标准，因地域等服务便利性要求，需要接纳所有愿意接受协议条件的供应商加入框架协议，以供服务对象自主选择的。</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第十一条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集中采购机构或者主管预算单位应当确定框架协议采购需求。框架协议采购需求在框架协议有效期内不得变动。</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lastRenderedPageBreak/>
        <w:t xml:space="preserve">　　</w:t>
      </w:r>
      <w:r w:rsidRPr="00950DDA">
        <w:rPr>
          <w:rFonts w:ascii="inherit" w:hAnsi="inherit" w:cs="宋体"/>
          <w:color w:val="333333"/>
          <w:sz w:val="24"/>
          <w:szCs w:val="24"/>
          <w:bdr w:val="none" w:sz="0" w:space="0" w:color="auto" w:frame="1"/>
        </w:rPr>
        <w:t>确定框架协议采购需求应当开展需求调查，听取采购人、供应商和专家等意见。面向采购人和供应商开展需求调查时，应当选择具有代表性的调查对象，调查对象一般各不少于</w:t>
      </w:r>
      <w:r w:rsidRPr="00950DDA">
        <w:rPr>
          <w:rFonts w:ascii="inherit" w:hAnsi="inherit" w:cs="宋体"/>
          <w:color w:val="333333"/>
          <w:sz w:val="24"/>
          <w:szCs w:val="24"/>
          <w:bdr w:val="none" w:sz="0" w:space="0" w:color="auto" w:frame="1"/>
        </w:rPr>
        <w:t>3</w:t>
      </w:r>
      <w:r w:rsidRPr="00950DDA">
        <w:rPr>
          <w:rFonts w:ascii="inherit" w:hAnsi="inherit" w:cs="宋体"/>
          <w:color w:val="333333"/>
          <w:sz w:val="24"/>
          <w:szCs w:val="24"/>
          <w:bdr w:val="none" w:sz="0" w:space="0" w:color="auto" w:frame="1"/>
        </w:rPr>
        <w:t>个。</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第十二条</w:t>
      </w:r>
      <w:r w:rsidRPr="00950DDA">
        <w:rPr>
          <w:rFonts w:ascii="inherit" w:hAnsi="inherit" w:cs="宋体"/>
          <w:color w:val="333333"/>
          <w:sz w:val="24"/>
          <w:szCs w:val="24"/>
          <w:bdr w:val="none" w:sz="0" w:space="0" w:color="auto" w:frame="1"/>
        </w:rPr>
        <w:t> </w:t>
      </w:r>
      <w:r w:rsidRPr="00950DDA">
        <w:rPr>
          <w:rFonts w:ascii="inherit" w:hAnsi="inherit" w:cs="宋体"/>
          <w:color w:val="333333"/>
          <w:sz w:val="24"/>
          <w:szCs w:val="24"/>
          <w:bdr w:val="none" w:sz="0" w:space="0" w:color="auto" w:frame="1"/>
        </w:rPr>
        <w:t>框架协议采购需求应当符合以下规定：</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（一）满足采购人和服务对象实际需要，符合市场供应状况和市场公允标准，在确保功能、性能和必要采购要求的情况下促进竞争；</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（二）符合预算标准、资产配置标准等有关规定，厉行节约，不得超标准采购；</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（三）按照《政府采购品目分类目录》，将采购标的细化到底级品目，并细分不同等次、规格或者标准的采购需求，合理设置采购包；</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（四）货物项目应当明确货物的技术和商务要求，包括功能、性能、材料、结构、外观、安全、包装、交货期限、交货的地域范围、售后服务等；</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（五）服务项目应当明确服务内容、服务标准、技术保障、服务人员组成、服务交付或者实施的地域范围，以及所涉及的货物的质量标准、服务工作量的计量方式等。</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第十三条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集中采购机构或者主管预算单位应当在征集公告和征集文件中确定框架协议采购的最高限制单价。征集文件中可以明确量价关系折扣，即达到一定采购数量，价格应当按照征集文件中明确的折扣降低。在开放式框架协议中，付费标准即为最高限制单价。</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最高限制单价是供应商第一阶段响应报价的最高限价。入围供应商第一阶段响应报价（有量价关系折扣的，包括量价关系折扣，以下统称协议价格）是采购人或者服务对象确定第二阶段成交供应商的最高限价。</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lastRenderedPageBreak/>
        <w:t xml:space="preserve">　　</w:t>
      </w:r>
      <w:r w:rsidRPr="00950DDA">
        <w:rPr>
          <w:rFonts w:ascii="inherit" w:hAnsi="inherit" w:cs="宋体"/>
          <w:color w:val="333333"/>
          <w:sz w:val="24"/>
          <w:szCs w:val="24"/>
          <w:bdr w:val="none" w:sz="0" w:space="0" w:color="auto" w:frame="1"/>
        </w:rPr>
        <w:t>确定最高限制单价时，有政府定价的，执行政府定价；没有政府定价的，应当通过需求调查，并根据需求标准科学确定，属于本办法第十条第二款第一项规定情形的采购项目，需要订立开放式框架协议的，与供应商协商确定。</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货物项目单价按照台（套）等计量单位确定，其中包含售后服务等相关服务费用。服务项目单价按照单位采购标的价格或者人工单价等确定。服务项目所涉及的货物的费用，能够折算入服务项目单价的应当折入，需要按实结算的应当明确结算规则。</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第十四条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框架协议应当包括以下内容：</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（一）集中采购机构或者主管预算单位以及入围供应商的名称、地址和联系方式；</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（二）采购项目名称、编号；</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（三）采购需求以及最高限制单价；</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（四）封闭式框架协议第一阶段的入围产品详细技术规格或者服务内容、服务标准，协议价格；</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（五）入围产品升级换代规则；</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（六）确定第二阶段成交供应商的方式；</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（七）适用框架协议的采购人或者服务对象范围，以及履行合同的地域范围；</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（八）资金支付方式、时间和条件；</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（九）采购合同文本，包括根据需要约定适用的简式合同或者具有合同性质的凭单、订单；</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（十）框架协议期限；</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（十一）入围供应商清退和补充规则；</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（十二）协议方的权利和义务</w:t>
      </w:r>
      <w:r w:rsidRPr="00950DDA">
        <w:rPr>
          <w:rFonts w:ascii="宋体" w:eastAsia="宋体" w:hAnsi="宋体" w:cs="宋体"/>
          <w:color w:val="333333"/>
          <w:sz w:val="24"/>
          <w:szCs w:val="24"/>
          <w:bdr w:val="none" w:sz="0" w:space="0" w:color="auto" w:frame="1"/>
        </w:rPr>
        <w:t>;</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lastRenderedPageBreak/>
        <w:t xml:space="preserve">　　</w:t>
      </w:r>
      <w:r w:rsidRPr="00950DDA">
        <w:rPr>
          <w:rFonts w:ascii="inherit" w:hAnsi="inherit" w:cs="宋体"/>
          <w:color w:val="333333"/>
          <w:sz w:val="24"/>
          <w:szCs w:val="24"/>
          <w:bdr w:val="none" w:sz="0" w:space="0" w:color="auto" w:frame="1"/>
        </w:rPr>
        <w:t>（十三）需要约定的其他事项。</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第十五条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集中采购机构或者主管预算单位应当根据工作需要和采购标的市场供应及价格变化情况，科学合理确定框架协议期限。货物项目框架协议有效期一般不超过</w:t>
      </w:r>
      <w:r w:rsidRPr="00950DDA">
        <w:rPr>
          <w:rFonts w:ascii="宋体" w:eastAsia="宋体" w:hAnsi="宋体" w:cs="宋体"/>
          <w:color w:val="333333"/>
          <w:sz w:val="24"/>
          <w:szCs w:val="24"/>
          <w:bdr w:val="none" w:sz="0" w:space="0" w:color="auto" w:frame="1"/>
        </w:rPr>
        <w:t>1</w:t>
      </w:r>
      <w:r w:rsidRPr="00950DDA">
        <w:rPr>
          <w:rFonts w:ascii="inherit" w:hAnsi="inherit" w:cs="宋体"/>
          <w:color w:val="333333"/>
          <w:sz w:val="24"/>
          <w:szCs w:val="24"/>
          <w:bdr w:val="none" w:sz="0" w:space="0" w:color="auto" w:frame="1"/>
        </w:rPr>
        <w:t>年，服务项目框架协议有效期一般不超过</w:t>
      </w:r>
      <w:r w:rsidRPr="00950DDA">
        <w:rPr>
          <w:rFonts w:ascii="宋体" w:eastAsia="宋体" w:hAnsi="宋体" w:cs="宋体"/>
          <w:color w:val="333333"/>
          <w:sz w:val="24"/>
          <w:szCs w:val="24"/>
          <w:bdr w:val="none" w:sz="0" w:space="0" w:color="auto" w:frame="1"/>
        </w:rPr>
        <w:t>2</w:t>
      </w:r>
      <w:r w:rsidRPr="00950DDA">
        <w:rPr>
          <w:rFonts w:ascii="inherit" w:hAnsi="inherit" w:cs="宋体"/>
          <w:color w:val="333333"/>
          <w:sz w:val="24"/>
          <w:szCs w:val="24"/>
          <w:bdr w:val="none" w:sz="0" w:space="0" w:color="auto" w:frame="1"/>
        </w:rPr>
        <w:t>年。</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第十六条</w:t>
      </w:r>
      <w:r w:rsidRPr="00950DDA">
        <w:rPr>
          <w:rFonts w:ascii="inherit" w:hAnsi="inherit" w:cs="宋体"/>
          <w:color w:val="333333"/>
          <w:sz w:val="24"/>
          <w:szCs w:val="24"/>
          <w:bdr w:val="none" w:sz="0" w:space="0" w:color="auto" w:frame="1"/>
        </w:rPr>
        <w:t> </w:t>
      </w:r>
      <w:r w:rsidRPr="00950DDA">
        <w:rPr>
          <w:rFonts w:ascii="inherit" w:hAnsi="inherit" w:cs="宋体"/>
          <w:color w:val="333333"/>
          <w:sz w:val="24"/>
          <w:szCs w:val="24"/>
          <w:bdr w:val="none" w:sz="0" w:space="0" w:color="auto" w:frame="1"/>
        </w:rPr>
        <w:t>集中采购机构或者主管预算单位应当根据框架协议约定，组织落实框架协议的履行，并履行下列职责：</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（一）为第二阶段合同授予提供工作便利；</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（二）对第二阶段最高限价和需求标准执行情况进行管理；</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（三）对第二阶段确定成交供应商情况进行管理；</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（四）根据框架协议约定，在质量不降低、价格不提高的前提下，对入围供应商因产品升级换代、用新产品替代原入围产品的情形进行审核；</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（五）建立用户反馈和评价机制，接受采购人和服务对象对入围供应商履行框架协议和采购合同情况的反馈与评价，并将用户反馈和评价情况向采购人和服务对象公开，作为第二阶段直接选定成交供应商的参考；</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（六）公开封闭式框架协议的第二阶段成交结果；</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（七）办理入围供应商清退和补充相关事宜。</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第十七条</w:t>
      </w:r>
      <w:r w:rsidRPr="00950DDA">
        <w:rPr>
          <w:rFonts w:ascii="inherit" w:hAnsi="inherit" w:cs="宋体"/>
          <w:color w:val="333333"/>
          <w:sz w:val="24"/>
          <w:szCs w:val="24"/>
          <w:bdr w:val="none" w:sz="0" w:space="0" w:color="auto" w:frame="1"/>
        </w:rPr>
        <w:t> </w:t>
      </w:r>
      <w:r w:rsidRPr="00950DDA">
        <w:rPr>
          <w:rFonts w:ascii="inherit" w:hAnsi="inherit" w:cs="宋体"/>
          <w:color w:val="333333"/>
          <w:sz w:val="24"/>
          <w:szCs w:val="24"/>
          <w:bdr w:val="none" w:sz="0" w:space="0" w:color="auto" w:frame="1"/>
        </w:rPr>
        <w:t>采购人或者服务对象采购框架协议约定的货物、服务，应当将第二阶段的采购合同授予入围供应商，但是本办法第三十七条另有规定的除外。</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同一框架协议采购应当使用统一的采购合同文本，采购人、服务对象和供应商不得擅自改变框架协议约定的合同实质性条款。</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第十八条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货物项目框架协议的入围供应商应当为入围产品生产厂家或者生产厂家唯一授权供应商。入围供应商可以委托一家或者多家代理商，按照框架协议约定接受采购人合同授予，并履行采购合同。入围供应商应当在框架协议中提供委托协议和委托的代理商名单。</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lastRenderedPageBreak/>
        <w:t xml:space="preserve">　　</w:t>
      </w:r>
      <w:r w:rsidRPr="00950DDA">
        <w:rPr>
          <w:rFonts w:ascii="inherit" w:hAnsi="inherit" w:cs="宋体"/>
          <w:color w:val="333333"/>
          <w:sz w:val="24"/>
          <w:szCs w:val="24"/>
          <w:bdr w:val="none" w:sz="0" w:space="0" w:color="auto" w:frame="1"/>
        </w:rPr>
        <w:t>第十九条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入围供应商有下列情形之一，尚未签订框架协议的，取消其入围资格；已经签订框架协议的，解除与其签订的框架协议：</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（一）恶意串通谋取入围或者合同成交的；</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（二）提供虚假材料谋取入围或者合同成交的；</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（三）无正当理由拒不接受合同授予的；</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（四）不履行合同义务或者履行合同义务不符合约定，经采购人请求履行后仍不履行或者仍未按约定履行的；</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（五）框架协议有效期内，因违法行为被禁止或限制参加政府采购活动的；</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（六）框架协议约定的其他情形。</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被取消入围资格或者被解除框架协议的供应商不得参加同一封闭式框架协议补充征集，或者重新申请加入同一开放式框架协议。</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第二十条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封闭式框架协议入围供应商无正当理由，不得主动放弃入围资格或者退出框架协议。</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开放式框架协议入围供应商可以随时申请退出框架协议。集中采购机构或者主管预算单位应当在收到退出申请</w:t>
      </w:r>
      <w:r w:rsidRPr="00950DDA">
        <w:rPr>
          <w:rFonts w:ascii="宋体" w:eastAsia="宋体" w:hAnsi="宋体" w:cs="宋体"/>
          <w:color w:val="333333"/>
          <w:sz w:val="24"/>
          <w:szCs w:val="24"/>
          <w:bdr w:val="none" w:sz="0" w:space="0" w:color="auto" w:frame="1"/>
        </w:rPr>
        <w:t>2</w:t>
      </w:r>
      <w:r w:rsidRPr="00950DDA">
        <w:rPr>
          <w:rFonts w:ascii="inherit" w:hAnsi="inherit" w:cs="宋体"/>
          <w:color w:val="333333"/>
          <w:sz w:val="24"/>
          <w:szCs w:val="24"/>
          <w:bdr w:val="none" w:sz="0" w:space="0" w:color="auto" w:frame="1"/>
        </w:rPr>
        <w:t>个工作日内，发布入围供应商退出公告。</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第二十一条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征集人应当建立真实完整的框架协议采购档案，妥善保存每项采购活动的采购文件资料。除征集人和采购人另有约定外，合同授予的采购文件资料由采购人负责保存。</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采购档案可以采用电子形式保存，电子档案和纸质档案具有同等效力。</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jc w:val="center"/>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第三章</w:t>
      </w:r>
      <w:r w:rsidRPr="00950DDA">
        <w:rPr>
          <w:rFonts w:ascii="inherit" w:hAnsi="inherit" w:cs="宋体"/>
          <w:color w:val="333333"/>
          <w:sz w:val="24"/>
          <w:szCs w:val="24"/>
          <w:bdr w:val="none" w:sz="0" w:space="0" w:color="auto" w:frame="1"/>
        </w:rPr>
        <w:t xml:space="preserve"> </w:t>
      </w:r>
      <w:r w:rsidRPr="00950DDA">
        <w:rPr>
          <w:rFonts w:ascii="inherit" w:hAnsi="inherit" w:cs="宋体"/>
          <w:color w:val="333333"/>
          <w:sz w:val="24"/>
          <w:szCs w:val="24"/>
          <w:bdr w:val="none" w:sz="0" w:space="0" w:color="auto" w:frame="1"/>
        </w:rPr>
        <w:t>封闭式框架协议采购</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jc w:val="center"/>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第一节</w:t>
      </w:r>
      <w:r w:rsidRPr="00950DDA">
        <w:rPr>
          <w:rFonts w:ascii="inherit" w:hAnsi="inherit" w:cs="宋体"/>
          <w:color w:val="333333"/>
          <w:sz w:val="24"/>
          <w:szCs w:val="24"/>
          <w:bdr w:val="none" w:sz="0" w:space="0" w:color="auto" w:frame="1"/>
        </w:rPr>
        <w:t xml:space="preserve"> </w:t>
      </w:r>
      <w:r w:rsidRPr="00950DDA">
        <w:rPr>
          <w:rFonts w:ascii="inherit" w:hAnsi="inherit" w:cs="宋体"/>
          <w:color w:val="333333"/>
          <w:sz w:val="24"/>
          <w:szCs w:val="24"/>
          <w:bdr w:val="none" w:sz="0" w:space="0" w:color="auto" w:frame="1"/>
        </w:rPr>
        <w:t>封闭式框架协议的订立</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第二十二条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征集人应当发布征集公告。征集公告应当包括以下主要内容：</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lastRenderedPageBreak/>
        <w:t xml:space="preserve">　　</w:t>
      </w:r>
      <w:r w:rsidRPr="00950DDA">
        <w:rPr>
          <w:rFonts w:ascii="inherit" w:hAnsi="inherit" w:cs="宋体"/>
          <w:color w:val="333333"/>
          <w:sz w:val="24"/>
          <w:szCs w:val="24"/>
          <w:bdr w:val="none" w:sz="0" w:space="0" w:color="auto" w:frame="1"/>
        </w:rPr>
        <w:t>（一）征集人的名称、地址、联系人和联系方式；</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（二）采购项目名称、编号，采购需求以及最高限制单价，适用框架协议的采购人或者服务对象范围，能预估采购数量的，还应当明确预估采购数量；</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（三）供应商的资格条件；</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（四）框架协议的期限；</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（五）获取征集文件的时间、地点和方式；</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（六）响应文件的提交方式、提交截止时间和地点，开启方式、时间和地点；</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（七）公告期限；</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（八）省级以上财政部门规定的其他事项。</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第二十三条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征集人应当编制征集文件。征集文件应当包括以下主要内容：</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（一）参加征集活动的邀请；</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（二）供应商应当提交的资格材料；</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（三）资格审查方法和标准；</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（四）采购需求以及最高限制单价；</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（五）政府采购政策要求以及政策执行措施；</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（六）框架协议的期限；</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（七）报价要求；</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（八）确定第一阶段入围供应商的评审方法、评审标准、确定入围供应商的淘汰率或者入围供应商数量上限和响应文件无效情形；</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（九）响应文件的编制要求，提交方式、提交截止时间和地点，开启方式、时间和地点，以及响应文件有效期；</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（十）拟签订的框架协议文本和采购合同文本；</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（十一）确定第二阶段成交供应商的方式；</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lastRenderedPageBreak/>
        <w:t xml:space="preserve">　　</w:t>
      </w:r>
      <w:r w:rsidRPr="00950DDA">
        <w:rPr>
          <w:rFonts w:ascii="inherit" w:hAnsi="inherit" w:cs="宋体"/>
          <w:color w:val="333333"/>
          <w:sz w:val="24"/>
          <w:szCs w:val="24"/>
          <w:bdr w:val="none" w:sz="0" w:space="0" w:color="auto" w:frame="1"/>
        </w:rPr>
        <w:t>（十二）采购资金的支付方式、时间和条件；</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（十三）入围产品升级换代规则；</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（十四）用户反馈和评价机制；</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（十五）入围供应商的清退和补充规则；</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（十六）供应商信用信息查询渠道及截止时点、信用信息查询记录和证据留存的具体方式、信用信息的使用规则等；</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（十七）采购代理机构代理费用的收取标准和方式；</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（十八）省级以上财政部门规定的其他事项。</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第二十四条</w:t>
      </w:r>
      <w:r w:rsidRPr="00950DDA">
        <w:rPr>
          <w:rFonts w:ascii="inherit" w:hAnsi="inherit" w:cs="宋体"/>
          <w:color w:val="333333"/>
          <w:sz w:val="24"/>
          <w:szCs w:val="24"/>
          <w:bdr w:val="none" w:sz="0" w:space="0" w:color="auto" w:frame="1"/>
        </w:rPr>
        <w:t> </w:t>
      </w:r>
      <w:r w:rsidRPr="00950DDA">
        <w:rPr>
          <w:rFonts w:ascii="inherit" w:hAnsi="inherit" w:cs="宋体"/>
          <w:color w:val="333333"/>
          <w:sz w:val="24"/>
          <w:szCs w:val="24"/>
          <w:bdr w:val="none" w:sz="0" w:space="0" w:color="auto" w:frame="1"/>
        </w:rPr>
        <w:t>供应商应当按照征集文件要求编制响应文件，对响应文件的真实性和合法性承担法律责任。</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供应商响应的货物和服务的技术、商务等条件不得低于采购需求，货物原则上应当是市场上已有销售的规格型号，不得是专供政府采购的产品。对货物项目每个采购包只能用一个产品进行响应，征集文件有要求的，应当同时对产品的选配件、耗材进行报价。服务项目包含货物的，响应文件中应当列明货物清单及质量标准。</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第二十五条</w:t>
      </w:r>
      <w:r w:rsidRPr="00950DDA">
        <w:rPr>
          <w:rFonts w:ascii="inherit" w:hAnsi="inherit" w:cs="宋体"/>
          <w:color w:val="333333"/>
          <w:sz w:val="24"/>
          <w:szCs w:val="24"/>
          <w:bdr w:val="none" w:sz="0" w:space="0" w:color="auto" w:frame="1"/>
        </w:rPr>
        <w:t> </w:t>
      </w:r>
      <w:r w:rsidRPr="00950DDA">
        <w:rPr>
          <w:rFonts w:ascii="inherit" w:hAnsi="inherit" w:cs="宋体"/>
          <w:color w:val="333333"/>
          <w:sz w:val="24"/>
          <w:szCs w:val="24"/>
          <w:bdr w:val="none" w:sz="0" w:space="0" w:color="auto" w:frame="1"/>
        </w:rPr>
        <w:t>确定第一阶段入围供应商的评审方法包括价格优先法和质量优先法。</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价格优先法是指对满足采购需求且响应报价不超过最高限制单价的货物、服务，按照响应报价从低到高排序，根据征集文件规定的淘汰率或者入围供应商数量上限，确定入围供应商的评审方法。</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质量优先法是指对满足采购需求且响应报价不超过最高限制单价的货物、服务进行质量综合评分，按照质量评分从高到低排序，根据征集文件规定的淘汰率或者入围供应商数量上限，确定入围供应商的评审方法。货物项目质量因素包括采购标的的技术水平、产品配置、售后服务等，服务项目质量因素包括</w:t>
      </w:r>
      <w:r w:rsidRPr="00950DDA">
        <w:rPr>
          <w:rFonts w:ascii="inherit" w:hAnsi="inherit" w:cs="宋体"/>
          <w:color w:val="333333"/>
          <w:sz w:val="24"/>
          <w:szCs w:val="24"/>
          <w:bdr w:val="none" w:sz="0" w:space="0" w:color="auto" w:frame="1"/>
        </w:rPr>
        <w:lastRenderedPageBreak/>
        <w:t>服务内容、服务水平、供应商的履约能力、服务经验等。质量因素中的可量化指标应当划分等次，作为评分项；质量因素中的其他指标可以作为实质性要求，不得作为评分项。</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有政府定价、政府指导价的项目，以及对质量有特别要求的检测、实验等仪器设备，可以采用质量优先法，其他项目应当采用价格优先法。</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第二十六条</w:t>
      </w:r>
      <w:r w:rsidRPr="00950DDA">
        <w:rPr>
          <w:rFonts w:ascii="inherit" w:hAnsi="inherit" w:cs="宋体"/>
          <w:color w:val="333333"/>
          <w:sz w:val="24"/>
          <w:szCs w:val="24"/>
          <w:bdr w:val="none" w:sz="0" w:space="0" w:color="auto" w:frame="1"/>
        </w:rPr>
        <w:t> </w:t>
      </w:r>
      <w:r w:rsidRPr="00950DDA">
        <w:rPr>
          <w:rFonts w:ascii="inherit" w:hAnsi="inherit" w:cs="宋体"/>
          <w:color w:val="333333"/>
          <w:sz w:val="24"/>
          <w:szCs w:val="24"/>
          <w:bdr w:val="none" w:sz="0" w:space="0" w:color="auto" w:frame="1"/>
        </w:rPr>
        <w:t>对耗材使用量大的复印、打印、实验、医疗等仪器设备进行框架协议采购的，应当要求供应商同时对</w:t>
      </w:r>
      <w:r w:rsidRPr="00950DDA">
        <w:rPr>
          <w:rFonts w:ascii="inherit" w:hAnsi="inherit" w:cs="宋体"/>
          <w:color w:val="333333"/>
          <w:sz w:val="24"/>
          <w:szCs w:val="24"/>
          <w:bdr w:val="none" w:sz="0" w:space="0" w:color="auto" w:frame="1"/>
        </w:rPr>
        <w:t>3</w:t>
      </w:r>
      <w:r w:rsidRPr="00950DDA">
        <w:rPr>
          <w:rFonts w:ascii="inherit" w:hAnsi="inherit" w:cs="宋体"/>
          <w:color w:val="333333"/>
          <w:sz w:val="24"/>
          <w:szCs w:val="24"/>
          <w:bdr w:val="none" w:sz="0" w:space="0" w:color="auto" w:frame="1"/>
        </w:rPr>
        <w:t>年以上约定期限内的专用耗材进行报价。评审时应当考虑约定期限的专用耗材使用成本，修正仪器设备的响应报价或者质量评分。</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征集人应当在征集文件、框架协议和采购合同中规定，入围供应商在约定期限内，应当以不高于其报价的价格向适用框架协议的采购人供应专用耗材。</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第二十七条</w:t>
      </w:r>
      <w:r w:rsidRPr="00950DDA">
        <w:rPr>
          <w:rFonts w:ascii="inherit" w:hAnsi="inherit" w:cs="宋体"/>
          <w:color w:val="333333"/>
          <w:sz w:val="24"/>
          <w:szCs w:val="24"/>
          <w:bdr w:val="none" w:sz="0" w:space="0" w:color="auto" w:frame="1"/>
        </w:rPr>
        <w:t> </w:t>
      </w:r>
      <w:r w:rsidRPr="00950DDA">
        <w:rPr>
          <w:rFonts w:ascii="inherit" w:hAnsi="inherit" w:cs="宋体"/>
          <w:color w:val="333333"/>
          <w:sz w:val="24"/>
          <w:szCs w:val="24"/>
          <w:bdr w:val="none" w:sz="0" w:space="0" w:color="auto" w:frame="1"/>
        </w:rPr>
        <w:t>确定第一阶段入围供应商时，提交响应文件和符合资格条件、实质性要求的供应商应当均不少于</w:t>
      </w:r>
      <w:r w:rsidRPr="00950DDA">
        <w:rPr>
          <w:rFonts w:ascii="宋体" w:eastAsia="宋体" w:hAnsi="宋体" w:cs="宋体"/>
          <w:color w:val="333333"/>
          <w:sz w:val="24"/>
          <w:szCs w:val="24"/>
          <w:bdr w:val="none" w:sz="0" w:space="0" w:color="auto" w:frame="1"/>
        </w:rPr>
        <w:t>2</w:t>
      </w:r>
      <w:r w:rsidRPr="00950DDA">
        <w:rPr>
          <w:rFonts w:ascii="inherit" w:hAnsi="inherit" w:cs="宋体"/>
          <w:color w:val="333333"/>
          <w:sz w:val="24"/>
          <w:szCs w:val="24"/>
          <w:bdr w:val="none" w:sz="0" w:space="0" w:color="auto" w:frame="1"/>
        </w:rPr>
        <w:t>家，淘汰比例一般不得低于</w:t>
      </w:r>
      <w:r w:rsidRPr="00950DDA">
        <w:rPr>
          <w:rFonts w:ascii="宋体" w:eastAsia="宋体" w:hAnsi="宋体" w:cs="宋体"/>
          <w:color w:val="333333"/>
          <w:sz w:val="24"/>
          <w:szCs w:val="24"/>
          <w:bdr w:val="none" w:sz="0" w:space="0" w:color="auto" w:frame="1"/>
        </w:rPr>
        <w:t>20%</w:t>
      </w:r>
      <w:r w:rsidRPr="00950DDA">
        <w:rPr>
          <w:rFonts w:ascii="inherit" w:hAnsi="inherit" w:cs="宋体"/>
          <w:color w:val="333333"/>
          <w:sz w:val="24"/>
          <w:szCs w:val="24"/>
          <w:bdr w:val="none" w:sz="0" w:space="0" w:color="auto" w:frame="1"/>
        </w:rPr>
        <w:t>，且至少淘汰一家供应商。</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采用质量优先法的检测、实验等仪器设备采购，淘汰比例不得低于</w:t>
      </w:r>
      <w:r w:rsidRPr="00950DDA">
        <w:rPr>
          <w:rFonts w:ascii="宋体" w:eastAsia="宋体" w:hAnsi="宋体" w:cs="宋体"/>
          <w:color w:val="333333"/>
          <w:sz w:val="24"/>
          <w:szCs w:val="24"/>
          <w:bdr w:val="none" w:sz="0" w:space="0" w:color="auto" w:frame="1"/>
        </w:rPr>
        <w:t>40%</w:t>
      </w:r>
      <w:r w:rsidRPr="00950DDA">
        <w:rPr>
          <w:rFonts w:ascii="inherit" w:hAnsi="inherit" w:cs="宋体"/>
          <w:color w:val="333333"/>
          <w:sz w:val="24"/>
          <w:szCs w:val="24"/>
          <w:bdr w:val="none" w:sz="0" w:space="0" w:color="auto" w:frame="1"/>
        </w:rPr>
        <w:t>，且至少淘汰一家供应商。</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第二十八条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入围结果公告应当包括以下主要内容：</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（一）采购项目名称、编号；</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（二）征集人的名称、地址、联系人和联系方式；</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（三）入围供应商名称、地址及排序；</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（四）最高入围价格或者最低入围分值；</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（五）入围产品名称、规格型号或者主要服务内容及服务标准，入围单价；</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（六）评审小组成员名单；</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lastRenderedPageBreak/>
        <w:t xml:space="preserve">　　</w:t>
      </w:r>
      <w:r w:rsidRPr="00950DDA">
        <w:rPr>
          <w:rFonts w:ascii="inherit" w:hAnsi="inherit" w:cs="宋体"/>
          <w:color w:val="333333"/>
          <w:sz w:val="24"/>
          <w:szCs w:val="24"/>
          <w:bdr w:val="none" w:sz="0" w:space="0" w:color="auto" w:frame="1"/>
        </w:rPr>
        <w:t>（七）采购代理服务收费标准及金额；</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（八）公告期限；</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（九）省级以上财政部门规定的其他事项。</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第二十九条</w:t>
      </w:r>
      <w:r w:rsidRPr="00950DDA">
        <w:rPr>
          <w:rFonts w:ascii="inherit" w:hAnsi="inherit" w:cs="宋体"/>
          <w:color w:val="333333"/>
          <w:sz w:val="24"/>
          <w:szCs w:val="24"/>
          <w:bdr w:val="none" w:sz="0" w:space="0" w:color="auto" w:frame="1"/>
        </w:rPr>
        <w:t> </w:t>
      </w:r>
      <w:r w:rsidRPr="00950DDA">
        <w:rPr>
          <w:rFonts w:ascii="inherit" w:hAnsi="inherit" w:cs="宋体"/>
          <w:color w:val="333333"/>
          <w:sz w:val="24"/>
          <w:szCs w:val="24"/>
          <w:bdr w:val="none" w:sz="0" w:space="0" w:color="auto" w:frame="1"/>
        </w:rPr>
        <w:t>集中采购机构或者主管预算单位应当在入围通知书发出之日起</w:t>
      </w:r>
      <w:r w:rsidRPr="00950DDA">
        <w:rPr>
          <w:rFonts w:ascii="宋体" w:eastAsia="宋体" w:hAnsi="宋体" w:cs="宋体"/>
          <w:color w:val="333333"/>
          <w:sz w:val="24"/>
          <w:szCs w:val="24"/>
          <w:bdr w:val="none" w:sz="0" w:space="0" w:color="auto" w:frame="1"/>
        </w:rPr>
        <w:t>30</w:t>
      </w:r>
      <w:r w:rsidRPr="00950DDA">
        <w:rPr>
          <w:rFonts w:ascii="inherit" w:hAnsi="inherit" w:cs="宋体"/>
          <w:color w:val="333333"/>
          <w:sz w:val="24"/>
          <w:szCs w:val="24"/>
          <w:bdr w:val="none" w:sz="0" w:space="0" w:color="auto" w:frame="1"/>
        </w:rPr>
        <w:t>日内和入围供应商签订框架协议，并在框架协议签订后</w:t>
      </w:r>
      <w:r w:rsidRPr="00950DDA">
        <w:rPr>
          <w:rFonts w:ascii="宋体" w:eastAsia="宋体" w:hAnsi="宋体" w:cs="宋体"/>
          <w:color w:val="333333"/>
          <w:sz w:val="24"/>
          <w:szCs w:val="24"/>
          <w:bdr w:val="none" w:sz="0" w:space="0" w:color="auto" w:frame="1"/>
        </w:rPr>
        <w:t>7</w:t>
      </w:r>
      <w:r w:rsidRPr="00950DDA">
        <w:rPr>
          <w:rFonts w:ascii="inherit" w:hAnsi="inherit" w:cs="宋体"/>
          <w:color w:val="333333"/>
          <w:sz w:val="24"/>
          <w:szCs w:val="24"/>
          <w:bdr w:val="none" w:sz="0" w:space="0" w:color="auto" w:frame="1"/>
        </w:rPr>
        <w:t>个工作日内，将框架协议副本报本级财政部门备案。</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框架协议不得对征集文件确定的事项以及入围供应商的响应文件作实质性修改。</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第三十条</w:t>
      </w:r>
      <w:r w:rsidRPr="00950DDA">
        <w:rPr>
          <w:rFonts w:ascii="inherit" w:hAnsi="inherit" w:cs="宋体"/>
          <w:color w:val="333333"/>
          <w:sz w:val="24"/>
          <w:szCs w:val="24"/>
          <w:bdr w:val="none" w:sz="0" w:space="0" w:color="auto" w:frame="1"/>
        </w:rPr>
        <w:t> </w:t>
      </w:r>
      <w:r w:rsidRPr="00950DDA">
        <w:rPr>
          <w:rFonts w:ascii="inherit" w:hAnsi="inherit" w:cs="宋体"/>
          <w:color w:val="333333"/>
          <w:sz w:val="24"/>
          <w:szCs w:val="24"/>
          <w:bdr w:val="none" w:sz="0" w:space="0" w:color="auto" w:frame="1"/>
        </w:rPr>
        <w:t>征集人应当在框架协议签订后</w:t>
      </w:r>
      <w:r w:rsidRPr="00950DDA">
        <w:rPr>
          <w:rFonts w:ascii="宋体" w:eastAsia="宋体" w:hAnsi="宋体" w:cs="宋体"/>
          <w:color w:val="333333"/>
          <w:sz w:val="24"/>
          <w:szCs w:val="24"/>
          <w:bdr w:val="none" w:sz="0" w:space="0" w:color="auto" w:frame="1"/>
        </w:rPr>
        <w:t>3</w:t>
      </w:r>
      <w:r w:rsidRPr="00950DDA">
        <w:rPr>
          <w:rFonts w:ascii="inherit" w:hAnsi="inherit" w:cs="宋体"/>
          <w:color w:val="333333"/>
          <w:sz w:val="24"/>
          <w:szCs w:val="24"/>
          <w:bdr w:val="none" w:sz="0" w:space="0" w:color="auto" w:frame="1"/>
        </w:rPr>
        <w:t>个工作日内通过电子化采购系统将入围信息告知适用框架协议的所有采购人或者服务对象。</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入围信息应当包括所有入围供应商的名称、地址、联系方式、入围产品信息和协议价格等内容。入围产品信息应当详细列明技术规格或者服务内容、服务标准等能反映产品质量特点的内容。</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征集人应当确保征集文件和入围信息在整个框架协议有效期内随时可供公众查阅。</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第三十一条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除剩余入围供应商不足入围供应商总数</w:t>
      </w:r>
      <w:r w:rsidRPr="00950DDA">
        <w:rPr>
          <w:rFonts w:ascii="宋体" w:eastAsia="宋体" w:hAnsi="宋体" w:cs="宋体"/>
          <w:color w:val="333333"/>
          <w:sz w:val="24"/>
          <w:szCs w:val="24"/>
          <w:bdr w:val="none" w:sz="0" w:space="0" w:color="auto" w:frame="1"/>
        </w:rPr>
        <w:t>70%</w:t>
      </w:r>
      <w:r w:rsidRPr="00950DDA">
        <w:rPr>
          <w:rFonts w:ascii="inherit" w:hAnsi="inherit" w:cs="宋体"/>
          <w:color w:val="333333"/>
          <w:sz w:val="24"/>
          <w:szCs w:val="24"/>
          <w:bdr w:val="none" w:sz="0" w:space="0" w:color="auto" w:frame="1"/>
        </w:rPr>
        <w:t>且影响框架协议执行的情形外，框架协议有效期内，征集人不得补充征集供应商。</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征集人补充征集供应商的，补充征集规则应当在框架协议中约定，补充征集的条件、程序、评审方法和淘汰比例应当与初次征集相同。补充征集应当遵守原框架协议的有效期。补充征集期间，原框架协议继续履行。</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jc w:val="center"/>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第二节</w:t>
      </w:r>
      <w:r w:rsidRPr="00950DDA">
        <w:rPr>
          <w:rFonts w:ascii="inherit" w:hAnsi="inherit" w:cs="宋体"/>
          <w:color w:val="333333"/>
          <w:sz w:val="24"/>
          <w:szCs w:val="24"/>
          <w:bdr w:val="none" w:sz="0" w:space="0" w:color="auto" w:frame="1"/>
        </w:rPr>
        <w:t> </w:t>
      </w:r>
      <w:r w:rsidRPr="00950DDA">
        <w:rPr>
          <w:rFonts w:ascii="inherit" w:hAnsi="inherit" w:cs="宋体"/>
          <w:color w:val="333333"/>
          <w:sz w:val="24"/>
          <w:szCs w:val="24"/>
          <w:bdr w:val="none" w:sz="0" w:space="0" w:color="auto" w:frame="1"/>
        </w:rPr>
        <w:t>采购合同的授予</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第三十二条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确定第二阶段成交供应商的方式包括直接选定、二次竞价和顺序轮候。</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lastRenderedPageBreak/>
        <w:t xml:space="preserve">　　</w:t>
      </w:r>
      <w:r w:rsidRPr="00950DDA">
        <w:rPr>
          <w:rFonts w:ascii="inherit" w:hAnsi="inherit" w:cs="宋体"/>
          <w:color w:val="333333"/>
          <w:sz w:val="24"/>
          <w:szCs w:val="24"/>
          <w:bdr w:val="none" w:sz="0" w:space="0" w:color="auto" w:frame="1"/>
        </w:rPr>
        <w:t>直接选定方式是确定第二阶段成交供应商的主要方式。除征集人根据采购项目特点和提高绩效等要求，在征集文件中载明采用二次竞价或者顺序轮候方式外，确定第二阶段成交供应商应当由采购人或者服务对象依据入围产品价格、质量以及服务便利性、用户评价等因素，从第一阶段入围供应商中直接选定。</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第三十三条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二次竞价方式是指以框架协议约定的入围产品、采购合同文本等为依据，以协议价格为最高限价，采购人明确第二阶段竞价需求，从入围供应商中选择所有符合竞价需求的供应商参与二次竞价，确定报价最低的为成交供应商的方式。</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进行二次竞价应当给予供应商必要的响应时间。</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二次竞价一般适用于采用价格优先法的采购项目。</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第三十四条</w:t>
      </w:r>
      <w:r w:rsidRPr="00950DDA">
        <w:rPr>
          <w:rFonts w:ascii="inherit" w:hAnsi="inherit" w:cs="宋体"/>
          <w:color w:val="333333"/>
          <w:sz w:val="24"/>
          <w:szCs w:val="24"/>
          <w:bdr w:val="none" w:sz="0" w:space="0" w:color="auto" w:frame="1"/>
        </w:rPr>
        <w:t> </w:t>
      </w:r>
      <w:r w:rsidRPr="00950DDA">
        <w:rPr>
          <w:rFonts w:ascii="inherit" w:hAnsi="inherit" w:cs="宋体"/>
          <w:color w:val="333333"/>
          <w:sz w:val="24"/>
          <w:szCs w:val="24"/>
          <w:bdr w:val="none" w:sz="0" w:space="0" w:color="auto" w:frame="1"/>
        </w:rPr>
        <w:t>顺序轮候方式是指根据征集文件中确定的轮候顺序规则，对所有入围供应商依次授予采购合同的方式。</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每个入围供应商在一个顺序轮候期内，只有一次获得合同授予的机会。合同授予顺序确定后，应当书面告知所有入围供应商。除清退入围供应商和补充征集外，框架协议有效期内不得调整合同授予顺序。</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顺序轮候一般适用于服务项目。</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第三十五条</w:t>
      </w:r>
      <w:r w:rsidRPr="00950DDA">
        <w:rPr>
          <w:rFonts w:ascii="inherit" w:hAnsi="inherit" w:cs="宋体"/>
          <w:color w:val="333333"/>
          <w:sz w:val="24"/>
          <w:szCs w:val="24"/>
          <w:bdr w:val="none" w:sz="0" w:space="0" w:color="auto" w:frame="1"/>
        </w:rPr>
        <w:t> </w:t>
      </w:r>
      <w:r w:rsidRPr="00950DDA">
        <w:rPr>
          <w:rFonts w:ascii="inherit" w:hAnsi="inherit" w:cs="宋体"/>
          <w:color w:val="333333"/>
          <w:sz w:val="24"/>
          <w:szCs w:val="24"/>
          <w:bdr w:val="none" w:sz="0" w:space="0" w:color="auto" w:frame="1"/>
        </w:rPr>
        <w:t>以二次竞价或者顺序轮候方式确定成交供应商的，征集人应当在确定成交供应商后</w:t>
      </w:r>
      <w:r w:rsidRPr="00950DDA">
        <w:rPr>
          <w:rFonts w:ascii="宋体" w:eastAsia="宋体" w:hAnsi="宋体" w:cs="宋体"/>
          <w:color w:val="333333"/>
          <w:sz w:val="24"/>
          <w:szCs w:val="24"/>
          <w:bdr w:val="none" w:sz="0" w:space="0" w:color="auto" w:frame="1"/>
        </w:rPr>
        <w:t>2</w:t>
      </w:r>
      <w:r w:rsidRPr="00950DDA">
        <w:rPr>
          <w:rFonts w:ascii="inherit" w:hAnsi="inherit" w:cs="宋体"/>
          <w:color w:val="333333"/>
          <w:sz w:val="24"/>
          <w:szCs w:val="24"/>
          <w:bdr w:val="none" w:sz="0" w:space="0" w:color="auto" w:frame="1"/>
        </w:rPr>
        <w:t>个工作日内逐笔发布成交结果公告。</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成交结果单笔公告可以在省级以上财政部门指定的媒体上发布，也可以在开展框架协议采购的电子化采购系统发布，发布成交结果公告的渠道应当在征集文件或者框架协议中告知供应商。单笔公告应当包括以下主要内容：</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（一）采购人的名称、地址和联系方式；</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（二）框架协议采购项目名称、编号；</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（三）成交供应商名称、地址和成交金额；</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lastRenderedPageBreak/>
        <w:t xml:space="preserve">　　</w:t>
      </w:r>
      <w:r w:rsidRPr="00950DDA">
        <w:rPr>
          <w:rFonts w:ascii="inherit" w:hAnsi="inherit" w:cs="宋体"/>
          <w:color w:val="333333"/>
          <w:sz w:val="24"/>
          <w:szCs w:val="24"/>
          <w:bdr w:val="none" w:sz="0" w:space="0" w:color="auto" w:frame="1"/>
        </w:rPr>
        <w:t>（四）成交标的名称、规格型号或者主要服务内容及服务标准、数量、单价；</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（五）公告期限。</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征集人应当在框架协议有效期满后</w:t>
      </w:r>
      <w:r w:rsidRPr="00950DDA">
        <w:rPr>
          <w:rFonts w:ascii="宋体" w:eastAsia="宋体" w:hAnsi="宋体" w:cs="宋体"/>
          <w:color w:val="333333"/>
          <w:sz w:val="24"/>
          <w:szCs w:val="24"/>
          <w:bdr w:val="none" w:sz="0" w:space="0" w:color="auto" w:frame="1"/>
        </w:rPr>
        <w:t>10</w:t>
      </w:r>
      <w:r w:rsidRPr="00950DDA">
        <w:rPr>
          <w:rFonts w:ascii="inherit" w:hAnsi="inherit" w:cs="宋体"/>
          <w:color w:val="333333"/>
          <w:sz w:val="24"/>
          <w:szCs w:val="24"/>
          <w:bdr w:val="none" w:sz="0" w:space="0" w:color="auto" w:frame="1"/>
        </w:rPr>
        <w:t>个工作日内发布成交结果汇总公告。汇总公告应当包括前款第一项、第二项内容和所有成交供应商的名称、地址及其成交合同总数和总金额。</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第三十六条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框架协议采购应当订立固定价格合同。</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根据实际采购数量和协议价格确定合同总价的，合同中应当列明实际采购数量或者计量方式，包括服务项目用于计算合同价的工日数、服务工作量等详细工作量清单。采购人应当要求供应商提供能证明其按照合同约定数量或者工作量清单履约的相关记录或者凭证，作为验收资料一并存档。</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第三十七条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采购人证明能够以更低价格向非入围供应商采购相同货物，且入围供应商不同意将价格降至非入围供应商以下的，可以将合同授予非入围供应商。</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采购项目适用前款规定的，征集人应当在征集文件中载明并在框架协议中约定。</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采购人将合同授予非入围供应商的，应当在确定成交供应商后</w:t>
      </w:r>
      <w:r w:rsidRPr="00950DDA">
        <w:rPr>
          <w:rFonts w:ascii="宋体" w:eastAsia="宋体" w:hAnsi="宋体" w:cs="宋体"/>
          <w:color w:val="333333"/>
          <w:sz w:val="24"/>
          <w:szCs w:val="24"/>
          <w:bdr w:val="none" w:sz="0" w:space="0" w:color="auto" w:frame="1"/>
        </w:rPr>
        <w:t>1</w:t>
      </w:r>
      <w:r w:rsidRPr="00950DDA">
        <w:rPr>
          <w:rFonts w:ascii="inherit" w:hAnsi="inherit" w:cs="宋体"/>
          <w:color w:val="333333"/>
          <w:sz w:val="24"/>
          <w:szCs w:val="24"/>
          <w:bdr w:val="none" w:sz="0" w:space="0" w:color="auto" w:frame="1"/>
        </w:rPr>
        <w:t>个工作日内，将成交结果抄送征集人，由征集人按照单笔公告要求发布成交结果公告。采购人应当将相关证明材料和采购合同一并存档备查。</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jc w:val="center"/>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第四章</w:t>
      </w:r>
      <w:r w:rsidRPr="00950DDA">
        <w:rPr>
          <w:rFonts w:ascii="inherit" w:hAnsi="inherit" w:cs="宋体"/>
          <w:color w:val="333333"/>
          <w:sz w:val="24"/>
          <w:szCs w:val="24"/>
          <w:bdr w:val="none" w:sz="0" w:space="0" w:color="auto" w:frame="1"/>
        </w:rPr>
        <w:t xml:space="preserve"> </w:t>
      </w:r>
      <w:r w:rsidRPr="00950DDA">
        <w:rPr>
          <w:rFonts w:ascii="inherit" w:hAnsi="inherit" w:cs="宋体"/>
          <w:color w:val="333333"/>
          <w:sz w:val="24"/>
          <w:szCs w:val="24"/>
          <w:bdr w:val="none" w:sz="0" w:space="0" w:color="auto" w:frame="1"/>
        </w:rPr>
        <w:t>开放式框架协议采购</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第三十八条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订立开放式框架协议的，征集人应当发布征集公告，邀请供应商加入框架协议。征集公告应当包括以下主要内容：</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（一）本办法第二十二条第一项至四项和第二十三条第二项至三项、第十三项至十六项内容；</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lastRenderedPageBreak/>
        <w:t xml:space="preserve">　　</w:t>
      </w:r>
      <w:r w:rsidRPr="00950DDA">
        <w:rPr>
          <w:rFonts w:ascii="inherit" w:hAnsi="inherit" w:cs="宋体"/>
          <w:color w:val="333333"/>
          <w:sz w:val="24"/>
          <w:szCs w:val="24"/>
          <w:bdr w:val="none" w:sz="0" w:space="0" w:color="auto" w:frame="1"/>
        </w:rPr>
        <w:t>（二）订立开放式框架协议的邀请；</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（三）供应商提交加入框架协议申请的方式、地点，以及对申请文件的要求；</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（四）履行合同的地域范围、协议方的权利和义务、入围供应商的清退机制等框架协议内容；</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（五）采购合同文本；</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（六）付费标准，费用结算及支付方式；</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（七）省级以上财政部门规定的其他事项。</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第三十九条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征集公告发布后至框架协议期满前，供应商可以按照征集公告要求，随时提交加入框架协议的申请。征集人应当在收到供应商申请后</w:t>
      </w:r>
      <w:r w:rsidRPr="00950DDA">
        <w:rPr>
          <w:rFonts w:ascii="宋体" w:eastAsia="宋体" w:hAnsi="宋体" w:cs="宋体"/>
          <w:color w:val="333333"/>
          <w:sz w:val="24"/>
          <w:szCs w:val="24"/>
          <w:bdr w:val="none" w:sz="0" w:space="0" w:color="auto" w:frame="1"/>
        </w:rPr>
        <w:t>7</w:t>
      </w:r>
      <w:r w:rsidRPr="00950DDA">
        <w:rPr>
          <w:rFonts w:ascii="inherit" w:hAnsi="inherit" w:cs="宋体"/>
          <w:color w:val="333333"/>
          <w:sz w:val="24"/>
          <w:szCs w:val="24"/>
          <w:bdr w:val="none" w:sz="0" w:space="0" w:color="auto" w:frame="1"/>
        </w:rPr>
        <w:t>个工作日内完成审核，并将审核结果书面通知申请供应商。</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第四十条</w:t>
      </w:r>
      <w:r w:rsidRPr="00950DDA">
        <w:rPr>
          <w:rFonts w:ascii="inherit" w:hAnsi="inherit" w:cs="宋体"/>
          <w:color w:val="333333"/>
          <w:sz w:val="24"/>
          <w:szCs w:val="24"/>
          <w:bdr w:val="none" w:sz="0" w:space="0" w:color="auto" w:frame="1"/>
        </w:rPr>
        <w:t> </w:t>
      </w:r>
      <w:r w:rsidRPr="00950DDA">
        <w:rPr>
          <w:rFonts w:ascii="inherit" w:hAnsi="inherit" w:cs="宋体"/>
          <w:color w:val="333333"/>
          <w:sz w:val="24"/>
          <w:szCs w:val="24"/>
          <w:bdr w:val="none" w:sz="0" w:space="0" w:color="auto" w:frame="1"/>
        </w:rPr>
        <w:t>征集人应当在审核通过后</w:t>
      </w:r>
      <w:r w:rsidRPr="00950DDA">
        <w:rPr>
          <w:rFonts w:ascii="宋体" w:eastAsia="宋体" w:hAnsi="宋体" w:cs="宋体"/>
          <w:color w:val="333333"/>
          <w:sz w:val="24"/>
          <w:szCs w:val="24"/>
          <w:bdr w:val="none" w:sz="0" w:space="0" w:color="auto" w:frame="1"/>
        </w:rPr>
        <w:t>2</w:t>
      </w:r>
      <w:r w:rsidRPr="00950DDA">
        <w:rPr>
          <w:rFonts w:ascii="inherit" w:hAnsi="inherit" w:cs="宋体"/>
          <w:color w:val="333333"/>
          <w:sz w:val="24"/>
          <w:szCs w:val="24"/>
          <w:bdr w:val="none" w:sz="0" w:space="0" w:color="auto" w:frame="1"/>
        </w:rPr>
        <w:t>个工作日内，发布入围结果公告，公告入围供应商名称、地址、联系方式及付费标准，并动态更新入围供应商信息。</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征集人应当确保征集公告和入围结果公告在整个框架协议有效期内随时可供公众查阅。</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第四十一条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征集人可以根据采购项目特点，在征集公告中申明是否与供应商另行签订书面框架协议。申明不再签订书面框架协议的，发布入围结果公告，视为签订框架协议。</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第四十二条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第二阶段成交供应商由采购人或者服务对象从第一阶段入围供应商中直接选定。</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供应商履行合同后，依据框架协议约定的凭单、订单以及结算方式，与采购人进行费用结算。</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jc w:val="center"/>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第五章</w:t>
      </w:r>
      <w:r w:rsidRPr="00950DDA">
        <w:rPr>
          <w:rFonts w:ascii="inherit" w:hAnsi="inherit" w:cs="宋体"/>
          <w:color w:val="333333"/>
          <w:sz w:val="24"/>
          <w:szCs w:val="24"/>
          <w:bdr w:val="none" w:sz="0" w:space="0" w:color="auto" w:frame="1"/>
        </w:rPr>
        <w:t xml:space="preserve"> </w:t>
      </w:r>
      <w:r w:rsidRPr="00950DDA">
        <w:rPr>
          <w:rFonts w:ascii="inherit" w:hAnsi="inherit" w:cs="宋体"/>
          <w:color w:val="333333"/>
          <w:sz w:val="24"/>
          <w:szCs w:val="24"/>
          <w:bdr w:val="none" w:sz="0" w:space="0" w:color="auto" w:frame="1"/>
        </w:rPr>
        <w:t>法律责任</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lastRenderedPageBreak/>
        <w:t xml:space="preserve">　　</w:t>
      </w:r>
      <w:r w:rsidRPr="00950DDA">
        <w:rPr>
          <w:rFonts w:ascii="inherit" w:hAnsi="inherit" w:cs="宋体"/>
          <w:color w:val="333333"/>
          <w:sz w:val="24"/>
          <w:szCs w:val="24"/>
          <w:bdr w:val="none" w:sz="0" w:space="0" w:color="auto" w:frame="1"/>
        </w:rPr>
        <w:t>第四十三条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主管预算单位、采购人、采购代理机构违反本办法规定的，由财政部门责令限期改正；情节严重的，给予警告，对直接负责的主管人员和其他责任人员，由其行政主管部门或者有关机关依法给予处分，并予以通报。</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第四十四条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违反本办法规定，经责令改正后仍然影响或者可能影响入围结果或者成交结果的，依照政府采购法等有关法律、行政法规处理。</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第四十五条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供应商有本办法第十九条第一款第一项至三项情形之一，以及无正当理由放弃封闭式框架协议入围资格或者退出封闭式框架协议的，依照政府采购法等有关法律、行政法规追究法律责任。</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第四十六条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政府采购当事人违反本办法规定，给他人造成损失的，依法承担民事责任。</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第四十七条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财政部门及其工作人员在履行监督管理职责中存在滥用职权、玩忽职守、徇私舞弊等违法违纪行为的，依法追究相应责任。</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jc w:val="center"/>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第六章</w:t>
      </w:r>
      <w:r w:rsidRPr="00950DDA">
        <w:rPr>
          <w:rFonts w:ascii="inherit" w:hAnsi="inherit" w:cs="宋体"/>
          <w:color w:val="333333"/>
          <w:sz w:val="24"/>
          <w:szCs w:val="24"/>
          <w:bdr w:val="none" w:sz="0" w:space="0" w:color="auto" w:frame="1"/>
        </w:rPr>
        <w:t xml:space="preserve"> </w:t>
      </w:r>
      <w:r w:rsidRPr="00950DDA">
        <w:rPr>
          <w:rFonts w:ascii="inherit" w:hAnsi="inherit" w:cs="宋体"/>
          <w:color w:val="333333"/>
          <w:sz w:val="24"/>
          <w:szCs w:val="24"/>
          <w:bdr w:val="none" w:sz="0" w:space="0" w:color="auto" w:frame="1"/>
        </w:rPr>
        <w:t>附则</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第四十八条</w:t>
      </w:r>
      <w:r w:rsidRPr="00950DDA">
        <w:rPr>
          <w:rFonts w:ascii="inherit" w:hAnsi="inherit" w:cs="宋体"/>
          <w:color w:val="333333"/>
          <w:sz w:val="24"/>
          <w:szCs w:val="24"/>
          <w:bdr w:val="none" w:sz="0" w:space="0" w:color="auto" w:frame="1"/>
        </w:rPr>
        <w:t> </w:t>
      </w:r>
      <w:r w:rsidRPr="00950DDA">
        <w:rPr>
          <w:rFonts w:ascii="inherit" w:hAnsi="inherit" w:cs="宋体"/>
          <w:color w:val="333333"/>
          <w:sz w:val="24"/>
          <w:szCs w:val="24"/>
          <w:bdr w:val="none" w:sz="0" w:space="0" w:color="auto" w:frame="1"/>
        </w:rPr>
        <w:t>除本办法第三十五条规定外，本办法规定的公告信息，应当在省级以上财政部门指定的媒体上发布。</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第四十九条</w:t>
      </w:r>
      <w:r w:rsidRPr="00950DDA">
        <w:rPr>
          <w:rFonts w:ascii="inherit" w:hAnsi="inherit" w:cs="宋体"/>
          <w:color w:val="333333"/>
          <w:sz w:val="24"/>
          <w:szCs w:val="24"/>
          <w:bdr w:val="none" w:sz="0" w:space="0" w:color="auto" w:frame="1"/>
        </w:rPr>
        <w:t> </w:t>
      </w:r>
      <w:r w:rsidRPr="00950DDA">
        <w:rPr>
          <w:rFonts w:ascii="inherit" w:hAnsi="inherit" w:cs="宋体"/>
          <w:color w:val="333333"/>
          <w:sz w:val="24"/>
          <w:szCs w:val="24"/>
          <w:bdr w:val="none" w:sz="0" w:space="0" w:color="auto" w:frame="1"/>
        </w:rPr>
        <w:t>本办法规定按日计算期间的，开始当天不计入，从次日开始计算。期限的最后一日是国家法定节假日的，顺延到节假日后的次日为期限的最后一日。</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第五十条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本办法所称的</w:t>
      </w:r>
      <w:r w:rsidRPr="00950DDA">
        <w:rPr>
          <w:rFonts w:ascii="inherit" w:hAnsi="inherit" w:cs="宋体"/>
          <w:color w:val="333333"/>
          <w:sz w:val="24"/>
          <w:szCs w:val="24"/>
          <w:bdr w:val="none" w:sz="0" w:space="0" w:color="auto" w:frame="1"/>
        </w:rPr>
        <w:t>“</w:t>
      </w:r>
      <w:r w:rsidRPr="00950DDA">
        <w:rPr>
          <w:rFonts w:ascii="inherit" w:hAnsi="inherit" w:cs="宋体"/>
          <w:color w:val="333333"/>
          <w:sz w:val="24"/>
          <w:szCs w:val="24"/>
          <w:bdr w:val="none" w:sz="0" w:space="0" w:color="auto" w:frame="1"/>
        </w:rPr>
        <w:t>以上</w:t>
      </w:r>
      <w:r w:rsidRPr="00950DDA">
        <w:rPr>
          <w:rFonts w:ascii="inherit" w:hAnsi="inherit" w:cs="宋体"/>
          <w:color w:val="333333"/>
          <w:sz w:val="24"/>
          <w:szCs w:val="24"/>
          <w:bdr w:val="none" w:sz="0" w:space="0" w:color="auto" w:frame="1"/>
        </w:rPr>
        <w:t>”</w:t>
      </w:r>
      <w:r w:rsidRPr="00950DDA">
        <w:rPr>
          <w:rFonts w:ascii="inherit" w:hAnsi="inherit" w:cs="宋体"/>
          <w:color w:val="333333"/>
          <w:sz w:val="24"/>
          <w:szCs w:val="24"/>
          <w:bdr w:val="none" w:sz="0" w:space="0" w:color="auto" w:frame="1"/>
        </w:rPr>
        <w:t>、</w:t>
      </w:r>
      <w:r w:rsidRPr="00950DDA">
        <w:rPr>
          <w:rFonts w:ascii="inherit" w:hAnsi="inherit" w:cs="宋体"/>
          <w:color w:val="333333"/>
          <w:sz w:val="24"/>
          <w:szCs w:val="24"/>
          <w:bdr w:val="none" w:sz="0" w:space="0" w:color="auto" w:frame="1"/>
        </w:rPr>
        <w:t>“</w:t>
      </w:r>
      <w:r w:rsidRPr="00950DDA">
        <w:rPr>
          <w:rFonts w:ascii="inherit" w:hAnsi="inherit" w:cs="宋体"/>
          <w:color w:val="333333"/>
          <w:sz w:val="24"/>
          <w:szCs w:val="24"/>
          <w:bdr w:val="none" w:sz="0" w:space="0" w:color="auto" w:frame="1"/>
        </w:rPr>
        <w:t>以下</w:t>
      </w:r>
      <w:r w:rsidRPr="00950DDA">
        <w:rPr>
          <w:rFonts w:ascii="inherit" w:hAnsi="inherit" w:cs="宋体"/>
          <w:color w:val="333333"/>
          <w:sz w:val="24"/>
          <w:szCs w:val="24"/>
          <w:bdr w:val="none" w:sz="0" w:space="0" w:color="auto" w:frame="1"/>
        </w:rPr>
        <w:t>”</w:t>
      </w:r>
      <w:r w:rsidRPr="00950DDA">
        <w:rPr>
          <w:rFonts w:ascii="inherit" w:hAnsi="inherit" w:cs="宋体"/>
          <w:color w:val="333333"/>
          <w:sz w:val="24"/>
          <w:szCs w:val="24"/>
          <w:bdr w:val="none" w:sz="0" w:space="0" w:color="auto" w:frame="1"/>
        </w:rPr>
        <w:t>、</w:t>
      </w:r>
      <w:r w:rsidRPr="00950DDA">
        <w:rPr>
          <w:rFonts w:ascii="inherit" w:hAnsi="inherit" w:cs="宋体"/>
          <w:color w:val="333333"/>
          <w:sz w:val="24"/>
          <w:szCs w:val="24"/>
          <w:bdr w:val="none" w:sz="0" w:space="0" w:color="auto" w:frame="1"/>
        </w:rPr>
        <w:t>“</w:t>
      </w:r>
      <w:r w:rsidRPr="00950DDA">
        <w:rPr>
          <w:rFonts w:ascii="inherit" w:hAnsi="inherit" w:cs="宋体"/>
          <w:color w:val="333333"/>
          <w:sz w:val="24"/>
          <w:szCs w:val="24"/>
          <w:bdr w:val="none" w:sz="0" w:space="0" w:color="auto" w:frame="1"/>
        </w:rPr>
        <w:t>内</w:t>
      </w:r>
      <w:r w:rsidRPr="00950DDA">
        <w:rPr>
          <w:rFonts w:ascii="inherit" w:hAnsi="inherit" w:cs="宋体"/>
          <w:color w:val="333333"/>
          <w:sz w:val="24"/>
          <w:szCs w:val="24"/>
          <w:bdr w:val="none" w:sz="0" w:space="0" w:color="auto" w:frame="1"/>
        </w:rPr>
        <w:t>”</w:t>
      </w:r>
      <w:r w:rsidRPr="00950DDA">
        <w:rPr>
          <w:rFonts w:ascii="inherit" w:hAnsi="inherit" w:cs="宋体"/>
          <w:color w:val="333333"/>
          <w:sz w:val="24"/>
          <w:szCs w:val="24"/>
          <w:bdr w:val="none" w:sz="0" w:space="0" w:color="auto" w:frame="1"/>
        </w:rPr>
        <w:t>、</w:t>
      </w:r>
      <w:r w:rsidRPr="00950DDA">
        <w:rPr>
          <w:rFonts w:ascii="inherit" w:hAnsi="inherit" w:cs="宋体"/>
          <w:color w:val="333333"/>
          <w:sz w:val="24"/>
          <w:szCs w:val="24"/>
          <w:bdr w:val="none" w:sz="0" w:space="0" w:color="auto" w:frame="1"/>
        </w:rPr>
        <w:t>“</w:t>
      </w:r>
      <w:r w:rsidRPr="00950DDA">
        <w:rPr>
          <w:rFonts w:ascii="inherit" w:hAnsi="inherit" w:cs="宋体"/>
          <w:color w:val="333333"/>
          <w:sz w:val="24"/>
          <w:szCs w:val="24"/>
          <w:bdr w:val="none" w:sz="0" w:space="0" w:color="auto" w:frame="1"/>
        </w:rPr>
        <w:t>以内</w:t>
      </w:r>
      <w:r w:rsidRPr="00950DDA">
        <w:rPr>
          <w:rFonts w:ascii="inherit" w:hAnsi="inherit" w:cs="宋体"/>
          <w:color w:val="333333"/>
          <w:sz w:val="24"/>
          <w:szCs w:val="24"/>
          <w:bdr w:val="none" w:sz="0" w:space="0" w:color="auto" w:frame="1"/>
        </w:rPr>
        <w:t>”</w:t>
      </w:r>
      <w:r w:rsidRPr="00950DDA">
        <w:rPr>
          <w:rFonts w:ascii="inherit" w:hAnsi="inherit" w:cs="宋体"/>
          <w:color w:val="333333"/>
          <w:sz w:val="24"/>
          <w:szCs w:val="24"/>
          <w:bdr w:val="none" w:sz="0" w:space="0" w:color="auto" w:frame="1"/>
        </w:rPr>
        <w:t>、</w:t>
      </w:r>
      <w:r w:rsidRPr="00950DDA">
        <w:rPr>
          <w:rFonts w:ascii="inherit" w:hAnsi="inherit" w:cs="宋体"/>
          <w:color w:val="333333"/>
          <w:sz w:val="24"/>
          <w:szCs w:val="24"/>
          <w:bdr w:val="none" w:sz="0" w:space="0" w:color="auto" w:frame="1"/>
        </w:rPr>
        <w:t>“</w:t>
      </w:r>
      <w:r w:rsidRPr="00950DDA">
        <w:rPr>
          <w:rFonts w:ascii="inherit" w:hAnsi="inherit" w:cs="宋体"/>
          <w:color w:val="333333"/>
          <w:sz w:val="24"/>
          <w:szCs w:val="24"/>
          <w:bdr w:val="none" w:sz="0" w:space="0" w:color="auto" w:frame="1"/>
        </w:rPr>
        <w:t>不少于</w:t>
      </w:r>
      <w:r w:rsidRPr="00950DDA">
        <w:rPr>
          <w:rFonts w:ascii="inherit" w:hAnsi="inherit" w:cs="宋体"/>
          <w:color w:val="333333"/>
          <w:sz w:val="24"/>
          <w:szCs w:val="24"/>
          <w:bdr w:val="none" w:sz="0" w:space="0" w:color="auto" w:frame="1"/>
        </w:rPr>
        <w:t>”</w:t>
      </w:r>
      <w:r w:rsidRPr="00950DDA">
        <w:rPr>
          <w:rFonts w:ascii="inherit" w:hAnsi="inherit" w:cs="宋体"/>
          <w:color w:val="333333"/>
          <w:sz w:val="24"/>
          <w:szCs w:val="24"/>
          <w:bdr w:val="none" w:sz="0" w:space="0" w:color="auto" w:frame="1"/>
        </w:rPr>
        <w:t>、</w:t>
      </w:r>
      <w:r w:rsidRPr="00950DDA">
        <w:rPr>
          <w:rFonts w:ascii="inherit" w:hAnsi="inherit" w:cs="宋体"/>
          <w:color w:val="333333"/>
          <w:sz w:val="24"/>
          <w:szCs w:val="24"/>
          <w:bdr w:val="none" w:sz="0" w:space="0" w:color="auto" w:frame="1"/>
        </w:rPr>
        <w:t>“</w:t>
      </w:r>
      <w:r w:rsidRPr="00950DDA">
        <w:rPr>
          <w:rFonts w:ascii="inherit" w:hAnsi="inherit" w:cs="宋体"/>
          <w:color w:val="333333"/>
          <w:sz w:val="24"/>
          <w:szCs w:val="24"/>
          <w:bdr w:val="none" w:sz="0" w:space="0" w:color="auto" w:frame="1"/>
        </w:rPr>
        <w:t>不超过</w:t>
      </w:r>
      <w:r w:rsidRPr="00950DDA">
        <w:rPr>
          <w:rFonts w:ascii="inherit" w:hAnsi="inherit" w:cs="宋体"/>
          <w:color w:val="333333"/>
          <w:sz w:val="24"/>
          <w:szCs w:val="24"/>
          <w:bdr w:val="none" w:sz="0" w:space="0" w:color="auto" w:frame="1"/>
        </w:rPr>
        <w:t>”</w:t>
      </w:r>
      <w:r w:rsidRPr="00950DDA">
        <w:rPr>
          <w:rFonts w:ascii="inherit" w:hAnsi="inherit" w:cs="宋体"/>
          <w:color w:val="333333"/>
          <w:sz w:val="24"/>
          <w:szCs w:val="24"/>
          <w:bdr w:val="none" w:sz="0" w:space="0" w:color="auto" w:frame="1"/>
        </w:rPr>
        <w:t>，包括本数；所称的</w:t>
      </w:r>
      <w:r w:rsidRPr="00950DDA">
        <w:rPr>
          <w:rFonts w:ascii="inherit" w:hAnsi="inherit" w:cs="宋体"/>
          <w:color w:val="333333"/>
          <w:sz w:val="24"/>
          <w:szCs w:val="24"/>
          <w:bdr w:val="none" w:sz="0" w:space="0" w:color="auto" w:frame="1"/>
        </w:rPr>
        <w:t>“</w:t>
      </w:r>
      <w:r w:rsidRPr="00950DDA">
        <w:rPr>
          <w:rFonts w:ascii="inherit" w:hAnsi="inherit" w:cs="宋体"/>
          <w:color w:val="333333"/>
          <w:sz w:val="24"/>
          <w:szCs w:val="24"/>
          <w:bdr w:val="none" w:sz="0" w:space="0" w:color="auto" w:frame="1"/>
        </w:rPr>
        <w:t>不足</w:t>
      </w:r>
      <w:r w:rsidRPr="00950DDA">
        <w:rPr>
          <w:rFonts w:ascii="inherit" w:hAnsi="inherit" w:cs="宋体"/>
          <w:color w:val="333333"/>
          <w:sz w:val="24"/>
          <w:szCs w:val="24"/>
          <w:bdr w:val="none" w:sz="0" w:space="0" w:color="auto" w:frame="1"/>
        </w:rPr>
        <w:t>”</w:t>
      </w:r>
      <w:r w:rsidRPr="00950DDA">
        <w:rPr>
          <w:rFonts w:ascii="inherit" w:hAnsi="inherit" w:cs="宋体"/>
          <w:color w:val="333333"/>
          <w:sz w:val="24"/>
          <w:szCs w:val="24"/>
          <w:bdr w:val="none" w:sz="0" w:space="0" w:color="auto" w:frame="1"/>
        </w:rPr>
        <w:t>、</w:t>
      </w:r>
      <w:r w:rsidRPr="00950DDA">
        <w:rPr>
          <w:rFonts w:ascii="inherit" w:hAnsi="inherit" w:cs="宋体"/>
          <w:color w:val="333333"/>
          <w:sz w:val="24"/>
          <w:szCs w:val="24"/>
          <w:bdr w:val="none" w:sz="0" w:space="0" w:color="auto" w:frame="1"/>
        </w:rPr>
        <w:t>“</w:t>
      </w:r>
      <w:r w:rsidRPr="00950DDA">
        <w:rPr>
          <w:rFonts w:ascii="inherit" w:hAnsi="inherit" w:cs="宋体"/>
          <w:color w:val="333333"/>
          <w:sz w:val="24"/>
          <w:szCs w:val="24"/>
          <w:bdr w:val="none" w:sz="0" w:space="0" w:color="auto" w:frame="1"/>
        </w:rPr>
        <w:t>低于</w:t>
      </w:r>
      <w:r w:rsidRPr="00950DDA">
        <w:rPr>
          <w:rFonts w:ascii="inherit" w:hAnsi="inherit" w:cs="宋体"/>
          <w:color w:val="333333"/>
          <w:sz w:val="24"/>
          <w:szCs w:val="24"/>
          <w:bdr w:val="none" w:sz="0" w:space="0" w:color="auto" w:frame="1"/>
        </w:rPr>
        <w:t>”</w:t>
      </w:r>
      <w:r w:rsidRPr="00950DDA">
        <w:rPr>
          <w:rFonts w:ascii="inherit" w:hAnsi="inherit" w:cs="宋体"/>
          <w:color w:val="333333"/>
          <w:sz w:val="24"/>
          <w:szCs w:val="24"/>
          <w:bdr w:val="none" w:sz="0" w:space="0" w:color="auto" w:frame="1"/>
        </w:rPr>
        <w:t>，不包括本数。</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560" w:lineRule="atLeast"/>
        <w:textAlignment w:val="baseline"/>
        <w:rPr>
          <w:rFonts w:ascii="inherit" w:hAnsi="inherit" w:cs="宋体"/>
          <w:color w:val="333333"/>
          <w:sz w:val="28"/>
          <w:szCs w:val="28"/>
        </w:rPr>
      </w:pPr>
      <w:r w:rsidRPr="00950DDA">
        <w:rPr>
          <w:rFonts w:ascii="inherit" w:hAnsi="inherit" w:cs="宋体"/>
          <w:color w:val="333333"/>
          <w:sz w:val="24"/>
          <w:szCs w:val="24"/>
        </w:rPr>
        <w:t xml:space="preserve">　　</w:t>
      </w:r>
      <w:r w:rsidRPr="00950DDA">
        <w:rPr>
          <w:rFonts w:ascii="inherit" w:hAnsi="inherit" w:cs="宋体"/>
          <w:color w:val="333333"/>
          <w:sz w:val="24"/>
          <w:szCs w:val="24"/>
          <w:bdr w:val="none" w:sz="0" w:space="0" w:color="auto" w:frame="1"/>
        </w:rPr>
        <w:t>第五十一条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各省、自治区、直辖市财政部门可以根据本办法制定具体实施办法。</w:t>
      </w:r>
      <w:r w:rsidRPr="00950DDA">
        <w:rPr>
          <w:rFonts w:ascii="inherit" w:hAnsi="inherit" w:cs="宋体"/>
          <w:color w:val="333333"/>
          <w:sz w:val="24"/>
          <w:szCs w:val="24"/>
        </w:rPr>
        <w:t> </w:t>
      </w:r>
    </w:p>
    <w:p w:rsidR="00950DDA" w:rsidRPr="00950DDA" w:rsidRDefault="00950DDA" w:rsidP="00950DDA">
      <w:pPr>
        <w:shd w:val="clear" w:color="auto" w:fill="FFFFFF"/>
        <w:adjustRightInd/>
        <w:snapToGrid/>
        <w:spacing w:after="0" w:line="450" w:lineRule="atLeast"/>
        <w:textAlignment w:val="baseline"/>
        <w:rPr>
          <w:rFonts w:ascii="微软雅黑" w:hAnsi="微软雅黑" w:cs="宋体"/>
          <w:color w:val="333333"/>
          <w:sz w:val="21"/>
          <w:szCs w:val="21"/>
        </w:rPr>
      </w:pPr>
      <w:r w:rsidRPr="00950DDA">
        <w:rPr>
          <w:rFonts w:ascii="inherit" w:hAnsi="inherit" w:cs="宋体"/>
          <w:color w:val="333333"/>
          <w:sz w:val="24"/>
          <w:szCs w:val="24"/>
          <w:bdr w:val="none" w:sz="0" w:space="0" w:color="auto" w:frame="1"/>
        </w:rPr>
        <w:t>     </w:t>
      </w:r>
      <w:r w:rsidRPr="00950DDA">
        <w:rPr>
          <w:rFonts w:ascii="inherit" w:hAnsi="inherit" w:cs="宋体"/>
          <w:color w:val="333333"/>
          <w:sz w:val="24"/>
          <w:szCs w:val="24"/>
          <w:bdr w:val="none" w:sz="0" w:space="0" w:color="auto" w:frame="1"/>
        </w:rPr>
        <w:t>第五十二条</w:t>
      </w:r>
      <w:r w:rsidRPr="00950DDA">
        <w:rPr>
          <w:rFonts w:ascii="inherit" w:hAnsi="inherit" w:cs="宋体"/>
          <w:b/>
          <w:bCs/>
          <w:color w:val="333333"/>
          <w:sz w:val="24"/>
          <w:szCs w:val="24"/>
          <w:bdr w:val="none" w:sz="0" w:space="0" w:color="auto" w:frame="1"/>
        </w:rPr>
        <w:t> </w:t>
      </w:r>
      <w:r w:rsidRPr="00950DDA">
        <w:rPr>
          <w:rFonts w:ascii="inherit" w:hAnsi="inherit" w:cs="宋体"/>
          <w:color w:val="333333"/>
          <w:sz w:val="24"/>
          <w:szCs w:val="24"/>
          <w:bdr w:val="none" w:sz="0" w:space="0" w:color="auto" w:frame="1"/>
        </w:rPr>
        <w:t>本办法自</w:t>
      </w:r>
      <w:r w:rsidRPr="00950DDA">
        <w:rPr>
          <w:rFonts w:ascii="宋体" w:eastAsia="宋体" w:hAnsi="宋体" w:cs="宋体"/>
          <w:color w:val="333333"/>
          <w:sz w:val="24"/>
          <w:szCs w:val="24"/>
          <w:bdr w:val="none" w:sz="0" w:space="0" w:color="auto" w:frame="1"/>
        </w:rPr>
        <w:t>2022</w:t>
      </w:r>
      <w:r w:rsidRPr="00950DDA">
        <w:rPr>
          <w:rFonts w:ascii="inherit" w:hAnsi="inherit" w:cs="宋体"/>
          <w:color w:val="333333"/>
          <w:sz w:val="24"/>
          <w:szCs w:val="24"/>
          <w:bdr w:val="none" w:sz="0" w:space="0" w:color="auto" w:frame="1"/>
        </w:rPr>
        <w:t>年</w:t>
      </w:r>
      <w:r w:rsidRPr="00950DDA">
        <w:rPr>
          <w:rFonts w:ascii="宋体" w:eastAsia="宋体" w:hAnsi="宋体" w:cs="宋体"/>
          <w:color w:val="333333"/>
          <w:sz w:val="24"/>
          <w:szCs w:val="24"/>
          <w:bdr w:val="none" w:sz="0" w:space="0" w:color="auto" w:frame="1"/>
        </w:rPr>
        <w:t>3</w:t>
      </w:r>
      <w:r w:rsidRPr="00950DDA">
        <w:rPr>
          <w:rFonts w:ascii="inherit" w:hAnsi="inherit" w:cs="宋体"/>
          <w:color w:val="333333"/>
          <w:sz w:val="24"/>
          <w:szCs w:val="24"/>
          <w:bdr w:val="none" w:sz="0" w:space="0" w:color="auto" w:frame="1"/>
        </w:rPr>
        <w:t>月</w:t>
      </w:r>
      <w:r w:rsidRPr="00950DDA">
        <w:rPr>
          <w:rFonts w:ascii="宋体" w:eastAsia="宋体" w:hAnsi="宋体" w:cs="宋体"/>
          <w:color w:val="333333"/>
          <w:sz w:val="24"/>
          <w:szCs w:val="24"/>
          <w:bdr w:val="none" w:sz="0" w:space="0" w:color="auto" w:frame="1"/>
        </w:rPr>
        <w:t>1</w:t>
      </w:r>
      <w:r w:rsidRPr="00950DDA">
        <w:rPr>
          <w:rFonts w:ascii="inherit" w:hAnsi="inherit" w:cs="宋体"/>
          <w:color w:val="333333"/>
          <w:sz w:val="24"/>
          <w:szCs w:val="24"/>
          <w:bdr w:val="none" w:sz="0" w:space="0" w:color="auto" w:frame="1"/>
        </w:rPr>
        <w:t>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950DDA"/>
    <w:rsid w:val="00AF7BC2"/>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950DDA"/>
    <w:pPr>
      <w:adjustRightInd/>
      <w:snapToGrid/>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link w:val="2Char"/>
    <w:uiPriority w:val="9"/>
    <w:qFormat/>
    <w:rsid w:val="00950DDA"/>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50DDA"/>
    <w:rPr>
      <w:rFonts w:ascii="宋体" w:eastAsia="宋体" w:hAnsi="宋体" w:cs="宋体"/>
      <w:b/>
      <w:bCs/>
      <w:kern w:val="36"/>
      <w:sz w:val="48"/>
      <w:szCs w:val="48"/>
    </w:rPr>
  </w:style>
  <w:style w:type="character" w:customStyle="1" w:styleId="2Char">
    <w:name w:val="标题 2 Char"/>
    <w:basedOn w:val="a0"/>
    <w:link w:val="2"/>
    <w:uiPriority w:val="9"/>
    <w:rsid w:val="00950DDA"/>
    <w:rPr>
      <w:rFonts w:ascii="宋体" w:eastAsia="宋体" w:hAnsi="宋体" w:cs="宋体"/>
      <w:b/>
      <w:bCs/>
      <w:sz w:val="36"/>
      <w:szCs w:val="36"/>
    </w:rPr>
  </w:style>
  <w:style w:type="paragraph" w:styleId="a3">
    <w:name w:val="Normal (Web)"/>
    <w:basedOn w:val="a"/>
    <w:uiPriority w:val="99"/>
    <w:semiHidden/>
    <w:unhideWhenUsed/>
    <w:rsid w:val="00950DDA"/>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35835289">
      <w:bodyDiv w:val="1"/>
      <w:marLeft w:val="0"/>
      <w:marRight w:val="0"/>
      <w:marTop w:val="0"/>
      <w:marBottom w:val="0"/>
      <w:divBdr>
        <w:top w:val="none" w:sz="0" w:space="0" w:color="auto"/>
        <w:left w:val="none" w:sz="0" w:space="0" w:color="auto"/>
        <w:bottom w:val="none" w:sz="0" w:space="0" w:color="auto"/>
        <w:right w:val="none" w:sz="0" w:space="0" w:color="auto"/>
      </w:divBdr>
      <w:divsChild>
        <w:div w:id="277682873">
          <w:marLeft w:val="0"/>
          <w:marRight w:val="0"/>
          <w:marTop w:val="0"/>
          <w:marBottom w:val="0"/>
          <w:divBdr>
            <w:top w:val="none" w:sz="0" w:space="0" w:color="auto"/>
            <w:left w:val="none" w:sz="0" w:space="0" w:color="auto"/>
            <w:bottom w:val="none" w:sz="0" w:space="0" w:color="auto"/>
            <w:right w:val="none" w:sz="0" w:space="0" w:color="auto"/>
          </w:divBdr>
        </w:div>
        <w:div w:id="1087115201">
          <w:marLeft w:val="0"/>
          <w:marRight w:val="0"/>
          <w:marTop w:val="100"/>
          <w:marBottom w:val="100"/>
          <w:divBdr>
            <w:top w:val="none" w:sz="0" w:space="0" w:color="auto"/>
            <w:left w:val="none" w:sz="0" w:space="0" w:color="auto"/>
            <w:bottom w:val="none" w:sz="0" w:space="0" w:color="auto"/>
            <w:right w:val="none" w:sz="0" w:space="0" w:color="auto"/>
          </w:divBdr>
        </w:div>
        <w:div w:id="791828293">
          <w:marLeft w:val="0"/>
          <w:marRight w:val="0"/>
          <w:marTop w:val="0"/>
          <w:marBottom w:val="0"/>
          <w:divBdr>
            <w:top w:val="none" w:sz="0" w:space="0" w:color="auto"/>
            <w:left w:val="none" w:sz="0" w:space="0" w:color="auto"/>
            <w:bottom w:val="none" w:sz="0" w:space="0" w:color="auto"/>
            <w:right w:val="none" w:sz="0" w:space="0" w:color="auto"/>
          </w:divBdr>
          <w:divsChild>
            <w:div w:id="1467119839">
              <w:marLeft w:val="0"/>
              <w:marRight w:val="0"/>
              <w:marTop w:val="0"/>
              <w:marBottom w:val="0"/>
              <w:divBdr>
                <w:top w:val="none" w:sz="0" w:space="0" w:color="auto"/>
                <w:left w:val="none" w:sz="0" w:space="0" w:color="auto"/>
                <w:bottom w:val="none" w:sz="0" w:space="0" w:color="auto"/>
                <w:right w:val="none" w:sz="0" w:space="0" w:color="auto"/>
              </w:divBdr>
              <w:divsChild>
                <w:div w:id="1643120716">
                  <w:marLeft w:val="0"/>
                  <w:marRight w:val="0"/>
                  <w:marTop w:val="0"/>
                  <w:marBottom w:val="0"/>
                  <w:divBdr>
                    <w:top w:val="none" w:sz="0" w:space="0" w:color="auto"/>
                    <w:left w:val="none" w:sz="0" w:space="0" w:color="auto"/>
                    <w:bottom w:val="none" w:sz="0" w:space="0" w:color="auto"/>
                    <w:right w:val="none" w:sz="0" w:space="0" w:color="auto"/>
                  </w:divBdr>
                  <w:divsChild>
                    <w:div w:id="1455978387">
                      <w:marLeft w:val="0"/>
                      <w:marRight w:val="0"/>
                      <w:marTop w:val="0"/>
                      <w:marBottom w:val="0"/>
                      <w:divBdr>
                        <w:top w:val="none" w:sz="0" w:space="0" w:color="auto"/>
                        <w:left w:val="none" w:sz="0" w:space="0" w:color="auto"/>
                        <w:bottom w:val="none" w:sz="0" w:space="0" w:color="auto"/>
                        <w:right w:val="none" w:sz="0" w:space="0" w:color="auto"/>
                      </w:divBdr>
                      <w:divsChild>
                        <w:div w:id="1001928076">
                          <w:marLeft w:val="0"/>
                          <w:marRight w:val="0"/>
                          <w:marTop w:val="0"/>
                          <w:marBottom w:val="0"/>
                          <w:divBdr>
                            <w:top w:val="none" w:sz="0" w:space="0" w:color="auto"/>
                            <w:left w:val="none" w:sz="0" w:space="0" w:color="auto"/>
                            <w:bottom w:val="none" w:sz="0" w:space="0" w:color="auto"/>
                            <w:right w:val="none" w:sz="0" w:space="0" w:color="auto"/>
                          </w:divBdr>
                          <w:divsChild>
                            <w:div w:id="21286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1390</Words>
  <Characters>7926</Characters>
  <Application>Microsoft Office Word</Application>
  <DocSecurity>0</DocSecurity>
  <Lines>66</Lines>
  <Paragraphs>18</Paragraphs>
  <ScaleCrop>false</ScaleCrop>
  <Company/>
  <LinksUpToDate>false</LinksUpToDate>
  <CharactersWithSpaces>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2022-06-24T07:31:00Z</dcterms:modified>
</cp:coreProperties>
</file>