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江阴市政务服务中心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（一）贯彻执行国家和省市有关政务服务的法律法规和相关政策，组织实施政务服务相关管理制度。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（二）负责市政务服务大厅日常管理工作，负责进驻部门（窗口）及工作人员的政务服务行为的规范、管理、监督和考核。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（三）承担市场准入和投资建设等领域集中审批相关技术服务。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（四）协助承担省政务服务平台的对接，政务服务、“互联网+监管”相关系统的开发、维护工作。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（五）负责市行政审批局及所属单位、进驻部门（单位）网络和计算机、自助终端的技术维护和管理。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（六）负责进驻部门（窗口）权力事项、公共服务事项清单的动态管理和标准化工作，落实好政务服务便利化工作。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（七）协助承担全市政务服务体系建设、协调和指导镇街园区政务服务工作。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（八）负责组织相关技术交流、业务知识培训。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（十）完成市行政审批局交办的其他任务。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综合保障科、政务协调科、督查科、技术服务一科、技术服务二科、技术服务三科、政务数据科、运维保障科、应用开发科、基层指导科和档案管理科。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政务服务质效力争有大提升。深化大厅“双争一创”优质服务提升年建设，从服务人员、服务环境、服务制度、服务方式、服务程序、服务评价与改进等六个方面着手打造形象优、质量高的政务服务大厅。持续推进窗口作风效能建设，研究调整新形势下大厅考核机制，开展多项活动增强各部门融合度。配合做好市级政务大厅综窗改革，在“一网通办”较好实现的基础上，按照无差别、分领域、有主题等模式，进一步分类、归并和整合窗口，加快推进“一窗”分类办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政务服务形象力争有大改变。全面开展窗口管理和服务相关制度学习、实践，加强制度落实的督查。全面推行窗口“文明服务六步法”，结合仪表形象规范提升，全面提升政务服务精气神。加强大厅日常督查，坚持周通报制度。建立大厅管理负面清单，从窗口日常行为、服务、仪表、用语、卫生、安全6大方面列出“红线”，明确哪些是窗口明令禁止的行为，并实打实应用好负面清单。做好“12345”举报投诉问题的梳理整理及原因分析，以问题为导向帮助涉诉窗口加强整改，从源头上减少举报投诉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政务保障能力力争有大提高。优化美化大厅办事环境，提升大厅资金配置效率和统筹保障能力，维护大厅运行保障。按照文明典范城市创建要求，常态化做好建迎检工作，确保不失分。保障好综窗改革、食堂维修、大楼墙面裂缝等局部维修改造工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数字化建设力争有新高度。持续优化营商环境，以“一网、一窗、一件事”改革为突破，推动更多政务服务事项“掌上办”、“指尖办”。一是探索“智慧办”模式。依托“一网通办”平台，推行“免证办”服务，实现资金、补贴、服务等相关惠企利民政策“免申即享”，推出100个事项材料“两个免于提交”和10个数字化场景应用。二是完善“全周期”平台。持续深化“一件事”改革，广泛应用RPA、OCR、AI人工智能等技术手段，不断充实个人、企业全生命周期“一件事”服务内涵；聚焦用户侧需求，优化项目全生命周期平台，实现平台页面直观全面、平台操作简单易上手。三是打造“数字化”大厅。聚焦企业群众办事需求，在大厅设置电子引导、信息发布、信息查询、自助申报、取证打印等智能设备。持续深入推进电子证照、可信身份认证等数字化成果在窗口端的互通互认、推广应用，通过线上线下融合发力，持续优化大厅服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江阴市政务服务中心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江阴市政务服务中心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944.59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598.64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117.04</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228.91</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944.59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944.59</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944.59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944.59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944.59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944.59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944.59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江阴市政务服务中心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944.59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944.59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944.59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872.59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江阴市政务服务中心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944.59</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598.64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117.04</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228.91</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944.59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872.59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842.52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598.64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598.64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526.64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70.35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江阴市政务服务中心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872.59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944.59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872.59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842.52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598.64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526.64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872.59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842.52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172.19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0.56</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江阴市政务服务中心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江阴市政务服务中心2023年度收入、支出预算总计944.59万元，与上年相比收、支预算总计各减少342.38万元，减少26.6%。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（一）收入预算总计944.59万元。包括：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1．本年收入合计944.59万元。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（1）一般公共预算拨款收入944.59万元，与上年相比减少342.38万元，减少26.6%。主要原因是人员减少及专项经费减少。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（二）支出预算总计944.59万元。包括：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1．本年支出合计944.59万元。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（1）一般公共服务支出（类）支出598.64万元，主要用于人员工资等支出、公用经费及大厅专项经费。与上年相比减少321.43万元，减少34.94%。主要原因是人员减少及专项经费减少。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（2）社会保障和就业支出（类）支出117.04万元，主要用于养老保险、职业年金和社保。与上年相比减少1.49万元，减少1.26%。主要原因是人员减少。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（3）住房保障支出（类）支出228.91万元，主要用于公积金、提租补贴和购房补贴。与上年相比减少19.46万元，减少7.84%。主要原因是人员减少。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江阴市政务服务中心2023年收入预算合计944.59万元，包括本年收入944.59万元，上年结转结余0万元。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本年一般公共预算收入944.59万元，占100%；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江阴市政务服务中心2023年支出预算合计944.59万元，其中：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基本支出872.59万元，占92.38%；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项目支出72万元，占7.62%；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江阴市政务服务中心2023年度财政拨款收、支总预算944.59万元。与上年相比，财政拨款收、支总计各减少342.38万元，减少26.6%。主要原因是人员减少及专项经费减少。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江阴市政务服务中心2023年财政拨款预算支出944.59万元，占本年支出合计的100%。与上年相比，财政拨款支出减少342.38万元，减少26.6%。主要原因是人员减少及专项经费减少。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1.政府办公厅（室）及相关机构事务（款）机关服务（项）支出526.64万元，与上年相比减少298.43万元，减少36.17%。主要原因是人员减少。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2.政府办公厅（室）及相关机构事务（款）其他政府办公厅（室）及相关机构事务支出（项）支出72万元，与上年相比减少23万元，减少24.21%。主要原因是大厅专项经费减少。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1.行政事业单位养老支出（款）机关事业单位基本养老保险缴费支出（项）支出59.43万元，与上年相比减少0.21万元，减少0.35%。主要原因是人员减少。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2.行政事业单位养老支出（款）机关事业单位职业年金缴费支出（项）支出29.72万元，与上年相比减少0.1万元，减少0.34%。主要原因是人员减少。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3.其他社会保障和就业支出（款）其他社会保障和就业支出（项）支出27.89万元，与上年相比减少1.18万元，减少4.06%。主要原因是人员减少。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1.住房改革支出（款）住房公积金（项）支出70.35万元，与上年相比减少7.14万元，减少9.21%。主要原因是人员减少。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2.住房改革支出（款）提租补贴（项）支出46.81万元，与上年相比减少8.8万元，减少15.82%。主要原因是人员减少。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3.住房改革支出（款）购房补贴（项）支出111.75万元，与上年相比减少3.52万元，减少3.05%。主要原因是人员减少。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江阴市政务服务中心2023年度财政拨款基本支出预算872.59万元，其中：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842.52万元。主要包括：基本工资、津贴补贴、奖金、伙食补助费、绩效工资、机关事业单位基本养老保险缴费、职业年金缴费、职工基本医疗保险缴费、其他社会保障缴费、住房公积金、医疗费、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（二）公用经费30.07万元。主要包括：办公费、印刷费、差旅费、会议费、培训费、公务接待费、工会经费、公务用车运行维护费、其他商品和服务支出、其他资本性支出。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江阴市政务服务中心2023年一般公共预算财政拨款支出预算944.59万元，与上年相比减少342.38万元，减少26.6%。主要原因是人员减少及专项经费减少。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江阴市政务服务中心2023年度一般公共预算财政拨款基本支出预算872.59万元，其中：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842.52万元。主要包括：基本工资、津贴补贴、奖金、伙食补助费、绩效工资、机关事业单位基本养老保险缴费、职业年金缴费、职工基本医疗保险缴费、其他社会保障缴费、住房公积金、医疗费、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（二）公用经费30.07万元。主要包括：办公费、印刷费、差旅费、会议费、培训费、公务接待费、工会经费、公务用车运行维护费、其他商品和服务支出、其他资本性支出。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一般公共预算拨款安排的“三公”经费预算支出中，因公出国（境）费支出0万元，占“三公”经费的0%；公务用车购置及运行维护费支出2.7万元，占“三公”经费的72%；公务接待费支出1.05万元，占“三公”经费的28%。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3．公务接待费预算支出1.05万元，比上年预算减少0.45万元，主要原因是根据实际情况接待。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江阴市政务服务中心2023年度一般公共预算拨款安排的会议费预算支出0.56万元，比上年预算减少0.24万元，主要原因是根据实际情况安排会议。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江阴市政务服务中心2023年度一般公共预算拨款安排的培训费预算支出1.4万元，比上年预算减少0.6万元，主要原因是根据实际情况组织培训。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江阴市政务服务中心2023年国有资本经营预算支出0万元。与上年预算数相同。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2023年度，本单位整体支出纳入绩效目标管理，涉及财政性资金944.59万元；本单位共1个项目纳入绩效目标管理，涉及财政性资金合计72万元，占财政性资金(基本支出除外)总额的比例为100%。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江阴市政务服务中心</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