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2021年度江阴市商务局部门决算公开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部门</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2021</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2021年度</w:t>
      </w:r>
      <w:r>
        <w:rPr>
          <w:rFonts w:ascii="黑体" w:hAnsi="黑体" w:cs="黑体" w:eastAsia="黑体"/>
        </w:rPr>
        <w:t>部门</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 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2021年度</w:t>
      </w:r>
      <w:r>
        <w:rPr>
          <w:rFonts w:ascii="黑体" w:hAnsi="黑体" w:cs="黑体" w:eastAsia="黑体"/>
        </w:rPr>
        <w:t>部门</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部门</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（1）贯彻、执行国家、省、市有关服务业、商贸、对外贸易、国际经济投资与合作的法律法规和具体政策，拟订相关地方规范性文件并组织实施。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拟订全市商贸发展战略和中长期发展规划，编制年度目标和工作计划，提出政策建议和调控措施并组织实施；参与拟订全市服务业发展战略和中长期发展规划；调控和监测全市商贸运行状况，发布市场信息；研究经济全球化以及现代商贸发展方向，实施全市商贸市场体系、大宗产品批发市场和城市商业网点规划建设，指导城乡商贸服务业发展和社区商贸服务业规划建设，推进农村市场体系和现代流通网络工程建设；研究现代流通发展方向，推动流通标准化和连锁经营、物流配送等现代流通方式的发展，拟订电子商务发展的标准、政策、规则，并做好相应推进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承担消费品市场调控和重要生产资料流通管理，调查分析商品价格信息，进行市场预测预警和信息引导；负责建立健全生活必需品市场供应应急管理体制机制，按分工负责重要消费品储备管理和市场调控工作；牵头协调整顿和规范市场经济秩序，拟订规范市场运行、流通秩序的相关政策措施，牵头商贸行政综合执法，推动商贸领域信用建设；加强商业特许经营许可管理，按有关规定对成品油流通进行监督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负责全市进出口贸易管理，拟订促进外贸增长方式转变的政策措施，编制年度进出口目标和工作计划；负责协调、管理进出口许可证申请报批；管理加工贸易；联络协调涉外部门解决外贸出口中的有关问题；推广电子商务；负责国际市场开拓，组织参加国际、国内重要进出口贸易交易会、展销会。推进全市外贸企业国际标准的贯彻和创国际品牌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按照国家对外技术贸易政策，推进技术贸易发展地方规划及其政策的制定，负责技术进出口项目的转报，承担技术进出口市场开拓与协调管理工作落实技术和成套设备进出口政策，依法监督全市技术引进、设备进口、国家限制出口技术的工作；按照分工开展国际商务领域知识产权保护工作，探索和研究服务贸易领域对外开放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承担机电产品进口管理，按照国家机电产品进出口管理的方针政策和法规，拟订全市机电产品进出口规划和年度计划，拟订机电产品出口的地方规范性文件；负责机电产品进口国际招标，经营者备案登记工作，推进重要机电产品出口基地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负责公平贸易工作，承担协调全市反倾销、反补贴、保障措施的应对事务；建立公平贸易预警机制，组织产业损害调查，指导协调产业安全应对工作，参与开展反垄断调查，承办有关行政复议和行政应诉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负责指导、协调、管理全市利用外资工作，拟订和执行我市利用外资的地方规范性文件，参与拟订全市外商投资的发展战略和中长期规划；协同编制我市招商引资宣传资料，负责外商直接投资项目的审批或报批；审核、上报国家规定的限额以上、限制投资和涉及配额、许可证管理的外商投资企业的设立；审核外商投资项目的合同、章程及其变更；监督检查外商投资企业执行有关法律法规和合同、章程的情况，并协调解决有关问题；负责市利用外资管理委员会日常工作；指导和规范对外招商引资活动，指导投资促进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牵头拟订全市服务外包产业发展规划、措施及相关政策建议；跟踪全球服务外包产业发展信息，加强与国家商务部、省商务厅、无锡市及国内外相关组织的联系联络工作，推进服务外包示范区和集聚园区建设；协调组织服务外包产业重大招商活动，推动服务外包产业重点项目的落实；协调服务外包人才培训和协作机制推进；协助服务外包企业资格认定、考核奖励和国际认证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（9）协调、指导、服务全市各类开发区、特色产业园区建设发展工作；组织、指导、协调全市开发区的招商引资、项目推进和园区建设；负责开发区的统计分析。</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10）指导、监督和管理全市对外投资和经济合作业务；核准、报批企业在境外投资开办企业和机构（金融企业除外）；核准对外承包工程企业经营资质，初审对外劳务合作、境外就业经营资质；负责对外承包工程、劳务合作、境外就业项目审查和外派劳务招收备案；承担对外援助和接受国际援助项目的归口管理；推进对外经济合作的促进和服务体系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（11）负责全市商务团组出国（境）审核；管理全市海外经贸网络；负责局驻海外经贸代表机构队伍建设、人员选派和管理；指导全市商贸队伍加强业务建设。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（12）协调商检、海关、质检、银行、外汇、出口信用保险与商务工作有关的事项；指导有关协会、商会、学会的工作。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（13）承办市政府交办的其他事项。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部门</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r>
        <w:rPr>
          <w:rFonts w:hint="eastAsia" w:ascii="仿宋" w:hAnsi="仿宋" w:eastAsia="仿宋" w:cs="仿宋"/>
          <w:lang w:val="en-US" w:eastAsia="zh-CN"/>
        </w:rPr>
        <w:t>1.</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办公室、外国投资科、对外贸易科、外经合作科，口岸管理科、贸易市场科、电子商务科、安全生产监督管理科、组织人事科、财务管理科。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本部门下属单位包括:江阴市服务业发展中心、江阴市商贸管理办公室、江阴市投资促进中心。</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从决算单位构成看，纳入本</w:t>
      </w:r>
      <w:r>
        <w:rPr>
          <w:rFonts w:hint="eastAsia" w:ascii="仿宋" w:hAnsi="仿宋" w:eastAsia="仿宋" w:cs="仿宋"/>
          <w:lang w:val="en-US" w:eastAsia="zh-CN"/>
        </w:rPr>
        <w:t>部门</w:t>
      </w:r>
      <w:r>
        <w:rPr>
          <w:rFonts w:hint="eastAsia" w:ascii="仿宋" w:hAnsi="仿宋" w:eastAsia="仿宋" w:cs="仿宋"/>
          <w:lang w:eastAsia="zh-CN"/>
        </w:rPr>
        <w:t>2021</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汇总决算编制范围的预算单位共计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4</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江阴市商务局本级、江阴市服务业发展中心、江阴市商贸管理办公室、江阴市投资促进中心。</w:t>
      </w:r>
      <w:r>
        <w:rPr>
          <w:rFonts w:ascii="仿宋" w:hAnsi="仿宋" w:cs="仿宋" w:eastAsia="仿宋"/>
        </w:rPr>
        <w:t/>
      </w:r>
      <w:r>
        <w:rPr>
          <w:rFonts w:ascii="仿宋" w:hAnsi="仿宋" w:cs="仿宋" w:eastAsia="仿宋"/>
        </w:rPr>
        <w:t/>
      </w:r>
      <w:r>
        <w:rPr>
          <w:rFonts w:hint="eastAsia" w:ascii="仿宋" w:hAnsi="仿宋" w:eastAsia="仿宋" w:cs="仿宋"/>
          <w:lang w:val="en-US" w:eastAsia="zh-CN"/>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2021</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（一）坚持破立并举，践行招商引资“新理念”</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深化改革优机制。组建市产业发展中心有限公司，推动投资促进中心实体运行。在北上深国内重点城市和日韩德以境外重点地区设立招商驻点，立足长三角一体化、锡澄一体化，以国际化理念和国际化标准来开展项目招引。搭建市级招商信息平台，实现项目全周期规范化管理。先后在京沪深组织4场较大规模推介活动，成功举办“2021江阴经贸洽谈会”，全面展示江阴形象，一大批新兴产业项目完成签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产业布局优能级。引进创新发展基金，签约设立总规模50亿元霞客新兴产业发展基金，借助专业智囊团队，专注引入集成电路、生物医药、新能源、高端装备等领域优质项目，推动落户霞客湾科学城、绮山湖科创谷。加快“345”现代产业布局，全年签约项目299个，总投资2175.53亿元，其中“45”产业项目226个，50亿以上项目12个，超百亿项目2个。</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资源统筹优要素。依托市招商护商领导工作小组，统筹招商引资和项目推进涉及的各类要素，梳理全市“十三五”期间用地产业项目进行，摸排全市城镇开发边界内可用地块资源，开展产业项目全流程全要素靶向调研。起草《江阴市工业园区升级改造招商项目扶持办法》《关于项目异地落户利益共享的实施意见》《2021江阴市招商引资专项考核办法》，引导镇街园区有针对性地开展重大项目招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（二）聚焦主责主业，拓展开发开放“新格局”</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利用外资渠道拓宽。启动中日、中韩“服贸通”数据专线建设，紧盯中芯长电、前晨汽车、双良国际贸易等重大外资项目，深入走访调研，主动服务协调，鼓励外资企业以利润再投资、进口设备出资、债转股等方式增资扩股。开展外资企业年报“双随机、一公开”检查，落实外商投资信息报告制度。对重大项目“一事一议”，信息资源共享，同步申报审批，加快办理进程，推动外资到账。完成上报实际使用外资9.71亿美元，全市累计新批外商投资项目91个，同比增加26个。新批协议注册外资超3000万美元以上重大外资项目21个、投资总额超亿美元项目11个，同比分别增加8个、3个。世界500强企业华润集团、国药集团、中化集团在澄新设3个外资企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对外贸易持续复苏。兑付各级外贸稳增长扶持资金898个项目共8118.68万元，出口信用保险统保覆盖152家中小外贸企业，承保保额13.22亿美元，组织企业参加广交会、进博会等各类专业展会，1家企业获评广交会出口产品设计奖“CF奖银奖”。29个品牌获评“2021—2022年度无锡市重点培育和发展的国际知名品牌”，2家企业获评省服务贸易重点企业。新兴市场出口增势良好，对东盟、印度、“一带一路”沿线国家出口增幅均远高于无锡平均增幅。全年完成进出口总额233.2亿美元，增长21.9%。</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外经合作活力充沛。健全境外风险防控机制，举办中国企业“走出去”风险发布会暨江阴企业“走出去”政策宣介会，指导企业建立境外安全生产管理制度和应急预案，提升企业境外风险防范能力。密切关注东道国当地疫情发展情况，全面开展境外企业新冠疫情调查，落实属地责任，严格执行疫情“零报告”制度，做好疫情期间在外人员信息管理工作。贝德集团投资800万美元在老挝建厂，鑫宝利金属制品成功并购英国宝力金属公司，名华模塑墨西哥项目增资6000万美元，海澜之家增资马来西亚、新加坡、泰国、越南项目超1903万美元，远景AESC计划在英国和法国投资建设新的电池工厂。全市备案境外投资项目28个，完成对外直接投资7.36亿美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（三）畅通内外循环，培育产业转型“新动能”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服务业稳中再提质。强化政策措施，深化“两业”融合，支持服务业做大做强、攀高攀优，长三角钢铁、金桥化工、大经供应链等10家企业入围中国服务业企业500强；华宏科技、法尔胜、双良节能3家企业，高新区特钢新材料产业集群和临港经济开发区获评2021年无锡市先进制造业和现代服务业深度融合试点单位。南理工工业互联网研究院建成投运，并被列入2021年省重大项目，海华嘉豪物流被评为4A级物流企业。海澜智云、博丞康养、秋毫检测3家企业获得384万元省级现代服务业扶持资金。全年完成服务业投入501.8亿元（位列无锡第1），同比增长10.4%。</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促消费潜能再释放。启动2021“吃吃白相相”江阴消费季，围绕“探春、品夏、觅秋、暖冬”四大主题，开展线上线下促销活动，释放消费潜力。积极响应2021无锡太湖（金秋）购物节，专门设立“教我如何不想她”展示馆充分展现江阴城市魅力，打造特色消费圈，助力无锡创建国际消费中心城市。举办“2021江阴外贸产品直销节”，近30家本土家企业百种商品参与直销活动，实现销售额超200万元。积极推动消费扶贫，设立江阴万舜云商延川和大美新疆特产食品店霍城2个对口扶贫站点，助力延川、霍城等对口援建。全年完成社会消费品零售总额704.84亿元，同比增长4.4%。</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新业态风好再扬帆。组织12家企业参加中国国际电子商务博览会，并首次设立江阴馆，国家电子商务进农村综合示范项目建设顺利通过商务厅绩效评价，江阴电商进农村综合示范工作在全省作经验交流。跨境电商“三区一仓”载体功能进一步提升，别样海外购、大龙网、辉采等多家重点跨境头部企业注册落地，澄江跨境产业园获评“2021-2022年度江苏省电子商务示范基地（园区）”，江阴综保区跨境电商产业园、澄江跨境产业园、云蝠跨境电商产业园3家被认定为省级跨境电子商务产业园。海澜之家、传澄电子2家企业获评省级数字商务企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（四）扛起责任担当，打造服务民生“新地标”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狠抓疫情防控不松劲。按照“外防输入，内防反弹”要求，建立常态化防控机制，组织对全市174家重点商业场所开展检查督查，确保防控措施有效落实。制定保供应急预案，保障生活必需品等物资稳定供应。组建口岸涉外疫情防控工作专班，贯彻落实各级关于口岸涉外疫情防控要求，对22家开放码头企业开展全覆盖检查，对靠泊的外轮实行“一企一策”“一船一档”。规范进口非冷链集装箱消杀，坚持“管得住、放得开”两手抓，科学规范防控流程，成功处置多起外籍轮船靠岸问题。</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保障安全生产不动摇。牵头成立商业场所安全专委会，制定印发《商业场所安全专业委员会工作规则》《市商务领域安全生产工作要点》，定期召开专委会成员会议。严格落实“党政同责，一岗双责”，深入开展安全“五进”“百团进百万企业千万员工”等各类宣传活动，落实重点商业场所常态化联合检查，累计排查整改餐饮燃气隐患2256个。积极推进成品油市场综合整治，牵头相关部门查处各类案件161起。深度参与江苏省安全发展示范城市创建和全国文明典范城市创建，全力保障创建工作圆满完成。</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服务口岸通关不懈怠。组织口岸查验单位、电子口岸公司赴广州海关学习交流，学习借鉴先进经验做法，优化口岸通关流程和作业方式，提升口岸系统化服务效能。联合物流码头继续临时启用对外开放，全力支持稳外资稳外贸。5号码头二期3号泊位和兴澄储运码头2号泊位顺利完成省级开放验收，全市口岸开放泊位增至42个，其中万吨级泊位40个。</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（五）全面从严治党，彰显商务队伍“新形象”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旗帜鲜明讲政治。坚持把学习贯彻习近平新时代中国特色社会主义思想作为首要政治任务，学原文、读原著、悟原理，重点抓好习近平视察江苏时的重要讲话精神、省市委全会精神、宪法等法律和权威读本的学习，及时学习领会最新指示要求，不断提高政治觉悟和政治能力，以对新思想新论断的深刻领悟统领指导商务工作。全面加强对意识形态工作的领导、引导和管理，落实网络意识形态工作责任制，及时更新、丰富“江阴商务”公众号政策信息，根据受众需求增加相关模块功能，发挥好宣传主阵地作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固本强基建堡垒。推动组建江阴口岸党建联盟，政府机关、口岸单位、代理公司、开放码头等口岸系统各类成员20家单位成功签约，同步发布“星火接力争做党史领学人”项目，引导广大党员干部当先锋作表率，围绕“六联六共”开启党建崭新篇章。依托“无锡先锋”党建平台，每月落实主题党日，通过理论中心组示范带动学、红色基因传承实践学、“三会一课”融会贯通学，不断强化党员党性意识。注重将党史学习教育与实际工作深度结合，深入走访调研，准确把握需求，开展“我为企业解难题”活动，排出“我为群众办实事”项目，切实解决企业痛点难点，把党史学习成效升华成为民服务、为民解忧的生动实践。</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严管厚爱促担当。贯彻执行民主集中制，对于重要事项决策、干部任用、大额资金使用，严格按照党委议事规则，实行集体决策、末位表态。认真抓好巡察问题整改落实，制定下发《市委第四巡察组巡察市商务局党委反馈意见整改工作方案》，对巡察反馈存在的3方面10大类27个具体问题，细化制定79条整改措施，明确整改完成时限，逐一对账销号。切实履行“一岗双责”，组织开展“510”廉政教育活动，通过参观廉政基地、开展廉政谈话、听取廉政讲座，提高警示教育的针对性和实效性，廉政视频《抉择》和廉政照片《廉政进商场》获“江上清风”影像创作大赛优秀奖作品。</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江阴市商务局</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2021</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部门</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784"/>
        <w:gridCol w:w="1461"/>
        <w:gridCol w:w="2035"/>
        <w:gridCol w:w="1709"/>
        <w:gridCol w:w="1458"/>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784" w:type="dxa"/>
          </w:tcPr>
          <w:p>
            <w:pPr>
              <w:widowControl w:val="0"/>
              <w:ind w:left="0" w:right="0" w:firstLine="0"/>
              <w:jc w:val="left"/>
              <w:textAlignment w:val="auto"/>
              <w:rPr>
                <w:rFonts w:hint="eastAsia" w:ascii="仿宋" w:hAnsi="仿宋" w:eastAsia="仿宋" w:cs="仿宋"/>
                <w:color w:val="000000"/>
                <w:sz w:val="20"/>
              </w:rPr>
            </w:pPr>
          </w:p>
        </w:tc>
        <w:tc>
          <w:tcPr>
            <w:tcW w:w="1461"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color w:val="000000"/>
                <w:sz w:val="22"/>
                <w:szCs w:val="22"/>
                <w:lang w:eastAsia="ar-SA"/>
              </w:rPr>
              <w:t>江阴市商务局</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21,207.06</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5,115.15</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330.34</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289.30</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2.50</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1,645.09</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603.00</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14,115.16</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703.26</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15.60</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21,537.40</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22,489.06</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11,331.91</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10,380.25</w:t>
            </w:r>
          </w:p>
        </w:tc>
      </w:tr>
      <w:tr>
        <w:tblPrEx>
          <w:tblCellMar>
            <w:top w:w="0" w:type="dxa"/>
            <w:left w:w="108" w:type="dxa"/>
            <w:bottom w:w="0" w:type="dxa"/>
            <w:right w:w="108" w:type="dxa"/>
          </w:tblCellMar>
        </w:tblPrEx>
        <w:trPr>
          <w:trHeight w:val="383" w:hRule="atLeast"/>
          <w:jc w:val="center"/>
        </w:trPr>
        <w:tc>
          <w:tcPr>
            <w:tcW w:w="3784"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61"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744"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5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32,869.31</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32,869.31</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39" w:type="dxa"/>
        <w:jc w:val="center"/>
        <w:tblLayout w:type="fixed"/>
        <w:tblCellMar>
          <w:top w:w="0" w:type="dxa"/>
          <w:left w:w="108" w:type="dxa"/>
          <w:bottom w:w="0" w:type="dxa"/>
          <w:right w:w="108" w:type="dxa"/>
        </w:tblCellMar>
      </w:tblPr>
      <w:tblGrid>
        <w:gridCol w:w="1115"/>
        <w:gridCol w:w="2925"/>
        <w:gridCol w:w="1592"/>
        <w:gridCol w:w="1604"/>
        <w:gridCol w:w="1565"/>
        <w:gridCol w:w="1396"/>
        <w:gridCol w:w="1578"/>
        <w:gridCol w:w="1174"/>
        <w:gridCol w:w="1277"/>
        <w:gridCol w:w="1213"/>
      </w:tblGrid>
      <w:tr>
        <w:tblPrEx>
          <w:tblCellMar>
            <w:top w:w="0" w:type="dxa"/>
            <w:left w:w="108" w:type="dxa"/>
            <w:bottom w:w="0" w:type="dxa"/>
            <w:right w:w="108" w:type="dxa"/>
          </w:tblCellMar>
        </w:tblPrEx>
        <w:trPr>
          <w:trHeight w:val="627" w:hRule="atLeast"/>
          <w:jc w:val="center"/>
        </w:trPr>
        <w:tc>
          <w:tcPr>
            <w:tcW w:w="15439"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314" w:hRule="atLeast"/>
          <w:jc w:val="center"/>
        </w:trPr>
        <w:tc>
          <w:tcPr>
            <w:tcW w:w="4040" w:type="dxa"/>
            <w:gridSpan w:val="2"/>
            <w:vAlign w:val="center"/>
          </w:tcPr>
          <w:p>
            <w:pPr>
              <w:pStyle w:val="22"/>
              <w:widowControl w:val="0"/>
              <w:jc w:val="center"/>
              <w:rPr>
                <w:rFonts w:hint="eastAsia" w:ascii="仿宋" w:hAnsi="仿宋" w:eastAsia="仿宋" w:cs="仿宋"/>
              </w:rPr>
            </w:pPr>
          </w:p>
        </w:tc>
        <w:tc>
          <w:tcPr>
            <w:tcW w:w="1592" w:type="dxa"/>
            <w:vAlign w:val="center"/>
          </w:tcPr>
          <w:p>
            <w:pPr>
              <w:pStyle w:val="22"/>
              <w:widowControl w:val="0"/>
              <w:jc w:val="center"/>
              <w:rPr>
                <w:rFonts w:hint="eastAsia" w:ascii="仿宋" w:hAnsi="仿宋" w:eastAsia="仿宋" w:cs="仿宋"/>
              </w:rPr>
            </w:pPr>
          </w:p>
        </w:tc>
        <w:tc>
          <w:tcPr>
            <w:tcW w:w="1604" w:type="dxa"/>
            <w:vAlign w:val="center"/>
          </w:tcPr>
          <w:p>
            <w:pPr>
              <w:pStyle w:val="22"/>
              <w:widowControl w:val="0"/>
              <w:jc w:val="center"/>
              <w:rPr>
                <w:rFonts w:hint="eastAsia" w:ascii="仿宋" w:hAnsi="仿宋" w:eastAsia="仿宋" w:cs="仿宋"/>
              </w:rPr>
            </w:pPr>
          </w:p>
        </w:tc>
        <w:tc>
          <w:tcPr>
            <w:tcW w:w="1565" w:type="dxa"/>
            <w:vAlign w:val="center"/>
          </w:tcPr>
          <w:p>
            <w:pPr>
              <w:pStyle w:val="22"/>
              <w:widowControl w:val="0"/>
              <w:jc w:val="center"/>
              <w:rPr>
                <w:rFonts w:hint="eastAsia" w:ascii="仿宋" w:hAnsi="仿宋" w:eastAsia="仿宋" w:cs="仿宋"/>
              </w:rPr>
            </w:pPr>
          </w:p>
        </w:tc>
        <w:tc>
          <w:tcPr>
            <w:tcW w:w="2974" w:type="dxa"/>
            <w:gridSpan w:val="2"/>
            <w:vAlign w:val="center"/>
          </w:tcPr>
          <w:p>
            <w:pPr>
              <w:pStyle w:val="22"/>
              <w:widowControl w:val="0"/>
              <w:jc w:val="center"/>
              <w:rPr>
                <w:rFonts w:hint="eastAsia" w:ascii="仿宋" w:hAnsi="仿宋" w:eastAsia="仿宋" w:cs="仿宋"/>
              </w:rPr>
            </w:pPr>
          </w:p>
        </w:tc>
        <w:tc>
          <w:tcPr>
            <w:tcW w:w="1174" w:type="dxa"/>
            <w:vAlign w:val="center"/>
          </w:tcPr>
          <w:p>
            <w:pPr>
              <w:pStyle w:val="22"/>
              <w:widowControl w:val="0"/>
              <w:jc w:val="center"/>
              <w:rPr>
                <w:rFonts w:hint="eastAsia" w:ascii="仿宋" w:hAnsi="仿宋" w:eastAsia="仿宋" w:cs="仿宋"/>
              </w:rPr>
            </w:pP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376" w:hRule="atLeast"/>
          <w:jc w:val="center"/>
        </w:trPr>
        <w:tc>
          <w:tcPr>
            <w:tcW w:w="12949"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江阴市商务局</w:t>
            </w: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312" w:hRule="atLeast"/>
          <w:jc w:val="center"/>
        </w:trPr>
        <w:tc>
          <w:tcPr>
            <w:tcW w:w="404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592"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60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56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396"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578"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17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277"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213"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220" w:hRule="atLeast"/>
          <w:jc w:val="center"/>
        </w:trPr>
        <w:tc>
          <w:tcPr>
            <w:tcW w:w="111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9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592"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0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6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96"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578"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17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77"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13"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432" w:hRule="exact"/>
          <w:jc w:val="center"/>
        </w:trPr>
        <w:tc>
          <w:tcPr>
            <w:tcW w:w="404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59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21,537.40</w:t>
            </w:r>
          </w:p>
        </w:tc>
        <w:tc>
          <w:tcPr>
            <w:tcW w:w="160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21,537.40</w:t>
            </w:r>
          </w:p>
        </w:tc>
        <w:tc>
          <w:tcPr>
            <w:tcW w:w="156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39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57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17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7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13"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一般公共服务支出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5,122.83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5,122.83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20113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商贸事务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5,046.13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5,046.13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2011301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行政运行</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867.09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867.09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2011302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一般行政管理事务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98.20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98.20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2011308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招商引资</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86.91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86.91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2011350</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事业运行</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946.49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946.49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2011399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其他商贸事务支出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3,047.44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3,047.44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其他一般公共服务支出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2019999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其他一般公共服务支出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312.11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312.11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233.69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233.69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156.94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156.94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76.75</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76.75</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20820</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临时救助</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2082001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临时救助支出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75.24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75.24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75.24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75.24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卫生健康支出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21004</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公共卫生</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2100409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重大公共卫生服务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城乡社区支出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661.18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661.18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城乡社区环境卫生</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2120501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城乡社区环境卫生</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国有土地使用权出让收入安排的支出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330.34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330.34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2120801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征地和拆迁补偿支出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330.34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330.34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其他城乡社区支出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326.03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326.03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2129999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其他城乡社区支出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326.03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326.03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214</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交通运输支出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21401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公路水路运输</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2140199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其他公路水路运输支出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商业服务业等支出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14,115.16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14,115.16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21602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商业流通事务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3,328.15</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3,328.15</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2160299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其他商业流通事务支出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3,328.15</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3,328.15</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21606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涉外发展服务支出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8,569.07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8,569.07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2160699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其他涉外发展服务支出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8,569.07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8,569.07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21699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其他商业服务业等支出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2,217.94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2,217.94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2169901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服务业基础设施建设</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431.82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431.82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2169999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其他商业服务业等支出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1,786.12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1,786.12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705.02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705.02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705.02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705.02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177.42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177.42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361.15</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361.15</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购房补贴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166.45</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166.45</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其他支出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2299999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4183"/>
        <w:gridCol w:w="2011"/>
        <w:gridCol w:w="1486"/>
        <w:gridCol w:w="1564"/>
        <w:gridCol w:w="1593"/>
        <w:gridCol w:w="1472"/>
        <w:gridCol w:w="1482"/>
      </w:tblGrid>
      <w:tr>
        <w:tblPrEx>
          <w:tblCellMar>
            <w:top w:w="55" w:type="dxa"/>
            <w:left w:w="55" w:type="dxa"/>
            <w:bottom w:w="55" w:type="dxa"/>
            <w:right w:w="55" w:type="dxa"/>
          </w:tblCellMar>
        </w:tblPrEx>
        <w:trPr>
          <w:trHeight w:val="341" w:hRule="atLeast"/>
        </w:trPr>
        <w:tc>
          <w:tcPr>
            <w:tcW w:w="15347"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321" w:hRule="atLeast"/>
        </w:trPr>
        <w:tc>
          <w:tcPr>
            <w:tcW w:w="5739" w:type="dxa"/>
            <w:gridSpan w:val="2"/>
            <w:vAlign w:val="center"/>
          </w:tcPr>
          <w:p>
            <w:pPr>
              <w:pStyle w:val="22"/>
              <w:widowControl w:val="0"/>
              <w:jc w:val="center"/>
              <w:rPr>
                <w:rFonts w:hint="eastAsia" w:ascii="仿宋" w:hAnsi="仿宋" w:eastAsia="仿宋" w:cs="仿宋"/>
              </w:rPr>
            </w:pPr>
          </w:p>
        </w:tc>
        <w:tc>
          <w:tcPr>
            <w:tcW w:w="2011" w:type="dxa"/>
            <w:vAlign w:val="center"/>
          </w:tcPr>
          <w:p>
            <w:pPr>
              <w:pStyle w:val="22"/>
              <w:widowControl w:val="0"/>
              <w:spacing w:before="0" w:after="0"/>
              <w:ind w:firstLine="0"/>
              <w:jc w:val="center"/>
              <w:rPr>
                <w:rFonts w:hint="eastAsia" w:ascii="仿宋" w:hAnsi="仿宋" w:eastAsia="仿宋" w:cs="仿宋"/>
                <w:sz w:val="20"/>
              </w:rPr>
            </w:pPr>
          </w:p>
        </w:tc>
        <w:tc>
          <w:tcPr>
            <w:tcW w:w="1486" w:type="dxa"/>
            <w:vAlign w:val="center"/>
          </w:tcPr>
          <w:p>
            <w:pPr>
              <w:pStyle w:val="22"/>
              <w:widowControl w:val="0"/>
              <w:spacing w:before="0" w:after="0"/>
              <w:ind w:firstLine="0"/>
              <w:jc w:val="center"/>
              <w:rPr>
                <w:rFonts w:hint="eastAsia" w:ascii="仿宋" w:hAnsi="仿宋" w:eastAsia="仿宋" w:cs="仿宋"/>
                <w:sz w:val="20"/>
              </w:rPr>
            </w:pPr>
          </w:p>
        </w:tc>
        <w:tc>
          <w:tcPr>
            <w:tcW w:w="1564" w:type="dxa"/>
            <w:vAlign w:val="center"/>
          </w:tcPr>
          <w:p>
            <w:pPr>
              <w:pStyle w:val="22"/>
              <w:widowControl w:val="0"/>
              <w:spacing w:before="0" w:after="0"/>
              <w:ind w:firstLine="0"/>
              <w:jc w:val="center"/>
              <w:rPr>
                <w:rFonts w:hint="eastAsia" w:ascii="仿宋" w:hAnsi="仿宋" w:eastAsia="仿宋" w:cs="仿宋"/>
                <w:sz w:val="20"/>
              </w:rPr>
            </w:pPr>
          </w:p>
        </w:tc>
        <w:tc>
          <w:tcPr>
            <w:tcW w:w="1593" w:type="dxa"/>
            <w:vAlign w:val="center"/>
          </w:tcPr>
          <w:p>
            <w:pPr>
              <w:pStyle w:val="22"/>
              <w:widowControl w:val="0"/>
              <w:spacing w:before="0" w:after="0"/>
              <w:ind w:firstLine="0"/>
              <w:jc w:val="center"/>
              <w:rPr>
                <w:rFonts w:hint="eastAsia" w:ascii="仿宋" w:hAnsi="仿宋" w:eastAsia="仿宋" w:cs="仿宋"/>
                <w:sz w:val="20"/>
              </w:rPr>
            </w:pP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2393"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江阴市商务局</w:t>
            </w: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321" w:hRule="atLeast"/>
        </w:trPr>
        <w:tc>
          <w:tcPr>
            <w:tcW w:w="5739"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011"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486"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5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59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472"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0" w:hRule="atLeast"/>
        </w:trPr>
        <w:tc>
          <w:tcPr>
            <w:tcW w:w="1556"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4183"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011"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6"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9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72"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2"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403" w:hRule="exact"/>
        </w:trPr>
        <w:tc>
          <w:tcPr>
            <w:tcW w:w="573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011"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22,489.06</w:t>
            </w:r>
          </w:p>
        </w:tc>
        <w:tc>
          <w:tcPr>
            <w:tcW w:w="148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2,865.59</w:t>
            </w:r>
          </w:p>
        </w:tc>
        <w:tc>
          <w:tcPr>
            <w:tcW w:w="15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19,623.47</w:t>
            </w:r>
          </w:p>
        </w:tc>
        <w:tc>
          <w:tcPr>
            <w:tcW w:w="159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7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82"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一般公共服务支出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5,115.15</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1,876.21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3,238.94</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20113</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商贸事务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5,038.45</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1,876.21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3,162.24</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2011301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行政运行</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868.93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868.93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2011302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一般行政管理事务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98.20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98.20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2011308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招商引资</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86.91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86.91</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2011350</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事业运行</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936.98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936.98</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2011399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其他商贸事务支出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3,047.44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70.31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2,977.13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其他一般公共服务支出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76.70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76.70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2019999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其他一般公共服务支出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76.70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76.70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289.30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286.12</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3.18</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213.79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213.79</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143.85</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143.85</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69.94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69.94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20820</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临时救助</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3.18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3.18</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2082001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临时救助支出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3.18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3.18</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72.33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72.33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72.33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72.33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卫生健康支出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21004</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公共卫生</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2100409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重大公共卫生服务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城乡社区支出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1,645.09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1,645.09</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城乡社区环境卫生</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4.81</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2120501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城乡社区环境卫生</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4.81</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国有土地使用权出让收入安排的支出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1,314.25</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1,314.25</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2120801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征地和拆迁补偿支出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1,314.25</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1,314.25</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其他城乡社区支出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326.03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326.03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2129999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其他城乡社区支出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326.03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326.03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214</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交通运输支出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603.00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603.00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21401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公路水路运输</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603.00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603.00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2140199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其他公路水路运输支出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603.00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603.00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216</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商业服务业等支出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14,115.16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14,115.16</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21602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商业流通事务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3,328.15</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3,328.15</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2160299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其他商业流通事务支出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3,328.15</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3,328.15</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21606</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涉外发展服务支出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8,569.07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8,569.07</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2160699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其他涉外发展服务支出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8,569.07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8,569.07</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21699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其他商业服务业等支出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2,217.94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2,217.94</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2169901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服务业基础设施建设</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431.82</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431.82</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2169999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其他商业服务业等支出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1,786.12</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1,786.12</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703.26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703.26</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703.26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703.26</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175.11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175.11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359.74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359.74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2210203</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购房补贴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168.41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168.41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其他支出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15.60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15.60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15.60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15.60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2299999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15.60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15.60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sz w:val="22"/>
                <w:szCs w:val="22"/>
              </w:rPr>
              <w:t>江阴市商务局</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21,207.06</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5,115.15</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5,115.15</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330.34</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289.30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289.30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1,645.09</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330.84</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1,314.25</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603.00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603.00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14,115.16</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14,115.16</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703.26</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703.26</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21,537.40</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22,489.06</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21,174.81</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1,314.25</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11,331.91</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10,380.25</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87.63</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10,292.63</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55.38</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11,276.53</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32,869.31</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32,869.31</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21,262.44</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11,606.87</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江阴市商务局</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22,489.06</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2,865.59</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19,623.47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5,115.15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1,876.21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3,238.94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20113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商贸事务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5,038.45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1,876.21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3,162.24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2011301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868.93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868.93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2011302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一般行政管理事务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98.20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98.20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2011308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招商引资</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86.91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86.91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2011350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事业运行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936.98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936.98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2011399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其他商贸事务支出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3,047.44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2,977.13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76.70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76.70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76.70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76.70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289.30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286.12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213.79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213.79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143.85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143.85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69.94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20820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临时救助</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2082001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临时救助支出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72.33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72.33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72.33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72.33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公共卫生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重大公共卫生服务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1,645.09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1,645.09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城乡社区环境卫生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2120501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城乡社区环境卫生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国有土地使用权出让收入安排的支出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1,314.25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1,314.25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2120801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征地和拆迁补偿支出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1,314.25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1,314.25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其他城乡社区支出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326.03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326.03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其他城乡社区支出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326.03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326.03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交通运输支出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603.00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603.00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21401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公路水路运输</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603.00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603.00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2140199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其他公路水路运输支出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603.00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603.00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商业服务业等支出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14,115.16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14,115.16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21602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商业流通事务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3,328.15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3,328.15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2160299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其他商业流通事务支出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3,328.15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3,328.15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21606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涉外发展服务支出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8,569.07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8,569.07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2160699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其他涉外发展服务支出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8,569.07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8,569.07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21699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其他商业服务业等支出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2,217.94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2,217.94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2169901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服务业基础设施建设</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431.82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431.82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2169999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其他商业服务业等支出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1,786.12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1,786.12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703.26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703.26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703.26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703.26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175.11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175.11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359.74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359.74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168.41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168.41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15.60</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sz w:val="22"/>
                <w:szCs w:val="22"/>
              </w:rPr>
              <w:t>江阴市商务局</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2,865.59</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2,623.27</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242.32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2,387.03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2,387.03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280.26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743.47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556.07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556.07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301.53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143.85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182.49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182.49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242.01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64.91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31.23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236.24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26.10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199.56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江阴市商务局</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21,174.81</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2,865.59</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18,309.22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5,115.15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1,876.21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3,238.94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20113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商贸事务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5,038.45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1,876.21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3,162.24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2011301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868.93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868.93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2011302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一般行政管理事务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98.20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98.20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2011308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招商引资</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86.91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86.91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2011350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事业运行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936.98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936.98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2011399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其他商贸事务支出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3,047.44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2,977.13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289.30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286.12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213.79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213.79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143.85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143.85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20820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临时救助</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2082001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临时救助支出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72.33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72.33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72.33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72.33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公共卫生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2100409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重大公共卫生服务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城乡社区支出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330.84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330.84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城乡社区环境卫生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2120501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城乡社区环境卫生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其他城乡社区支出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326.03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326.03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其他城乡社区支出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326.03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326.03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交通运输支出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21401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公路水路运输</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2140199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其他公路水路运输支出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商业服务业等支出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14,115.16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14,115.16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21602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商业流通事务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3,328.15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3,328.15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2160299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其他商业流通事务支出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3,328.15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3,328.15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21606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涉外发展服务支出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8,569.07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8,569.07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2160699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其他涉外发展服务支出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8,569.07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8,569.07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21699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其他商业服务业等支出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2,217.94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2,217.94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2169901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服务业基础设施建设</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431.82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431.82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2169999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其他商业服务业等支出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1,786.12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1,786.12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703.26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703.26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703.26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703.26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175.11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175.11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359.74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359.74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168.41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168.41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15.60</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江阴市商务局</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2,865.59</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2,623.27</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242.32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2,387.03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2,387.03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280.26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280.26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743.47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743.47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556.07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556.07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301.53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301.53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143.85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143.85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69.96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182.49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182.49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242.01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242.01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64.91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64.91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31.23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31.23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236.24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236.24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26.10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26.10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199.56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199.56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一般公共预算“三公”经费、会议费、培训费支出决算表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江阴市商务局</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26.49</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1.89</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1.89</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24.60</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24.55</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26.70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45.68</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1.12</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1.12</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44.55</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34.65</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82.58</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56</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1,486</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109</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2,026</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313</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一般公共预算“三公”经费、会议费和培训费支出情况。其中，预算数为全年预算数，反映按规定程序调整后的预算数；决算数是包括当年一般公共预算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江阴市商务局</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1,314.25</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1,314.25</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城乡社区支出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1,314.25</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1,314.25</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21208</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国有土地使用权出让收入安排的支出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1,314.25</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1,314.25</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2120801</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征地和拆迁补偿支出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1,314.25</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1,314.25</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江阴市商务局</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部门</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江阴市商务局</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134.06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133.97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6.96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5.55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1.00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0.03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2.60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0.48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6.26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0.22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2.76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2.70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11.28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34.18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5.94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36.63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17.37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0.09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0.09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江阴市商务局</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997.62</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95.36</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156.67</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745.58</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997.40</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2021</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部门</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2021年度收入、支出决算总计32,869.31万元。与上年相比，收、支总计各减少325.23万元，减少0.98%。其中：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（一）收入决算总计32,869.31万元。包括：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1.本年收入决算合计21,537.4万元。与上年相比，增加45.87万元，增长0.21%，变动原因：住房保障收入增加。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3.年初结转和结余11,331.91万元。与上年相比，减少371.1万元，减少3.17%，变动原因：上年度用于基建项目支出。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（二）支出决算总计32,869.31万元。包括：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1.本年支出决算合计22,489.06万元。与上年相比，增加643.13万元，增长2.94%，变动原因：基建项目支出增加。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3.年末结转和结余10,380.25万元。结转和结余事项：主要为基建项目资金。与上年相比，减少968.36万元，减少8.53%，变动原因：用于基建项目支出。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收入决算合计21,537.4万元，其中：财政拨款收入21,537.4万元，占100%；上级补助收入0万元，占0%；财政专户管理教育收费0万元，占0%；事业收入（不含专户管理教育收费）0万元，占0%；经营收入0万元，占0%；附属单位上缴收入0万元，占0%；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2021年度本年支出决算合计22,489.06万元，其中：基本支出2,865.59万元，占12.74%；项目支出19,623.47万元，占87.26%；上缴上级支出0万元，占0%；经营支出0万元，占0%；对附属单位补助支出0万元，占0%。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2021年度财政拨款收入、支出决算总计32,869.31万元。与上年相比，收、支总计各减少325.23万元，减少0.98%，变动原因：上年度基建项目支出导致年初结转结余数减少。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2021年度财政拨款支出决算22,489.06万元，占本年支出合计的100%。与2021年度财政拨款支出年初预算11,165.89万元相比，完成年初预算的201.41%。其中：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1.商贸事务（款）行政运行（项）。年初预算950.43万元，支出决算868.93万元，完成年初预算的91.42%。决算数与年初预算数的差异原因：人员调出，人员经费减少。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2.商贸事务（款）一般行政管理事务（项）。年初预算98.2万元，支出决算98.2万元，完成年初预算的100%。决算数与年初预算数相同。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3.商贸事务（款）招商引资（项）。年初预算144万元，支出决算86.91万元，完成年初预算的60.35%。决算数与年初预算数的差异原因：疫情影响，招商引资活动减少。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4.商贸事务（款）事业运行（项）。年初预算1,028.39万元，支出决算936.98万元，完成年初预算的91.11%。决算数与年初预算数的差异原因：人员减少。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5.商贸事务（款）其他商贸事务支出（项）。年初预算454.5万元，支出决算3,047.44万元，完成年初预算的670.5%。决算数与年初预算数的差异原因：追加总部经济、海关经费等专项。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6.其他一般公共服务支出（款）其他一般公共服务支出（项）。年初预算76.7万元，支出决算76.7万元，完成年初预算的100%。决算数与年初预算数相同。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1.行政事业单位养老支出（款）机关事业单位基本养老保险缴费支出（项）。年初预算147.6万元，支出决算143.85万元，完成年初预算的97.46%。决算数与年初预算数的差异原因：人员减少，养老保险缴费支出减少。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2.行政事业单位养老支出（款）机关事业单位职业年金缴费支出（项）。年初预算73.8万元，支出决算69.94万元，完成年初预算的94.77%。决算数与年初预算数的差异原因：人员减少，职业年金缴费支出减少。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3.临时救助（款）临时救助支出（项）。年初预算0万元，支出决算3.18万元，（年初预算数为0万元，无法计算完成比率）决算数与年初预算数的差异原因：追加阳光扶贫救助资金。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其他社会保障和就业支出（款）其他社会保障和就业支出（项）。年初预算0万元，支出决算72.33万元，（年初预算数为0万元，无法计算完成比率）决算数与年初预算数的差异原因：其他社保由一般公共服务支出调整为其他社会保障和就业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公共卫生（款）重大公共卫生服务（项）。年初预算0万元，支出决算2.5万元，（年初预算数为0万元，无法计算完成比率）决算数与年初预算数的差异原因：追加疫情防控专项资金。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1.城乡社区环境卫生（款）城乡社区环境卫生（项）。年初预算0万元，支出决算4.81万元，（年初预算数为0万元，无法计算完成比率）决算数与年初预算数的差异原因：追加文明城市环境整治专项资金。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国有土地使用权出让收入安排的支出（款）征地和拆迁补偿支出（项）。年初预算0万元，支出决算1,314.25万元，（年初预算数为0万元，无法计算完成比率）决算数与年初预算数的差异原因：基建项目使用上年结转资金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3.其他城乡社区支出（款）其他城乡社区支出（项）。年初预算326.04万元，支出决算326.03万元，完成年初预算的100%（该占比四舍五入后为100%）。决算数与年初预算数基本持平。</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（五）交通运输支出（类）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公路水路运输（款）其他公路水路运输支出（项）。年初预算3,340万元，支出决算603万元，完成年初预算的18.05%。决算数与年初预算数的差异原因：口岸发展专项资金调整为其他商业流通事务支出。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（六）商业服务业等支出（类）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商业流通事务（款）其他商业流通事务支出（项）。年初预算0万元，支出决算3,328.15万元，（年初预算数为0万元，无法计算完成比率）决算数与年初预算数的差异原因：口岸发展专项资金调整为其他商业流通事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2.涉外发展服务支出（款）其他涉外发展服务支出（项）。年初预算2,304万元，支出决算8,569.07万元，完成年初预算的371.92%。决算数与年初预算数的差异原因：上级下达商务发展专项资金等。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商业服务业等支出（款）服务业基础设施建设（项）。年初预算0万元，支出决算431.82万元，（年初预算数为0万元，无法计算完成比率）决算数与年初预算数的差异原因：上级下达省现代服务业发展专项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4.其他商业服务业等支出（款）其他商业服务业等支出（项）。年初预算1,602万元，支出决算1,786.12万元，完成年初预算的111.49%。决算数与年初预算数的差异原因：电商项目使用上年结转资金。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1.住房改革支出（款）住房公积金（项）。年初预算153万元，支出决算175.11万元，完成年初预算的114.45%。决算数与年初预算数的差异原因：公积金基数调整。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2.住房改革支出（款）提租补贴（项）。年初预算318.45万元，支出决算359.74万元，完成年初预算的112.97%。决算数与年初预算数的差异原因：公积金基数调整。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3.住房改革支出（款）购房补贴（项）。年初预算148.77万元，支出决算168.41万元，完成年初预算的113.2%。决算数与年初预算数的差异原因：公积金基数调整。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（八）其他支出（类）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他支出（款）其他支出（项）。年初预算0万元，支出决算15.6万元，（年初预算数为0万元，无法计算完成比率）决算数与年初预算数的差异原因：上级下达免除查验没有问题外贸企业吊装移位仓储费用试点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2021年度财政拨款基本支出决算2,865.59万元，其中：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（一）人员经费2,623.27万元。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绩效工资、机关事业单位基本养老保险缴费、职业年金缴费、其他社会保障缴费、住房公积金、医疗费、其他工资福利支出、离休费、退休费、抚恤金、医疗费补助、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（二）公用经费242.32万元。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咨询费、手续费、邮电费、物业管理费、差旅费、维修（护）费、会议费、培训费、公务接待费、委托业务费、工会经费、福利费、公务用车运行维护费、其他交通费用、其他商品和服务支出、办公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2021年度一般公共预算财政拨款支出决算21,174.81万元。与上年相比，增加5,445.06万元，增长34.62%，变动原因：口岸发展专项资金由政府性基金调整为一般公共预算支出。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2021年度一般公共预算财政拨款基本支出决算2,865.59万元，其中：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（一）人员经费2,623.27万元。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绩效工资、机关事业单位基本养老保险缴费、职业年金缴费、其他社会保障缴费、住房公积金、医疗费、其他工资福利支出、离休费、退休费、抚恤金、医疗费补助、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（二）公用经费242.32万元。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咨询费、手续费、邮电费、物业管理费、差旅费、维修（护）费、会议费、培训费、公务接待费、委托业务费、工会经费、福利费、公务用车运行维护费、其他交通费用、其他商品和服务支出、办公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（一）一般公共预算“三公”经费支出总体情况说明。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三公”经费支出决算45.68万元。与上年相比，增加23.26万元，变动原因：加大招商力度，公务接待费支出增加。其中，因公出国（境）费支出0万元，占“三公”经费的0%；公务用车购置及运行维护费支出1.12万元，占“三公”经费的2.45%；公务接待费支出44.55万元，占“三公”经费的97.55%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（二）一般公共预算“三公”经费支出具体情况说明。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1．因公出国（境）费支出预算0万元，支出决算0万元，完成预算的100%，决算数与预算数相同。全年使用一般公共预算财政拨款涉及的出国（境）团组0个，累计0人次。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2．公务用车购置及运行维护费支出预算1.89万元，支出决算1.12万元，完成预算的59.26%，决算数与预算数的差异原因：公务用车加油费使用上年度油卡，支出减少。其中：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（1）公务用车购置支出决算0万元。本年度使用一般公共预算财政拨款购置公务用车0辆。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1.12万元。公务用车运行维护费主要用于按规定保留的公务用车的燃料费、维修费、过桥过路费、保险费、安全奖励费用等支出。截至2021年12月31日，使用一般公共预算财政拨款开支的公务用车保有量为1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24.6万元，支出决算44.55万元，完成预算的181.1%，决算数与预算数的差异原因：加大招商力度。其中：国内公务接待支出44.55万元，接待56批次，1486人次，开支内容：招商活动及正常公务接待费用；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（三）一般公共预算会议费支出决算情况说明。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会议费支出预算24.55万元，支出决算34.65万元，完成预算的141.14%，决算数与预算数的差异原因：加大招商力度，相关会议频次增加。2021年度全年召开会议109个，参加会议2026人次，开支内容：招商相关会议及一般公务会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（四）一般公共预算培训费支出决算情况说明。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培训费支出预算26.7万元，支出决算82.58万元，完成预算的309.29%，决算数与预算数的差异原因：增加电商项目培训支出。2021年度全年组织培训10个，组织培训313人次，开支内容：电商培训、服务业培训、口岸系统培训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2021年度政府性基金预算财政拨款支出决算1,314.25万元。与上年相比，减少4,801.92万元，减少78.51%，变动原因：口岸发展专项资金由政府性基金调整为一般公共预算支出。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2021年度机关运行经费支出决算134.06万元。与上年相比，增加134.06万元（上年决算数为0万元，无法计算增减比率），变动原因：增加其他商贸事务支出。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采购支出总额997.62万元，其中：政府采购货物支出95.36万元、政府采购工程支出156.67万元、政府采购服务支出745.58万元。政府采购授予中小企业合同金额997.4万元，占政府采购支出总额的99.98%，其中：授予小微企业合同金额0万元，占政府采购支出总额的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2021年12月31日，本部门共有车辆1辆，其中：副部(省)级及以上领导用车0辆、主要领导干部用车0辆、机要通信用车0辆、应急保障用车0辆、执法执勤用车0辆、特种专业技术用车0辆、离退休干部用车0辆、其他用车1辆；单价50万元（含）以上的通用设备0台（套），单价100万元（含）以上的专用设备1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2021年度，本部门共1个项目开展了财政重点绩效评价，涉及财政性资金合计351万元；本部门未开展部门整体支出财政重点绩效评价，涉及财政性资金0万元。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本部门共对上年度已实施完成的6个项目开展了绩效自评价，涉及财政性资金合计7,415.1万元；本部门共开展0项部门整体支出绩效自评价，涉及财政性资金合计0万元。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十九、一般公共服务支出(类)商贸事务(款)行政运行(项)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二十、一般公共服务支出(类)商贸事务(款)一般行政管理事务(项)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二十一、一般公共服务支出(类)商贸事务(款)招商引资(项)</w:t>
      </w:r>
      <w:r>
        <w:rPr>
          <w:rFonts w:ascii="仿宋" w:hAnsi="仿宋" w:cs="仿宋" w:eastAsia="仿宋"/>
          <w:b w:val="true"/>
        </w:rPr>
        <w:t>：</w:t>
      </w:r>
      <w:r>
        <w:rPr>
          <w:rFonts w:hint="eastAsia" w:ascii="仿宋" w:hAnsi="仿宋" w:eastAsia="仿宋" w:cs="仿宋"/>
        </w:rPr>
        <w:t>反映用于招商引资、优化经济环境等方面的支出。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二十二、一般公共服务支出(类)商贸事务(款)事业运行(项)</w:t>
      </w:r>
      <w:r>
        <w:rPr>
          <w:rFonts w:ascii="仿宋" w:hAnsi="仿宋" w:cs="仿宋" w:eastAsia="仿宋"/>
          <w:b w:val="true"/>
        </w:rPr>
        <w:t>：</w:t>
      </w:r>
      <w:r>
        <w:rPr>
          <w:rFonts w:hint="eastAsia" w:ascii="仿宋" w:hAnsi="仿宋" w:eastAsia="仿宋" w:cs="仿宋"/>
        </w:rPr>
        <w:t>反映事业单位的基本支出，不包括行政单位（包括实行公务员管理的事业单位）后勤服务中心、医务室等附属事业单位。</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二十三、一般公共服务支出(类)商贸事务(款)其他商贸事务支出(项)</w:t>
      </w:r>
      <w:r>
        <w:rPr>
          <w:rFonts w:ascii="仿宋" w:hAnsi="仿宋" w:cs="仿宋" w:eastAsia="仿宋"/>
          <w:b w:val="true"/>
        </w:rPr>
        <w:t>：</w:t>
      </w:r>
      <w:r>
        <w:rPr>
          <w:rFonts w:hint="eastAsia" w:ascii="仿宋" w:hAnsi="仿宋" w:eastAsia="仿宋" w:cs="仿宋"/>
        </w:rPr>
        <w:t>反映除上述项目以外其他用于商贸事务方面的支出。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二十四、一般公共服务支出(类)其他一般公共服务支出(款)其他一般公共服务支出(项)</w:t>
      </w:r>
      <w:r>
        <w:rPr>
          <w:rFonts w:ascii="仿宋" w:hAnsi="仿宋" w:cs="仿宋" w:eastAsia="仿宋"/>
          <w:b w:val="true"/>
        </w:rPr>
        <w:t>：</w:t>
      </w:r>
      <w:r>
        <w:rPr>
          <w:rFonts w:hint="eastAsia" w:ascii="仿宋" w:hAnsi="仿宋" w:eastAsia="仿宋" w:cs="仿宋"/>
        </w:rPr>
        <w:t>反映除上述项目以外的其他一般公共服务支出。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二十七、社会保障和就业支出(类)临时救助(款)临时救助支出(项)</w:t>
      </w:r>
      <w:r>
        <w:rPr>
          <w:rFonts w:ascii="仿宋" w:hAnsi="仿宋" w:cs="仿宋" w:eastAsia="仿宋"/>
          <w:b w:val="true"/>
        </w:rPr>
        <w:t>：</w:t>
      </w:r>
      <w:r>
        <w:rPr>
          <w:rFonts w:hint="eastAsia" w:ascii="仿宋" w:hAnsi="仿宋" w:eastAsia="仿宋" w:cs="仿宋"/>
        </w:rPr>
        <w:t>反映用于城乡生活困难居民的临时救助支出。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二十八、社会保障和就业支出(类)其他社会保障和就业支出(款)其他社会保障和就业支出(项)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二十九、卫生健康支出(类)公共卫生(款)重大公共卫生服务(项)</w:t>
      </w:r>
      <w:r>
        <w:rPr>
          <w:rFonts w:ascii="仿宋" w:hAnsi="仿宋" w:cs="仿宋" w:eastAsia="仿宋"/>
          <w:b w:val="true"/>
        </w:rPr>
        <w:t>：</w:t>
      </w:r>
      <w:r>
        <w:rPr>
          <w:rFonts w:hint="eastAsia" w:ascii="仿宋" w:hAnsi="仿宋" w:eastAsia="仿宋" w:cs="仿宋"/>
        </w:rPr>
        <w:t>反映重大疾病、重大传染病预防控制等重大公共卫生服务项目支出。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三十、城乡社区支出(类)城乡社区环境卫生(款)城乡社区环境卫生(项)</w:t>
      </w:r>
      <w:r>
        <w:rPr>
          <w:rFonts w:ascii="仿宋" w:hAnsi="仿宋" w:cs="仿宋" w:eastAsia="仿宋"/>
          <w:b w:val="true"/>
        </w:rPr>
        <w:t>：</w:t>
      </w:r>
      <w:r>
        <w:rPr>
          <w:rFonts w:hint="eastAsia" w:ascii="仿宋" w:hAnsi="仿宋" w:eastAsia="仿宋" w:cs="仿宋"/>
        </w:rPr>
        <w:t>反映城乡社区道路清扫、垃圾清运与处理、公厕建设与维护、园林绿化等方面的支出。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三十一、城乡社区支出(类)国有土地使用权出让收入安排的支出(款)征地和拆迁补偿支出(项)</w:t>
      </w:r>
      <w:r>
        <w:rPr>
          <w:rFonts w:ascii="仿宋" w:hAnsi="仿宋" w:cs="仿宋" w:eastAsia="仿宋"/>
          <w:b w:val="true"/>
        </w:rPr>
        <w:t>：</w:t>
      </w:r>
      <w:r>
        <w:rPr>
          <w:rFonts w:hint="eastAsia" w:ascii="仿宋" w:hAnsi="仿宋" w:eastAsia="仿宋" w:cs="仿宋"/>
        </w:rPr>
        <w:t>反映新疆生产建设兵团和地方政府在征地和收购土地过程中支付的土地补偿费、安置补助费、地上附着和青苗补偿费、拆迁补偿费支出。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三十二、城乡社区支出(类)其他城乡社区支出(款)其他城乡社区支出(项)</w:t>
      </w:r>
      <w:r>
        <w:rPr>
          <w:rFonts w:ascii="仿宋" w:hAnsi="仿宋" w:cs="仿宋" w:eastAsia="仿宋"/>
          <w:b w:val="true"/>
        </w:rPr>
        <w:t>：</w:t>
      </w:r>
      <w:r>
        <w:rPr>
          <w:rFonts w:hint="eastAsia" w:ascii="仿宋" w:hAnsi="仿宋" w:eastAsia="仿宋" w:cs="仿宋"/>
        </w:rPr>
        <w:t>反映除上述项目以外其他用于城乡社区方面的支出。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三十三、交通运输支出(类)公路水路运输(款)其他公路水路运输支出(项)</w:t>
      </w:r>
      <w:r>
        <w:rPr>
          <w:rFonts w:ascii="仿宋" w:hAnsi="仿宋" w:cs="仿宋" w:eastAsia="仿宋"/>
          <w:b w:val="true"/>
        </w:rPr>
        <w:t>：</w:t>
      </w:r>
      <w:r>
        <w:rPr>
          <w:rFonts w:hint="eastAsia" w:ascii="仿宋" w:hAnsi="仿宋" w:eastAsia="仿宋" w:cs="仿宋"/>
        </w:rPr>
        <w:t>反映除上述项目以外其他用于公路水路运输方面的支出。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三十四、商业服务业等支出(类)商业流通事务(款)其他商业流通事务支出(项)</w:t>
      </w:r>
      <w:r>
        <w:rPr>
          <w:rFonts w:ascii="仿宋" w:hAnsi="仿宋" w:cs="仿宋" w:eastAsia="仿宋"/>
          <w:b w:val="true"/>
        </w:rPr>
        <w:t>：</w:t>
      </w:r>
      <w:r>
        <w:rPr>
          <w:rFonts w:hint="eastAsia" w:ascii="仿宋" w:hAnsi="仿宋" w:eastAsia="仿宋" w:cs="仿宋"/>
        </w:rPr>
        <w:t>反映除上述项目以外其他用于商业流通事务方面的支出。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三十五、商业服务业等支出(类)涉外发展服务支出(款)其他涉外发展服务支出(项)</w:t>
      </w:r>
      <w:r>
        <w:rPr>
          <w:rFonts w:ascii="仿宋" w:hAnsi="仿宋" w:cs="仿宋" w:eastAsia="仿宋"/>
          <w:b w:val="true"/>
        </w:rPr>
        <w:t>：</w:t>
      </w:r>
      <w:r>
        <w:rPr>
          <w:rFonts w:hint="eastAsia" w:ascii="仿宋" w:hAnsi="仿宋" w:eastAsia="仿宋" w:cs="仿宋"/>
        </w:rPr>
        <w:t>反映除上述项目以外其他用于涉外发展服务方面的支出。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三十六、商业服务业等支出(类)其他商业服务业等支出(款)服务业基础设施建设(项)</w:t>
      </w:r>
      <w:r>
        <w:rPr>
          <w:rFonts w:ascii="仿宋" w:hAnsi="仿宋" w:cs="仿宋" w:eastAsia="仿宋"/>
          <w:b w:val="true"/>
        </w:rPr>
        <w:t>：</w:t>
      </w:r>
      <w:r>
        <w:rPr>
          <w:rFonts w:hint="eastAsia" w:ascii="仿宋" w:hAnsi="仿宋" w:eastAsia="仿宋" w:cs="仿宋"/>
        </w:rPr>
        <w:t>反映用于支持服务业方面的建设支出。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三十七、商业服务业等支出(类)其他商业服务业等支出(款)其他商业服务业等支出(项)</w:t>
      </w:r>
      <w:r>
        <w:rPr>
          <w:rFonts w:ascii="仿宋" w:hAnsi="仿宋" w:cs="仿宋" w:eastAsia="仿宋"/>
          <w:b w:val="true"/>
        </w:rPr>
        <w:t>：</w:t>
      </w:r>
      <w:r>
        <w:rPr>
          <w:rFonts w:hint="eastAsia" w:ascii="仿宋" w:hAnsi="仿宋" w:eastAsia="仿宋" w:cs="仿宋"/>
        </w:rPr>
        <w:t>反映其他商业服务业等支出中除上述项目以外的其他支出。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三十八、住房保障支出(类)住房改革支出(款)住房公积金(项)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三十九、住房保障支出(类)住房改革支出(款)提租补贴(项)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四十一、其他支出(类)其他支出(款)其他支出(项)</w:t>
      </w:r>
      <w:r>
        <w:rPr>
          <w:rFonts w:ascii="仿宋" w:hAnsi="仿宋" w:cs="仿宋" w:eastAsia="仿宋"/>
          <w:b w:val="true"/>
        </w:rPr>
        <w:t>：</w:t>
      </w:r>
      <w:r>
        <w:rPr>
          <w:rFonts w:hint="eastAsia" w:ascii="仿宋" w:hAnsi="仿宋" w:eastAsia="仿宋" w:cs="仿宋"/>
        </w:rPr>
        <w:t>反映除上述项目以外其他不能划分到具体功能科目中的支出项目。</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江阴市商务局</w:t>
    </w:r>
    <w:r>
      <w:t>2021年度</w:t>
    </w:r>
    <w:r>
      <w:t>部门</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F12AB"/>
    <w:rsid w:val="001C31F9"/>
    <w:rsid w:val="002E63B1"/>
    <w:rsid w:val="00407CA7"/>
    <w:rsid w:val="00413AD8"/>
    <w:rsid w:val="004C0647"/>
    <w:rsid w:val="00671ED7"/>
    <w:rsid w:val="00672164"/>
    <w:rsid w:val="006732F1"/>
    <w:rsid w:val="008322BB"/>
    <w:rsid w:val="00867423"/>
    <w:rsid w:val="008B5B05"/>
    <w:rsid w:val="009965EA"/>
    <w:rsid w:val="00A6752E"/>
    <w:rsid w:val="00B92181"/>
    <w:rsid w:val="00BD7F33"/>
    <w:rsid w:val="00C15920"/>
    <w:rsid w:val="00C82582"/>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2754</Words>
  <Characters>7511</Characters>
  <Paragraphs>501</Paragraphs>
  <TotalTime>0</TotalTime>
  <ScaleCrop>false</ScaleCrop>
  <LinksUpToDate>false</LinksUpToDate>
  <CharactersWithSpaces>7532</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2022-07-29T09:20:09Z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2052-11.1.0.11875</vt:lpwstr>
  </property>
  <property fmtid="{D5CDD505-2E9C-101B-9397-08002B2CF9AE}" pid="6" name="LastSaved">
    <vt:filetime>2021-04-15T00:00:00Z</vt:filetime>
  </property>
</Properties>
</file>