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bdr w:val="none" w:color="auto" w:sz="0" w:space="0"/>
        </w:rPr>
        <w:t>江阴市城镇污水专项规划修编（2021—2035）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12" w:space="7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</w:rPr>
        <w:t>发布时间：2022-03-11 承办单位：范栋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理由和依据：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为进一步提高我市污水治理水平，根据《江阴市国土空间总体规划（2020~2035）》、《江阴市城镇污水处理提质增效行动实方案（2019~2021）》及“江阴市工业园区升级改造大会战”相关要求和产业布局调整，启动该修编工作，进一步发挥规划的前瞻性和引领性作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解决的问题：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根据《江阴市国土空间总体规划（2020-2035）》（在编）中的规划路网、用地性质、发展目标、用地布局等规定，并结合工业园区升级改造，对城镇污水管网、泵站、中心污水厂的布局进行优化调整，并调整完善规模设置，高质量构建全市污水体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解决的方案：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优化调整污水厂、网布局及规模。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NmFhMjU1NWE3NTIzOGJjYWFmMGM1YmQ4NjdiNTMifQ=="/>
  </w:docVars>
  <w:rsids>
    <w:rsidRoot w:val="00000000"/>
    <w:rsid w:val="535B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2022-10-18T08:08:51Z</dcterms:created>
  <dc:creator>Administrator</dc:creator>
  <cp:lastModifiedBy>后美云</cp:lastModifiedBy>
  <dcterms:modified xsi:type="dcterms:W3CDTF">2022-10-18T08:09:01Z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BFB868B08D3D4F0396E49E5A8257D914</vt:lpwstr>
  </property>
</Properties>
</file>