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3"/>
          <w:szCs w:val="33"/>
          <w:bdr w:val="none" w:color="auto" w:sz="0" w:space="0"/>
        </w:rPr>
        <w:t>江阴市绮山湖科创谷产业发展规划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CCCCCC" w:sz="12" w:space="7"/>
          <w:right w:val="none" w:color="auto" w:sz="0" w:space="0"/>
        </w:pBdr>
        <w:spacing w:before="0" w:beforeAutospacing="0" w:after="0" w:afterAutospacing="0" w:line="30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bdr w:val="none" w:color="auto" w:sz="0" w:space="0"/>
        </w:rPr>
        <w:t>发布时间：2022-01-04 承办单位：发改委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理由和依据：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为贯彻落实市委、市政府关于绮山湖科创谷建设的决策部署，指导绮山湖科创谷产业发展工作统筹安排和专项规划制定及实施，制定本规划。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解决的问题：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面对我市排头兵地位与发展新动能不匹配，城镇化与工业化互动效能不显著，传统经济与新经济不接续，产业链与创新链不协调的问题，着力建成具有鲜明江阴标识、强劲竞争优势的创新活力中心、科创会客厅、科技服务与科研先导区，引领推动全市产业高质量发展，构筑新发展格局下的竞争新优势，在全面融入和服务国家创新驱动战略中提供“江阴样板”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解决的方案：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lang w:val="en-US" w:eastAsia="zh-CN" w:bidi="ar"/>
        </w:rPr>
        <w:t>综合研判绮山湖科创谷发展的基础条件和面临的复杂形势，围绕“科创+产业”理念，甄别四个产业“爆点”、五大优势产业和两大特色新经济模式，构建研发主导、优势引领、层次分明的迭代产业体系，并针对性地提出五大重点工程和五大行动计划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hNmFhMjU1NWE3NTIzOGJjYWFmMGM1YmQ4NjdiNTMifQ=="/>
  </w:docVars>
  <w:rsids>
    <w:rsidRoot w:val="00000000"/>
    <w:rsid w:val="5BEE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2022-10-18T08:36:34Z</dcterms:created>
  <dc:creator>Administrator</dc:creator>
  <cp:lastModifiedBy>后美云</cp:lastModifiedBy>
  <dcterms:modified xsi:type="dcterms:W3CDTF">2022-10-18T08:36:40Z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7BF14A3EF1AD47308B503FB0E99B8FCF</vt:lpwstr>
  </property>
</Properties>
</file>