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tLeast" w:line="0"/>
        <w:jc w:val="center"/>
        <w:rPr>
          <w:rFonts w:ascii="Times New Roman" w:eastAsia="方正小标宋_GBK"/>
          <w:kern w:val="2"/>
          <w:sz w:val="44"/>
          <w:szCs w:val="44"/>
        </w:rPr>
      </w:pPr>
      <w:r>
        <w:rPr>
          <w:rFonts w:ascii="Times New Roman" w:eastAsia="方正小标宋_GBK" w:hint="eastAsia"/>
          <w:kern w:val="2"/>
          <w:sz w:val="44"/>
          <w:szCs w:val="44"/>
        </w:rPr>
        <w:t>关于江阴市</w:t>
      </w:r>
      <w:r>
        <w:rPr>
          <w:rFonts w:ascii="Times New Roman" w:eastAsia="方正小标宋_GBK"/>
          <w:kern w:val="2"/>
          <w:sz w:val="44"/>
          <w:szCs w:val="44"/>
        </w:rPr>
        <w:t>20</w:t>
      </w:r>
      <w:r>
        <w:rPr>
          <w:rFonts w:ascii="Times New Roman" w:eastAsia="方正小标宋_GBK" w:hint="eastAsia"/>
          <w:kern w:val="2"/>
          <w:sz w:val="44"/>
          <w:szCs w:val="44"/>
        </w:rPr>
        <w:t>21</w:t>
      </w:r>
      <w:r>
        <w:rPr>
          <w:rFonts w:ascii="Times New Roman" w:eastAsia="方正小标宋_GBK" w:hint="eastAsia"/>
          <w:kern w:val="2"/>
          <w:sz w:val="44"/>
          <w:szCs w:val="44"/>
        </w:rPr>
        <w:t>年国民经济和</w:t>
      </w:r>
    </w:p>
    <w:p>
      <w:pPr>
        <w:pStyle w:val="style0"/>
        <w:spacing w:lineRule="atLeast" w:line="0"/>
        <w:jc w:val="center"/>
        <w:rPr>
          <w:rFonts w:ascii="Times New Roman" w:eastAsia="方正小标宋_GBK"/>
          <w:kern w:val="2"/>
          <w:sz w:val="44"/>
          <w:szCs w:val="44"/>
        </w:rPr>
      </w:pPr>
      <w:r>
        <w:rPr>
          <w:rFonts w:ascii="Times New Roman" w:eastAsia="方正小标宋_GBK" w:hint="eastAsia"/>
          <w:kern w:val="2"/>
          <w:sz w:val="44"/>
          <w:szCs w:val="44"/>
        </w:rPr>
        <w:t>社会发展计划执行情况及</w:t>
      </w:r>
      <w:r>
        <w:rPr>
          <w:rFonts w:ascii="Times New Roman" w:eastAsia="方正小标宋_GBK"/>
          <w:kern w:val="2"/>
          <w:sz w:val="44"/>
          <w:szCs w:val="44"/>
        </w:rPr>
        <w:t>202</w:t>
      </w:r>
      <w:r>
        <w:rPr>
          <w:rFonts w:ascii="Times New Roman" w:eastAsia="方正小标宋_GBK" w:hint="eastAsia"/>
          <w:kern w:val="2"/>
          <w:sz w:val="44"/>
          <w:szCs w:val="44"/>
        </w:rPr>
        <w:t>2</w:t>
      </w:r>
      <w:r>
        <w:rPr>
          <w:rFonts w:ascii="Times New Roman" w:eastAsia="方正小标宋_GBK" w:hint="eastAsia"/>
          <w:kern w:val="2"/>
          <w:sz w:val="44"/>
          <w:szCs w:val="44"/>
        </w:rPr>
        <w:t>年国民经济</w:t>
      </w:r>
    </w:p>
    <w:p>
      <w:pPr>
        <w:pStyle w:val="style0"/>
        <w:spacing w:lineRule="atLeast" w:line="0"/>
        <w:jc w:val="center"/>
        <w:rPr>
          <w:rFonts w:ascii="Times New Roman" w:eastAsia="方正小标宋_GBK"/>
          <w:kern w:val="2"/>
          <w:sz w:val="44"/>
          <w:szCs w:val="44"/>
        </w:rPr>
      </w:pPr>
      <w:r>
        <w:rPr>
          <w:rFonts w:ascii="Times New Roman" w:eastAsia="方正小标宋_GBK" w:hint="eastAsia"/>
          <w:kern w:val="2"/>
          <w:sz w:val="44"/>
          <w:szCs w:val="44"/>
        </w:rPr>
        <w:t>和社会发展计划草案的报告</w:t>
      </w:r>
    </w:p>
    <w:p>
      <w:pPr>
        <w:pStyle w:val="style0"/>
        <w:spacing w:beforeLines="30"/>
        <w:jc w:val="distribute"/>
        <w:rPr>
          <w:rFonts w:ascii="Times New Roman" w:eastAsia="方正楷体_GBK"/>
          <w:spacing w:val="-4"/>
          <w:w w:val="98"/>
          <w:kern w:val="2"/>
        </w:rPr>
      </w:pPr>
      <w:r>
        <w:rPr>
          <w:rFonts w:ascii="Times New Roman" w:eastAsia="宋体" w:hint="eastAsia"/>
          <w:kern w:val="2"/>
        </w:rPr>
        <w:t>——</w:t>
      </w:r>
      <w:r>
        <w:rPr>
          <w:rFonts w:ascii="Times New Roman" w:eastAsia="宋体" w:hint="eastAsia"/>
          <w:kern w:val="2"/>
        </w:rPr>
        <w:t xml:space="preserve"> </w:t>
      </w:r>
      <w:r>
        <w:rPr>
          <w:rFonts w:ascii="Times New Roman" w:eastAsia="方正楷体_GBK"/>
          <w:w w:val="94"/>
          <w:kern w:val="2"/>
        </w:rPr>
        <w:t>2022</w:t>
      </w:r>
      <w:r>
        <w:rPr>
          <w:rFonts w:ascii="Times New Roman" w:eastAsia="方正楷体_GBK"/>
          <w:w w:val="94"/>
          <w:kern w:val="2"/>
        </w:rPr>
        <w:t>年</w:t>
      </w:r>
      <w:r>
        <w:rPr>
          <w:rFonts w:ascii="Times New Roman" w:eastAsia="方正楷体_GBK" w:hint="eastAsia"/>
          <w:w w:val="94"/>
          <w:kern w:val="2"/>
        </w:rPr>
        <w:t>1</w:t>
      </w:r>
      <w:r>
        <w:rPr>
          <w:rFonts w:ascii="Times New Roman" w:eastAsia="方正楷体_GBK"/>
          <w:w w:val="94"/>
          <w:kern w:val="2"/>
        </w:rPr>
        <w:t>月</w:t>
      </w:r>
      <w:r>
        <w:rPr>
          <w:rFonts w:ascii="Times New Roman" w:eastAsia="方正楷体_GBK" w:hint="eastAsia"/>
          <w:w w:val="94"/>
          <w:kern w:val="2"/>
        </w:rPr>
        <w:t>11</w:t>
      </w:r>
      <w:r>
        <w:rPr>
          <w:rFonts w:ascii="Times New Roman" w:eastAsia="方正楷体_GBK"/>
          <w:w w:val="94"/>
          <w:kern w:val="2"/>
        </w:rPr>
        <w:t>日在江阴市第十八届人民代表大会第一次会议上</w:t>
      </w:r>
    </w:p>
    <w:p>
      <w:pPr>
        <w:pStyle w:val="style0"/>
        <w:jc w:val="center"/>
        <w:rPr>
          <w:rFonts w:ascii="Times New Roman" w:eastAsia="方正楷体_GBK"/>
          <w:kern w:val="2"/>
        </w:rPr>
      </w:pPr>
      <w:r>
        <w:rPr>
          <w:rFonts w:ascii="Times New Roman" w:eastAsia="方正楷体_GBK" w:hint="eastAsia"/>
          <w:kern w:val="2"/>
        </w:rPr>
        <w:t>江阴市人民政府</w:t>
      </w:r>
    </w:p>
    <w:p>
      <w:pPr>
        <w:pStyle w:val="style0"/>
        <w:spacing w:lineRule="exact" w:line="460"/>
        <w:rPr>
          <w:rFonts w:ascii="Times New Roman" w:eastAsia="方正楷体_GBK"/>
          <w:kern w:val="2"/>
        </w:rPr>
      </w:pPr>
    </w:p>
    <w:p>
      <w:pPr>
        <w:pStyle w:val="style0"/>
        <w:rPr>
          <w:rFonts w:ascii="Times New Roman" w:eastAsia="方正楷体_GBK"/>
          <w:kern w:val="2"/>
        </w:rPr>
      </w:pPr>
      <w:r>
        <w:rPr>
          <w:rFonts w:ascii="Times New Roman" w:eastAsia="方正楷体_GBK" w:hint="eastAsia"/>
          <w:kern w:val="2"/>
        </w:rPr>
        <w:t>各位代表：</w:t>
      </w:r>
    </w:p>
    <w:p>
      <w:pPr>
        <w:pStyle w:val="style0"/>
        <w:ind w:firstLine="603" w:firstLineChars="200"/>
        <w:rPr>
          <w:rFonts w:ascii="Times New Roman"/>
          <w:kern w:val="2"/>
        </w:rPr>
      </w:pPr>
      <w:r>
        <w:rPr>
          <w:rFonts w:ascii="Times New Roman" w:hint="eastAsia"/>
          <w:kern w:val="2"/>
        </w:rPr>
        <w:t>现在向大会报告全市</w:t>
      </w:r>
      <w:r>
        <w:rPr>
          <w:rFonts w:ascii="Times New Roman" w:hint="eastAsia"/>
          <w:kern w:val="2"/>
        </w:rPr>
        <w:t>2021</w:t>
      </w:r>
      <w:r>
        <w:rPr>
          <w:rFonts w:ascii="Times New Roman" w:hint="eastAsia"/>
          <w:kern w:val="2"/>
        </w:rPr>
        <w:t>年国民经济和社会发展计划执行情况及</w:t>
      </w:r>
      <w:r>
        <w:rPr>
          <w:rFonts w:ascii="Times New Roman" w:hint="eastAsia"/>
          <w:kern w:val="2"/>
        </w:rPr>
        <w:t>2022</w:t>
      </w:r>
      <w:r>
        <w:rPr>
          <w:rFonts w:ascii="Times New Roman" w:hint="eastAsia"/>
          <w:kern w:val="2"/>
        </w:rPr>
        <w:t>年国民经济和社会发展计划</w:t>
      </w:r>
      <w:r>
        <w:rPr>
          <w:rFonts w:ascii="Times New Roman"/>
          <w:kern w:val="2"/>
        </w:rPr>
        <w:t>草案</w:t>
      </w:r>
      <w:r>
        <w:rPr>
          <w:rFonts w:ascii="Times New Roman" w:hint="eastAsia"/>
          <w:kern w:val="2"/>
        </w:rPr>
        <w:t>，请予审议。</w:t>
      </w:r>
    </w:p>
    <w:p>
      <w:pPr>
        <w:pStyle w:val="style0"/>
        <w:ind w:firstLine="603" w:firstLineChars="200"/>
        <w:rPr>
          <w:rFonts w:ascii="Times New Roman"/>
        </w:rPr>
      </w:pPr>
      <w:r>
        <w:rPr>
          <w:rFonts w:ascii="Times New Roman" w:hint="eastAsia"/>
        </w:rPr>
        <w:t>2021</w:t>
      </w:r>
      <w:r>
        <w:rPr>
          <w:rFonts w:ascii="Times New Roman" w:hint="eastAsia"/>
        </w:rPr>
        <w:t>年，在市委的坚强领导下，在市人大、市政协的监督和支持下，全市上下紧紧围绕市委、市政府各项决策部署，扎实做好“六稳”工作、全面落实“六保”任务，统筹推进疫情防控和经济社会发展各项工作，主要指标预计完成情况如下：</w:t>
      </w:r>
    </w:p>
    <w:p>
      <w:pPr>
        <w:pStyle w:val="style0"/>
        <w:ind w:firstLine="603" w:firstLineChars="200"/>
        <w:rPr>
          <w:rFonts w:ascii="Times New Roman"/>
        </w:rPr>
      </w:pPr>
      <w:r>
        <w:rPr>
          <w:rFonts w:ascii="Times New Roman" w:hint="eastAsia"/>
        </w:rPr>
        <w:t>（一）地区生产总值增长</w:t>
      </w:r>
      <w:r>
        <w:rPr>
          <w:rFonts w:ascii="Times New Roman" w:hint="eastAsia"/>
        </w:rPr>
        <w:t>7.5%</w:t>
      </w:r>
      <w:r>
        <w:rPr>
          <w:rFonts w:ascii="Times New Roman" w:hint="eastAsia"/>
        </w:rPr>
        <w:t>左右；</w:t>
      </w:r>
    </w:p>
    <w:p>
      <w:pPr>
        <w:pStyle w:val="style0"/>
        <w:ind w:firstLine="603" w:firstLineChars="200"/>
        <w:rPr>
          <w:rFonts w:ascii="Times New Roman"/>
        </w:rPr>
      </w:pPr>
      <w:r>
        <w:rPr>
          <w:rFonts w:ascii="Times New Roman" w:hint="eastAsia"/>
        </w:rPr>
        <w:t>（二）一般公共预算收入增长</w:t>
      </w:r>
      <w:r>
        <w:rPr>
          <w:rFonts w:ascii="Times New Roman" w:hint="eastAsia"/>
        </w:rPr>
        <w:t>5.5%</w:t>
      </w:r>
      <w:r>
        <w:rPr>
          <w:rFonts w:ascii="Times New Roman" w:hint="eastAsia"/>
        </w:rPr>
        <w:t>；</w:t>
      </w:r>
    </w:p>
    <w:p>
      <w:pPr>
        <w:pStyle w:val="style0"/>
        <w:ind w:firstLine="603" w:firstLineChars="200"/>
        <w:rPr>
          <w:rFonts w:ascii="Times New Roman"/>
        </w:rPr>
      </w:pPr>
      <w:r>
        <w:rPr>
          <w:rFonts w:ascii="Times New Roman" w:hint="eastAsia"/>
        </w:rPr>
        <w:t>（三）规模以上工业增加值增长</w:t>
      </w:r>
      <w:r>
        <w:rPr>
          <w:rFonts w:ascii="Times New Roman" w:hint="eastAsia"/>
        </w:rPr>
        <w:t>8%</w:t>
      </w:r>
      <w:r>
        <w:rPr>
          <w:rFonts w:ascii="Times New Roman" w:hint="eastAsia"/>
        </w:rPr>
        <w:t>以上；</w:t>
      </w:r>
    </w:p>
    <w:p>
      <w:pPr>
        <w:pStyle w:val="style0"/>
        <w:ind w:firstLine="603" w:firstLineChars="200"/>
        <w:rPr>
          <w:rFonts w:ascii="Times New Roman"/>
        </w:rPr>
      </w:pPr>
      <w:r>
        <w:rPr>
          <w:rFonts w:ascii="Times New Roman" w:hint="eastAsia"/>
        </w:rPr>
        <w:t>（四）规上服务业营业收入增长</w:t>
      </w:r>
      <w:r>
        <w:rPr>
          <w:rFonts w:ascii="Times New Roman" w:hint="eastAsia"/>
        </w:rPr>
        <w:t>15%</w:t>
      </w:r>
      <w:r>
        <w:rPr>
          <w:rFonts w:ascii="Times New Roman" w:hint="eastAsia"/>
        </w:rPr>
        <w:t>；</w:t>
      </w:r>
    </w:p>
    <w:p>
      <w:pPr>
        <w:pStyle w:val="style0"/>
        <w:ind w:firstLine="603" w:firstLineChars="200"/>
        <w:rPr>
          <w:rFonts w:ascii="Times New Roman"/>
        </w:rPr>
      </w:pPr>
      <w:r>
        <w:rPr>
          <w:rFonts w:ascii="Times New Roman" w:hint="eastAsia"/>
        </w:rPr>
        <w:t>（五）固定资产投资增长</w:t>
      </w:r>
      <w:r>
        <w:rPr>
          <w:rFonts w:ascii="Times New Roman"/>
        </w:rPr>
        <w:t>4.8</w:t>
      </w:r>
      <w:r>
        <w:rPr>
          <w:rFonts w:ascii="Times New Roman" w:hint="eastAsia"/>
        </w:rPr>
        <w:t>%</w:t>
      </w:r>
      <w:r>
        <w:rPr>
          <w:rFonts w:ascii="Times New Roman" w:hint="eastAsia"/>
        </w:rPr>
        <w:t>；</w:t>
      </w:r>
    </w:p>
    <w:p>
      <w:pPr>
        <w:pStyle w:val="style0"/>
        <w:ind w:firstLine="603" w:firstLineChars="200"/>
        <w:rPr>
          <w:rFonts w:ascii="Times New Roman"/>
        </w:rPr>
      </w:pPr>
      <w:r>
        <w:rPr>
          <w:rFonts w:ascii="Times New Roman" w:hint="eastAsia"/>
        </w:rPr>
        <w:t>（六）社会消费品零售总额增长</w:t>
      </w:r>
      <w:r>
        <w:rPr>
          <w:rFonts w:ascii="Times New Roman" w:hint="eastAsia"/>
        </w:rPr>
        <w:t>5%</w:t>
      </w:r>
      <w:r>
        <w:rPr>
          <w:rFonts w:ascii="Times New Roman" w:hint="eastAsia"/>
        </w:rPr>
        <w:t>左右；</w:t>
      </w:r>
    </w:p>
    <w:p>
      <w:pPr>
        <w:pStyle w:val="style0"/>
        <w:ind w:firstLine="603" w:firstLineChars="200"/>
        <w:rPr>
          <w:rFonts w:ascii="Times New Roman"/>
        </w:rPr>
      </w:pPr>
      <w:r>
        <w:rPr>
          <w:rFonts w:ascii="Times New Roman" w:hint="eastAsia"/>
        </w:rPr>
        <w:t>（七）进出口总额增长</w:t>
      </w:r>
      <w:r>
        <w:rPr>
          <w:rFonts w:ascii="Times New Roman" w:hint="eastAsia"/>
        </w:rPr>
        <w:t>18%</w:t>
      </w:r>
      <w:r>
        <w:rPr>
          <w:rFonts w:ascii="Times New Roman" w:hint="eastAsia"/>
        </w:rPr>
        <w:t>；</w:t>
      </w:r>
    </w:p>
    <w:p>
      <w:pPr>
        <w:pStyle w:val="style0"/>
        <w:ind w:firstLine="603" w:firstLineChars="200"/>
        <w:rPr>
          <w:rFonts w:ascii="Times New Roman"/>
        </w:rPr>
      </w:pPr>
      <w:r>
        <w:rPr>
          <w:rFonts w:ascii="Times New Roman" w:hint="eastAsia"/>
        </w:rPr>
        <w:t>（八）实际利用外资</w:t>
      </w:r>
      <w:r>
        <w:rPr>
          <w:rFonts w:ascii="Times New Roman" w:hint="eastAsia"/>
        </w:rPr>
        <w:t>9.7</w:t>
      </w:r>
      <w:r>
        <w:rPr>
          <w:rFonts w:ascii="Times New Roman" w:hint="eastAsia"/>
        </w:rPr>
        <w:t>亿美元；</w:t>
      </w:r>
    </w:p>
    <w:p>
      <w:pPr>
        <w:pStyle w:val="style0"/>
        <w:ind w:firstLine="603" w:firstLineChars="200"/>
        <w:rPr>
          <w:rFonts w:ascii="Times New Roman"/>
        </w:rPr>
      </w:pPr>
      <w:r>
        <w:rPr>
          <w:rFonts w:ascii="Times New Roman" w:hint="eastAsia"/>
        </w:rPr>
        <w:t>（九）城镇居民人均可支配收入和农村居民人均可支配收入</w:t>
      </w:r>
      <w:r>
        <w:rPr>
          <w:rFonts w:ascii="Times New Roman" w:hint="eastAsia"/>
        </w:rPr>
        <w:t>同比增长</w:t>
      </w:r>
      <w:r>
        <w:rPr>
          <w:rFonts w:ascii="Times New Roman" w:hint="eastAsia"/>
        </w:rPr>
        <w:t>8%</w:t>
      </w:r>
      <w:r>
        <w:rPr>
          <w:rFonts w:ascii="Times New Roman" w:hint="eastAsia"/>
        </w:rPr>
        <w:t>和</w:t>
      </w:r>
      <w:r>
        <w:rPr>
          <w:rFonts w:ascii="Times New Roman" w:hint="eastAsia"/>
        </w:rPr>
        <w:t>8.8%</w:t>
      </w:r>
      <w:r>
        <w:rPr>
          <w:rFonts w:ascii="Times New Roman" w:hint="eastAsia"/>
        </w:rPr>
        <w:t>；</w:t>
      </w:r>
    </w:p>
    <w:p>
      <w:pPr>
        <w:pStyle w:val="style0"/>
        <w:ind w:firstLine="603" w:firstLineChars="200"/>
        <w:rPr>
          <w:rFonts w:ascii="Times New Roman"/>
        </w:rPr>
      </w:pPr>
      <w:r>
        <w:rPr>
          <w:rFonts w:ascii="Times New Roman" w:hint="eastAsia"/>
        </w:rPr>
        <w:t>（十）城镇登记失业率控制在</w:t>
      </w:r>
      <w:r>
        <w:rPr>
          <w:rFonts w:ascii="Times New Roman" w:hint="eastAsia"/>
        </w:rPr>
        <w:t>3%</w:t>
      </w:r>
      <w:r>
        <w:rPr>
          <w:rFonts w:ascii="Times New Roman" w:hint="eastAsia"/>
        </w:rPr>
        <w:t>以内；</w:t>
      </w:r>
    </w:p>
    <w:p>
      <w:pPr>
        <w:pStyle w:val="style0"/>
        <w:ind w:firstLine="603" w:firstLineChars="200"/>
        <w:rPr>
          <w:rFonts w:ascii="Times New Roman"/>
        </w:rPr>
      </w:pPr>
      <w:r>
        <w:rPr>
          <w:rFonts w:ascii="Times New Roman" w:hint="eastAsia"/>
        </w:rPr>
        <w:t>（十一）万元</w:t>
      </w:r>
      <w:r>
        <w:rPr>
          <w:rFonts w:ascii="Times New Roman" w:hint="eastAsia"/>
        </w:rPr>
        <w:t>GDP</w:t>
      </w:r>
      <w:r>
        <w:rPr>
          <w:rFonts w:ascii="Times New Roman" w:hint="eastAsia"/>
        </w:rPr>
        <w:t>能耗削减完成上级下达的目标任务；</w:t>
      </w:r>
    </w:p>
    <w:p>
      <w:pPr>
        <w:pStyle w:val="style0"/>
        <w:ind w:firstLine="603" w:firstLineChars="200"/>
        <w:rPr>
          <w:rFonts w:ascii="Times New Roman"/>
        </w:rPr>
      </w:pPr>
      <w:r>
        <w:rPr>
          <w:rFonts w:ascii="Times New Roman" w:hint="eastAsia"/>
        </w:rPr>
        <w:t>（十二）主要污染物化学需氧量、二氧化硫、氨氮和氮氧化物削减完成上级下达的目标任务；</w:t>
      </w:r>
    </w:p>
    <w:p>
      <w:pPr>
        <w:pStyle w:val="style0"/>
        <w:ind w:firstLine="603" w:firstLineChars="200"/>
        <w:rPr>
          <w:rFonts w:ascii="Times New Roman"/>
        </w:rPr>
      </w:pPr>
      <w:r>
        <w:rPr>
          <w:rFonts w:ascii="Times New Roman" w:hint="eastAsia"/>
        </w:rPr>
        <w:t>（十三）空气质量优良天数比率达到</w:t>
      </w:r>
      <w:r>
        <w:rPr>
          <w:rFonts w:ascii="Times New Roman" w:hint="eastAsia"/>
        </w:rPr>
        <w:t>79.2%</w:t>
      </w:r>
      <w:r>
        <w:rPr>
          <w:rFonts w:ascii="Times New Roman" w:hint="eastAsia"/>
        </w:rPr>
        <w:t>。</w:t>
      </w:r>
    </w:p>
    <w:p>
      <w:pPr>
        <w:pStyle w:val="style0"/>
        <w:ind w:firstLine="603" w:firstLineChars="200"/>
        <w:rPr>
          <w:rFonts w:ascii="Times New Roman"/>
        </w:rPr>
      </w:pPr>
      <w:r>
        <w:rPr>
          <w:rFonts w:ascii="Times New Roman"/>
        </w:rPr>
        <w:t>13</w:t>
      </w:r>
      <w:r>
        <w:rPr>
          <w:rFonts w:ascii="Times New Roman" w:hint="eastAsia"/>
        </w:rPr>
        <w:t>项指标中，</w:t>
      </w:r>
      <w:r>
        <w:rPr>
          <w:rFonts w:ascii="Times New Roman" w:hint="eastAsia"/>
          <w:kern w:val="2"/>
        </w:rPr>
        <w:t>固定资产投资、社会消费品零售总额、</w:t>
      </w:r>
      <w:r>
        <w:rPr>
          <w:rFonts w:ascii="Times New Roman" w:hint="eastAsia"/>
        </w:rPr>
        <w:t>实际利用外资、</w:t>
      </w:r>
      <w:r>
        <w:rPr>
          <w:rFonts w:ascii="Times New Roman" w:hint="eastAsia"/>
          <w:kern w:val="2"/>
        </w:rPr>
        <w:t>空气质量优良天数比率</w:t>
      </w:r>
      <w:r>
        <w:rPr>
          <w:rFonts w:ascii="Times New Roman" w:hint="eastAsia"/>
        </w:rPr>
        <w:t>等</w:t>
      </w:r>
      <w:r>
        <w:rPr>
          <w:rFonts w:ascii="Times New Roman" w:hint="eastAsia"/>
        </w:rPr>
        <w:t>4</w:t>
      </w:r>
      <w:r>
        <w:rPr>
          <w:rFonts w:ascii="Times New Roman" w:hint="eastAsia"/>
        </w:rPr>
        <w:t>项指标较年度目标仍有差距</w:t>
      </w:r>
      <w:r>
        <w:rPr>
          <w:rFonts w:ascii="Times New Roman" w:hint="eastAsia"/>
          <w:kern w:val="2"/>
        </w:rPr>
        <w:t>，其余</w:t>
      </w:r>
      <w:r>
        <w:rPr>
          <w:rFonts w:ascii="Times New Roman" w:hint="eastAsia"/>
          <w:kern w:val="2"/>
        </w:rPr>
        <w:t>9</w:t>
      </w:r>
      <w:r>
        <w:rPr>
          <w:rFonts w:ascii="Times New Roman" w:hint="eastAsia"/>
          <w:kern w:val="2"/>
        </w:rPr>
        <w:t>项预计可以完成目标任务。</w:t>
      </w:r>
      <w:r>
        <w:rPr>
          <w:rFonts w:ascii="Times New Roman" w:hint="eastAsia"/>
        </w:rPr>
        <w:t>主要原因：受土地、</w:t>
      </w:r>
      <w:r>
        <w:rPr>
          <w:rFonts w:ascii="Times New Roman"/>
        </w:rPr>
        <w:t>生态环境</w:t>
      </w:r>
      <w:r>
        <w:rPr>
          <w:rFonts w:ascii="Times New Roman" w:hint="eastAsia"/>
        </w:rPr>
        <w:t>等</w:t>
      </w:r>
      <w:r>
        <w:rPr>
          <w:rFonts w:ascii="Times New Roman"/>
        </w:rPr>
        <w:t>因素制约，</w:t>
      </w:r>
      <w:r>
        <w:rPr>
          <w:rFonts w:ascii="Times New Roman" w:hint="eastAsia"/>
        </w:rPr>
        <w:t>工业领域投资受限</w:t>
      </w:r>
      <w:r>
        <w:rPr>
          <w:rFonts w:ascii="Times New Roman"/>
        </w:rPr>
        <w:t>，</w:t>
      </w:r>
      <w:r>
        <w:rPr>
          <w:rFonts w:ascii="Times New Roman" w:hint="eastAsia"/>
        </w:rPr>
        <w:t>造成固定资产投资低于预期目标</w:t>
      </w:r>
      <w:r>
        <w:rPr>
          <w:rFonts w:ascii="Times New Roman"/>
        </w:rPr>
        <w:t>；占比最大的汽车行业因全球疫情</w:t>
      </w:r>
      <w:r>
        <w:rPr>
          <w:rFonts w:ascii="Times New Roman" w:hint="eastAsia"/>
        </w:rPr>
        <w:t>和芯片短缺</w:t>
      </w:r>
      <w:r>
        <w:rPr>
          <w:rFonts w:ascii="Times New Roman"/>
        </w:rPr>
        <w:t>影响，车辆交付普遍推迟，销售额同比下跌，对社会消费品零售总额支撑减弱；受省外资统计政策调整影响，非现汇类项目</w:t>
      </w:r>
      <w:r>
        <w:rPr>
          <w:rFonts w:ascii="Times New Roman"/>
        </w:rPr>
        <w:t>2021</w:t>
      </w:r>
      <w:r>
        <w:rPr>
          <w:rFonts w:ascii="Times New Roman"/>
        </w:rPr>
        <w:t>年暂缓统计，我市按照无锡市调整后的目标任务完成上报数</w:t>
      </w:r>
      <w:r>
        <w:rPr>
          <w:rFonts w:ascii="Times New Roman"/>
        </w:rPr>
        <w:t>9.7</w:t>
      </w:r>
      <w:r>
        <w:rPr>
          <w:rFonts w:ascii="Times New Roman"/>
        </w:rPr>
        <w:t>亿美元；</w:t>
      </w:r>
      <w:r>
        <w:rPr>
          <w:rFonts w:ascii="Times New Roman" w:hint="eastAsia"/>
          <w:kern w:val="2"/>
        </w:rPr>
        <w:t>全市大气污染物排放总量较大，且</w:t>
      </w:r>
      <w:r>
        <w:rPr>
          <w:rFonts w:ascii="Times New Roman" w:hint="eastAsia"/>
          <w:kern w:val="2"/>
        </w:rPr>
        <w:t>2021</w:t>
      </w:r>
      <w:r>
        <w:rPr>
          <w:rFonts w:ascii="Times New Roman" w:hint="eastAsia"/>
          <w:kern w:val="2"/>
        </w:rPr>
        <w:t>年不利气象条件天数比</w:t>
      </w:r>
      <w:r>
        <w:rPr>
          <w:rFonts w:ascii="Times New Roman" w:hint="eastAsia"/>
          <w:kern w:val="2"/>
        </w:rPr>
        <w:t>2020</w:t>
      </w:r>
      <w:r>
        <w:rPr>
          <w:rFonts w:ascii="Times New Roman" w:hint="eastAsia"/>
          <w:kern w:val="2"/>
        </w:rPr>
        <w:t>年多</w:t>
      </w:r>
      <w:r>
        <w:rPr>
          <w:rFonts w:ascii="Times New Roman" w:hint="eastAsia"/>
          <w:kern w:val="2"/>
        </w:rPr>
        <w:t>12</w:t>
      </w:r>
      <w:r>
        <w:rPr>
          <w:rFonts w:ascii="Times New Roman" w:hint="eastAsia"/>
          <w:kern w:val="2"/>
        </w:rPr>
        <w:t>天，拉低</w:t>
      </w:r>
      <w:r>
        <w:rPr>
          <w:rFonts w:ascii="Times New Roman" w:hint="eastAsia"/>
        </w:rPr>
        <w:t>空气质量优良天数比率</w:t>
      </w:r>
      <w:r>
        <w:rPr>
          <w:rFonts w:ascii="Times New Roman" w:hint="eastAsia"/>
          <w:kern w:val="2"/>
        </w:rPr>
        <w:t>。</w:t>
      </w:r>
    </w:p>
    <w:p>
      <w:pPr>
        <w:pStyle w:val="style0"/>
        <w:ind w:firstLine="603" w:firstLineChars="200"/>
        <w:rPr>
          <w:rFonts w:ascii="Times New Roman" w:eastAsia="方正黑体_GBK"/>
        </w:rPr>
      </w:pPr>
      <w:r>
        <w:rPr>
          <w:rFonts w:ascii="Times New Roman" w:eastAsia="方正黑体_GBK" w:hint="eastAsia"/>
        </w:rPr>
        <w:t>一、</w:t>
      </w:r>
      <w:r>
        <w:rPr>
          <w:rFonts w:ascii="Times New Roman" w:eastAsia="方正黑体_GBK" w:hint="eastAsia"/>
        </w:rPr>
        <w:t>2021</w:t>
      </w:r>
      <w:r>
        <w:rPr>
          <w:rFonts w:ascii="Times New Roman" w:eastAsia="方正黑体_GBK" w:hint="eastAsia"/>
        </w:rPr>
        <w:t>年国民经济和社会发展主要情况</w:t>
      </w:r>
    </w:p>
    <w:p>
      <w:pPr>
        <w:pStyle w:val="style0"/>
        <w:ind w:firstLine="614" w:firstLineChars="200"/>
        <w:rPr>
          <w:rFonts w:ascii="Times New Roman"/>
          <w:spacing w:val="-3"/>
          <w:kern w:val="2"/>
        </w:rPr>
      </w:pPr>
      <w:r>
        <w:rPr>
          <w:rFonts w:ascii="Times New Roman" w:eastAsia="方正楷体_GBK" w:hint="eastAsia"/>
          <w:b/>
          <w:spacing w:val="2"/>
        </w:rPr>
        <w:t>（一）重大战略强势推进。</w:t>
      </w:r>
      <w:r>
        <w:rPr>
          <w:rFonts w:ascii="Times New Roman" w:hint="eastAsia"/>
          <w:kern w:val="2"/>
          <w:szCs w:val="24"/>
        </w:rPr>
        <w:t>全面实施“南征北战、东西互搏”总战略，霞客湾科学城战略规划与概念性城市设计完成国际招标和编制工作，绮山湖科创谷产业发展和科创载体等专项规划编制加快推进。霞客湾科学城科教孵化中心一期开工、江南大学江阴合作办学项目启动，武汉大学长三角科技创新中心落地运营。新</w:t>
      </w:r>
      <w:r>
        <w:rPr>
          <w:rFonts w:ascii="Times New Roman" w:hint="eastAsia"/>
          <w:kern w:val="2"/>
          <w:szCs w:val="24"/>
        </w:rPr>
        <w:t>组建全国资港口发展公司，江阴港货物吞吐量升至全国内河港第三位。全面落实长江大保护，完成桃花港湿地保护小区建设和沿江</w:t>
      </w:r>
      <w:r>
        <w:rPr>
          <w:rFonts w:ascii="Times New Roman" w:hint="eastAsia"/>
          <w:kern w:val="2"/>
          <w:szCs w:val="24"/>
        </w:rPr>
        <w:t>10</w:t>
      </w:r>
      <w:r>
        <w:rPr>
          <w:rFonts w:ascii="Times New Roman" w:hint="eastAsia"/>
          <w:kern w:val="2"/>
          <w:szCs w:val="24"/>
        </w:rPr>
        <w:t>公里范围内</w:t>
      </w:r>
      <w:r>
        <w:rPr>
          <w:rFonts w:ascii="Times New Roman" w:hint="eastAsia"/>
          <w:kern w:val="2"/>
          <w:szCs w:val="24"/>
        </w:rPr>
        <w:t>20</w:t>
      </w:r>
      <w:r>
        <w:rPr>
          <w:rFonts w:ascii="Times New Roman" w:hint="eastAsia"/>
          <w:kern w:val="2"/>
          <w:szCs w:val="24"/>
        </w:rPr>
        <w:t>个废弃矿山宕口治理。</w:t>
      </w:r>
      <w:r>
        <w:rPr>
          <w:rFonts w:ascii="Times New Roman" w:cs="方正仿宋_GBK" w:hint="eastAsia"/>
          <w:kern w:val="2"/>
        </w:rPr>
        <w:t>严格落实长江十年禁渔令，</w:t>
      </w:r>
      <w:r>
        <w:rPr>
          <w:rFonts w:ascii="Times New Roman" w:cs="宋体" w:hint="eastAsia"/>
          <w:spacing w:val="-3"/>
          <w:kern w:val="2"/>
        </w:rPr>
        <w:t>完成长江禁捕退捕信息化防控江盾平台建设，</w:t>
      </w:r>
      <w:r>
        <w:rPr>
          <w:rFonts w:ascii="Times New Roman" w:hint="eastAsia"/>
          <w:spacing w:val="-3"/>
          <w:kern w:val="2"/>
        </w:rPr>
        <w:t>查处涉渔违法案件</w:t>
      </w:r>
      <w:r>
        <w:rPr>
          <w:rFonts w:ascii="Times New Roman" w:hint="eastAsia"/>
          <w:spacing w:val="-3"/>
          <w:kern w:val="2"/>
        </w:rPr>
        <w:t>91</w:t>
      </w:r>
      <w:r>
        <w:rPr>
          <w:rFonts w:ascii="Times New Roman" w:hint="eastAsia"/>
          <w:spacing w:val="-3"/>
          <w:kern w:val="2"/>
        </w:rPr>
        <w:t>起，投放鱼种</w:t>
      </w:r>
      <w:r>
        <w:rPr>
          <w:rFonts w:ascii="Times New Roman" w:hint="eastAsia"/>
          <w:spacing w:val="-3"/>
          <w:kern w:val="2"/>
        </w:rPr>
        <w:t>590</w:t>
      </w:r>
      <w:r>
        <w:rPr>
          <w:rFonts w:ascii="Times New Roman" w:hint="eastAsia"/>
          <w:spacing w:val="-3"/>
          <w:kern w:val="2"/>
        </w:rPr>
        <w:t>万尾。</w:t>
      </w:r>
      <w:r>
        <w:rPr>
          <w:rFonts w:ascii="Times New Roman" w:hint="eastAsia"/>
          <w:kern w:val="2"/>
          <w:szCs w:val="24"/>
        </w:rPr>
        <w:t>启动工业园区升级改造三年行动，</w:t>
      </w:r>
      <w:r>
        <w:rPr>
          <w:rFonts w:ascii="Times New Roman" w:hint="eastAsia"/>
        </w:rPr>
        <w:t>形成近期“</w:t>
      </w:r>
      <w:r>
        <w:rPr>
          <w:rFonts w:ascii="Times New Roman" w:hint="eastAsia"/>
        </w:rPr>
        <w:t>20+10+X</w:t>
      </w:r>
      <w:r>
        <w:rPr>
          <w:rFonts w:ascii="Times New Roman" w:hint="eastAsia"/>
        </w:rPr>
        <w:t>”、远期“</w:t>
      </w:r>
      <w:r>
        <w:rPr>
          <w:rFonts w:ascii="Times New Roman" w:hint="eastAsia"/>
        </w:rPr>
        <w:t>20+10</w:t>
      </w:r>
      <w:r>
        <w:rPr>
          <w:rFonts w:ascii="Times New Roman" w:hint="eastAsia"/>
        </w:rPr>
        <w:t>”的产业空间结构，基本明确各镇街园区产业定位，</w:t>
      </w:r>
      <w:r>
        <w:rPr>
          <w:rFonts w:ascii="Times New Roman" w:hint="eastAsia"/>
          <w:kern w:val="2"/>
          <w:szCs w:val="24"/>
        </w:rPr>
        <w:t>推进工业园区信息管理平台建设，完成</w:t>
      </w:r>
      <w:r>
        <w:rPr>
          <w:rFonts w:ascii="Times New Roman" w:hint="eastAsia"/>
          <w:kern w:val="2"/>
          <w:szCs w:val="24"/>
        </w:rPr>
        <w:t>2</w:t>
      </w:r>
      <w:r>
        <w:rPr>
          <w:rFonts w:ascii="Times New Roman" w:hint="eastAsia"/>
          <w:kern w:val="2"/>
          <w:szCs w:val="24"/>
        </w:rPr>
        <w:t>万余家工业企业上图入库，盘活腾退提升土地</w:t>
      </w:r>
      <w:r>
        <w:rPr>
          <w:rFonts w:ascii="Times New Roman" w:hint="eastAsia"/>
          <w:kern w:val="2"/>
          <w:szCs w:val="24"/>
        </w:rPr>
        <w:t>1.9</w:t>
      </w:r>
      <w:r>
        <w:rPr>
          <w:rFonts w:ascii="Times New Roman" w:hint="eastAsia"/>
          <w:kern w:val="2"/>
          <w:szCs w:val="24"/>
        </w:rPr>
        <w:t>万亩。</w:t>
      </w:r>
    </w:p>
    <w:p>
      <w:pPr>
        <w:pStyle w:val="style0"/>
        <w:ind w:firstLine="614" w:firstLineChars="200"/>
        <w:rPr>
          <w:rFonts w:ascii="Times New Roman" w:cs="方正仿宋_GBK"/>
          <w:kern w:val="2"/>
          <w:szCs w:val="40"/>
        </w:rPr>
      </w:pPr>
      <w:r>
        <w:rPr>
          <w:rFonts w:ascii="Times New Roman" w:eastAsia="方正楷体_GBK" w:hint="eastAsia"/>
          <w:b/>
          <w:spacing w:val="2"/>
        </w:rPr>
        <w:t>（二）</w:t>
      </w:r>
      <w:r>
        <w:rPr>
          <w:rFonts w:ascii="Times New Roman" w:eastAsia="方正楷体_GBK" w:hint="eastAsia"/>
          <w:b/>
        </w:rPr>
        <w:t>经济保持平稳增长。</w:t>
      </w:r>
      <w:r>
        <w:rPr>
          <w:rFonts w:ascii="Times New Roman" w:cs="方正仿宋_GBK" w:eastAsia="方正楷体_GBK" w:hint="eastAsia"/>
          <w:bCs/>
        </w:rPr>
        <w:t>工业经济稳中有进。</w:t>
      </w:r>
      <w:r>
        <w:rPr>
          <w:rFonts w:ascii="Times New Roman" w:hint="eastAsia"/>
          <w:kern w:val="2"/>
          <w:szCs w:val="22"/>
        </w:rPr>
        <w:t>预计规模以上工业产值增</w:t>
      </w:r>
      <w:r>
        <w:rPr>
          <w:rFonts w:ascii="Times New Roman" w:hint="eastAsia"/>
        </w:rPr>
        <w:t>长</w:t>
      </w:r>
      <w:r>
        <w:rPr>
          <w:rFonts w:ascii="Times New Roman" w:hint="eastAsia"/>
        </w:rPr>
        <w:t>14.7%</w:t>
      </w:r>
      <w:r>
        <w:rPr>
          <w:rFonts w:ascii="Times New Roman" w:hint="eastAsia"/>
        </w:rPr>
        <w:t>，荣获中国工业百强县（市）“五连冠”</w:t>
      </w:r>
      <w:r>
        <w:rPr>
          <w:rFonts w:ascii="Times New Roman" w:hint="eastAsia"/>
          <w:kern w:val="2"/>
          <w:szCs w:val="22"/>
        </w:rPr>
        <w:t>。</w:t>
      </w:r>
      <w:r>
        <w:rPr>
          <w:rFonts w:ascii="Times New Roman" w:hint="eastAsia"/>
        </w:rPr>
        <w:t>10</w:t>
      </w:r>
      <w:r>
        <w:rPr>
          <w:rFonts w:ascii="Times New Roman" w:hint="eastAsia"/>
        </w:rPr>
        <w:t>家企业入围“中国企业</w:t>
      </w:r>
      <w:r>
        <w:rPr>
          <w:rFonts w:ascii="Times New Roman" w:hint="eastAsia"/>
        </w:rPr>
        <w:t>500</w:t>
      </w:r>
      <w:r>
        <w:rPr>
          <w:rFonts w:ascii="Times New Roman" w:hint="eastAsia"/>
        </w:rPr>
        <w:t>强”，</w:t>
      </w:r>
      <w:r>
        <w:rPr>
          <w:rFonts w:ascii="Times New Roman" w:hint="eastAsia"/>
        </w:rPr>
        <w:t>15</w:t>
      </w:r>
      <w:r>
        <w:rPr>
          <w:rFonts w:ascii="Times New Roman" w:hint="eastAsia"/>
        </w:rPr>
        <w:t>家企业入围“中国制造业企业</w:t>
      </w:r>
      <w:r>
        <w:rPr>
          <w:rFonts w:ascii="Times New Roman" w:hint="eastAsia"/>
        </w:rPr>
        <w:t>500</w:t>
      </w:r>
      <w:r>
        <w:rPr>
          <w:rFonts w:ascii="Times New Roman" w:hint="eastAsia"/>
        </w:rPr>
        <w:t>强”</w:t>
      </w:r>
      <w:r>
        <w:rPr>
          <w:rFonts w:ascii="Times New Roman" w:hint="eastAsia"/>
          <w:kern w:val="2"/>
          <w:szCs w:val="22"/>
        </w:rPr>
        <w:t>。</w:t>
      </w:r>
      <w:r>
        <w:rPr>
          <w:rFonts w:ascii="Times New Roman" w:cs="方正仿宋_GBK" w:eastAsia="方正楷体_GBK" w:hint="eastAsia"/>
          <w:bCs/>
        </w:rPr>
        <w:t>服务业发展稳中提质。</w:t>
      </w:r>
      <w:r>
        <w:rPr>
          <w:rFonts w:ascii="Times New Roman" w:hint="eastAsia"/>
          <w:kern w:val="2"/>
          <w:szCs w:val="24"/>
        </w:rPr>
        <w:t>预计完成规上服务业营业收入</w:t>
      </w:r>
      <w:r>
        <w:rPr>
          <w:rFonts w:ascii="Times New Roman" w:hint="eastAsia"/>
          <w:kern w:val="2"/>
          <w:szCs w:val="24"/>
        </w:rPr>
        <w:t>235</w:t>
      </w:r>
      <w:r>
        <w:rPr>
          <w:rFonts w:ascii="Times New Roman" w:hint="eastAsia"/>
          <w:kern w:val="2"/>
          <w:szCs w:val="24"/>
        </w:rPr>
        <w:t>亿元，贸易总额预计增长</w:t>
      </w:r>
      <w:r>
        <w:rPr>
          <w:rFonts w:ascii="Times New Roman" w:hint="eastAsia"/>
          <w:kern w:val="2"/>
          <w:szCs w:val="24"/>
        </w:rPr>
        <w:t>36%</w:t>
      </w:r>
      <w:r>
        <w:rPr>
          <w:rFonts w:ascii="Times New Roman" w:hint="eastAsia"/>
          <w:kern w:val="2"/>
          <w:szCs w:val="24"/>
        </w:rPr>
        <w:t>，双良节能入围国家首批两业融合企业试点。</w:t>
      </w:r>
      <w:r>
        <w:rPr>
          <w:rFonts w:ascii="Times New Roman" w:hint="eastAsia"/>
        </w:rPr>
        <w:t>10</w:t>
      </w:r>
      <w:r>
        <w:rPr>
          <w:rFonts w:ascii="Times New Roman" w:hint="eastAsia"/>
        </w:rPr>
        <w:t>家企业入选中国服务业企业</w:t>
      </w:r>
      <w:r>
        <w:rPr>
          <w:rFonts w:ascii="Times New Roman" w:hint="eastAsia"/>
        </w:rPr>
        <w:t>500</w:t>
      </w:r>
      <w:r>
        <w:rPr>
          <w:rFonts w:ascii="Times New Roman" w:hint="eastAsia"/>
        </w:rPr>
        <w:t>强，别样海外购等多家重点跨境头部企业注册落地。</w:t>
      </w:r>
      <w:r>
        <w:rPr>
          <w:rFonts w:ascii="Times New Roman" w:cs="方正仿宋_GBK" w:eastAsia="方正楷体_GBK" w:hint="eastAsia"/>
          <w:bCs/>
        </w:rPr>
        <w:t>农业现代化步伐加快。</w:t>
      </w:r>
      <w:r>
        <w:rPr>
          <w:rFonts w:ascii="Times New Roman" w:cs="方正仿宋_GBK" w:hint="eastAsia"/>
          <w:kern w:val="2"/>
        </w:rPr>
        <w:t>完成农田连片整治</w:t>
      </w:r>
      <w:r>
        <w:rPr>
          <w:rFonts w:ascii="Times New Roman" w:cs="方正仿宋_GBK" w:hint="eastAsia"/>
          <w:kern w:val="2"/>
        </w:rPr>
        <w:t>1.08</w:t>
      </w:r>
      <w:r>
        <w:rPr>
          <w:rFonts w:ascii="Times New Roman" w:cs="方正仿宋_GBK" w:hint="eastAsia"/>
          <w:kern w:val="2"/>
        </w:rPr>
        <w:t>万亩、高标准农田建设</w:t>
      </w:r>
      <w:r>
        <w:rPr>
          <w:rFonts w:ascii="Times New Roman" w:cs="方正仿宋_GBK" w:hint="eastAsia"/>
          <w:kern w:val="2"/>
        </w:rPr>
        <w:t>8400</w:t>
      </w:r>
      <w:r>
        <w:rPr>
          <w:rFonts w:ascii="Times New Roman" w:cs="方正仿宋_GBK" w:hint="eastAsia"/>
          <w:kern w:val="2"/>
        </w:rPr>
        <w:t>亩，建成省级绿色优质农产品基地</w:t>
      </w:r>
      <w:r>
        <w:rPr>
          <w:rFonts w:ascii="Times New Roman" w:cs="方正仿宋_GBK" w:hint="eastAsia"/>
          <w:kern w:val="2"/>
        </w:rPr>
        <w:t>12</w:t>
      </w:r>
      <w:r>
        <w:rPr>
          <w:rFonts w:ascii="Times New Roman" w:cs="方正仿宋_GBK" w:hint="eastAsia"/>
          <w:kern w:val="2"/>
        </w:rPr>
        <w:t>个，</w:t>
      </w:r>
      <w:r>
        <w:rPr>
          <w:rFonts w:ascii="Times New Roman" w:hint="eastAsia"/>
          <w:kern w:val="2"/>
        </w:rPr>
        <w:t>建设“百企建百园”项目</w:t>
      </w:r>
      <w:r>
        <w:rPr>
          <w:rFonts w:ascii="Times New Roman" w:hint="eastAsia"/>
          <w:kern w:val="2"/>
        </w:rPr>
        <w:t>10</w:t>
      </w:r>
      <w:r>
        <w:rPr>
          <w:rFonts w:ascii="Times New Roman" w:hint="eastAsia"/>
          <w:kern w:val="2"/>
        </w:rPr>
        <w:t>个</w:t>
      </w:r>
      <w:r>
        <w:rPr>
          <w:rFonts w:ascii="Times New Roman" w:cs="方正仿宋_GBK" w:hint="eastAsia"/>
          <w:kern w:val="2"/>
          <w:szCs w:val="40"/>
        </w:rPr>
        <w:t>，</w:t>
      </w:r>
      <w:r>
        <w:rPr>
          <w:rFonts w:ascii="Times New Roman" w:hint="eastAsia"/>
          <w:kern w:val="2"/>
        </w:rPr>
        <w:t>创成国家农作物病虫害“绿色防控示范县”</w:t>
      </w:r>
      <w:r>
        <w:rPr>
          <w:rFonts w:ascii="Times New Roman" w:hint="eastAsia"/>
        </w:rPr>
        <w:t>。</w:t>
      </w:r>
      <w:r>
        <w:rPr>
          <w:rFonts w:ascii="Times New Roman" w:cs="方正仿宋_GBK" w:eastAsia="方正楷体_GBK" w:hint="eastAsia"/>
          <w:bCs/>
        </w:rPr>
        <w:t>产融结合稳步推进。</w:t>
      </w:r>
      <w:r>
        <w:rPr>
          <w:rFonts w:ascii="Times New Roman" w:cs="方正仿宋_GBK" w:hint="eastAsia"/>
          <w:kern w:val="2"/>
          <w:szCs w:val="40"/>
        </w:rPr>
        <w:t>新增上市企业</w:t>
      </w:r>
      <w:r>
        <w:rPr>
          <w:rFonts w:ascii="Times New Roman" w:cs="方正仿宋_GBK" w:hint="eastAsia"/>
          <w:kern w:val="2"/>
          <w:szCs w:val="40"/>
        </w:rPr>
        <w:t>3</w:t>
      </w:r>
      <w:r>
        <w:rPr>
          <w:rFonts w:ascii="Times New Roman" w:cs="方正仿宋_GBK" w:hint="eastAsia"/>
          <w:kern w:val="2"/>
          <w:szCs w:val="40"/>
        </w:rPr>
        <w:t>家，“江阴板块”实现股权融资</w:t>
      </w:r>
      <w:r>
        <w:rPr>
          <w:rFonts w:ascii="Times New Roman" w:cs="方正仿宋_GBK" w:hint="eastAsia"/>
          <w:kern w:val="2"/>
          <w:szCs w:val="40"/>
        </w:rPr>
        <w:t>105.62</w:t>
      </w:r>
      <w:r>
        <w:rPr>
          <w:rFonts w:ascii="Times New Roman" w:cs="方正仿宋_GBK" w:hint="eastAsia"/>
          <w:kern w:val="2"/>
          <w:szCs w:val="40"/>
        </w:rPr>
        <w:t>亿元，</w:t>
      </w:r>
      <w:r>
        <w:rPr>
          <w:rFonts w:ascii="Times New Roman" w:hint="eastAsia"/>
          <w:kern w:val="2"/>
        </w:rPr>
        <w:t>金融机构本外币各项贷款余额</w:t>
      </w:r>
      <w:r>
        <w:rPr>
          <w:rFonts w:ascii="Times New Roman" w:hint="eastAsia"/>
          <w:kern w:val="2"/>
        </w:rPr>
        <w:t>3828.1</w:t>
      </w:r>
      <w:r>
        <w:rPr>
          <w:rFonts w:ascii="Times New Roman" w:hint="eastAsia"/>
          <w:kern w:val="2"/>
        </w:rPr>
        <w:t>亿元。</w:t>
      </w:r>
    </w:p>
    <w:p>
      <w:pPr>
        <w:pStyle w:val="style0"/>
        <w:ind w:firstLine="614" w:firstLineChars="200"/>
        <w:rPr>
          <w:rFonts w:ascii="Times New Roman"/>
          <w:b/>
          <w:strike/>
          <w:spacing w:val="2"/>
        </w:rPr>
      </w:pPr>
      <w:r>
        <w:rPr>
          <w:rFonts w:ascii="Times New Roman" w:eastAsia="方正楷体_GBK" w:hint="eastAsia"/>
          <w:b/>
          <w:spacing w:val="2"/>
        </w:rPr>
        <w:t>（三）转型创新不断加速。</w:t>
      </w:r>
      <w:r>
        <w:rPr>
          <w:rStyle w:val="style4100"/>
          <w:rFonts w:ascii="Times New Roman" w:eastAsia="方正楷体_GBK" w:hint="eastAsia"/>
        </w:rPr>
        <w:t>创新驱动成效明显。</w:t>
      </w:r>
      <w:r>
        <w:rPr>
          <w:rStyle w:val="style4100"/>
          <w:rFonts w:ascii="Times New Roman" w:hint="eastAsia"/>
        </w:rPr>
        <w:t>新增产学研项目</w:t>
      </w:r>
      <w:r>
        <w:rPr>
          <w:rStyle w:val="style4100"/>
          <w:rFonts w:ascii="Times New Roman" w:hint="eastAsia"/>
        </w:rPr>
        <w:t>80</w:t>
      </w:r>
      <w:r>
        <w:rPr>
          <w:rStyle w:val="style4100"/>
          <w:rFonts w:ascii="Times New Roman" w:hint="eastAsia"/>
        </w:rPr>
        <w:t>个，完成技术合同成交额</w:t>
      </w:r>
      <w:r>
        <w:rPr>
          <w:rStyle w:val="style4100"/>
          <w:rFonts w:ascii="Times New Roman" w:hint="eastAsia"/>
        </w:rPr>
        <w:t>83</w:t>
      </w:r>
      <w:r>
        <w:rPr>
          <w:rStyle w:val="style4100"/>
          <w:rFonts w:ascii="Times New Roman" w:hint="eastAsia"/>
        </w:rPr>
        <w:t>亿元，</w:t>
      </w:r>
      <w:r>
        <w:rPr>
          <w:rFonts w:ascii="Times New Roman" w:hint="eastAsia"/>
        </w:rPr>
        <w:t>主导、参与完成</w:t>
      </w:r>
      <w:r>
        <w:rPr>
          <w:rFonts w:ascii="Times New Roman" w:hint="eastAsia"/>
        </w:rPr>
        <w:t>45</w:t>
      </w:r>
      <w:r>
        <w:rPr>
          <w:rFonts w:ascii="Times New Roman" w:hint="eastAsia"/>
        </w:rPr>
        <w:t>项国家、行业标准制（修）订</w:t>
      </w:r>
      <w:r>
        <w:rPr>
          <w:rFonts w:ascii="Times New Roman" w:hint="eastAsia"/>
          <w:kern w:val="0"/>
          <w:szCs w:val="30"/>
        </w:rPr>
        <w:t>。长电科技获评国家科学技术进步一等奖，</w:t>
      </w:r>
      <w:r>
        <w:rPr>
          <w:rFonts w:ascii="Times New Roman"/>
        </w:rPr>
        <w:t>方程电力、中煤矿山</w:t>
      </w:r>
      <w:r>
        <w:rPr>
          <w:rFonts w:ascii="Times New Roman" w:hint="eastAsia"/>
          <w:kern w:val="0"/>
          <w:szCs w:val="30"/>
        </w:rPr>
        <w:t>获评省科学技术奖二等奖，</w:t>
      </w:r>
      <w:r>
        <w:rPr>
          <w:rFonts w:ascii="Times New Roman"/>
        </w:rPr>
        <w:t>兴澄特钢、远景能源</w:t>
      </w:r>
      <w:r>
        <w:rPr>
          <w:rFonts w:ascii="Times New Roman" w:hint="eastAsia"/>
          <w:kern w:val="0"/>
          <w:szCs w:val="30"/>
        </w:rPr>
        <w:t>获评省科技创新发展奖。</w:t>
      </w:r>
      <w:r>
        <w:rPr>
          <w:rFonts w:ascii="Times New Roman" w:cs="方正仿宋_GBK" w:eastAsia="方正楷体_GBK" w:hint="eastAsia"/>
          <w:bCs/>
          <w:spacing w:val="2"/>
        </w:rPr>
        <w:t>载体建设持续加快。</w:t>
      </w:r>
      <w:r>
        <w:rPr>
          <w:rFonts w:ascii="Times New Roman" w:hint="eastAsia"/>
          <w:kern w:val="2"/>
          <w:szCs w:val="24"/>
        </w:rPr>
        <w:t>净增高新技术企业</w:t>
      </w:r>
      <w:r>
        <w:rPr>
          <w:rFonts w:ascii="Times New Roman" w:hint="eastAsia"/>
          <w:kern w:val="2"/>
          <w:szCs w:val="24"/>
        </w:rPr>
        <w:t>62</w:t>
      </w:r>
      <w:r>
        <w:rPr>
          <w:rFonts w:ascii="Times New Roman" w:hint="eastAsia"/>
          <w:kern w:val="2"/>
          <w:szCs w:val="24"/>
        </w:rPr>
        <w:t>家，新增国家级专精特新“小巨人”企业</w:t>
      </w:r>
      <w:r>
        <w:rPr>
          <w:rFonts w:ascii="Times New Roman" w:hint="eastAsia"/>
          <w:kern w:val="2"/>
          <w:szCs w:val="24"/>
        </w:rPr>
        <w:t>6</w:t>
      </w:r>
      <w:r>
        <w:rPr>
          <w:rFonts w:ascii="Times New Roman" w:hint="eastAsia"/>
          <w:kern w:val="2"/>
          <w:szCs w:val="24"/>
        </w:rPr>
        <w:t>家，入库国家科技型中小企业</w:t>
      </w:r>
      <w:r>
        <w:rPr>
          <w:rFonts w:ascii="Times New Roman" w:hint="eastAsia"/>
          <w:kern w:val="2"/>
          <w:szCs w:val="24"/>
        </w:rPr>
        <w:t>1198</w:t>
      </w:r>
      <w:r>
        <w:rPr>
          <w:rFonts w:ascii="Times New Roman" w:hint="eastAsia"/>
          <w:kern w:val="2"/>
          <w:szCs w:val="24"/>
        </w:rPr>
        <w:t>家</w:t>
      </w:r>
      <w:r>
        <w:rPr>
          <w:rFonts w:ascii="Times New Roman" w:hint="eastAsia"/>
        </w:rPr>
        <w:t>。</w:t>
      </w:r>
      <w:r>
        <w:rPr>
          <w:rFonts w:ascii="Times New Roman" w:hint="eastAsia"/>
          <w:kern w:val="2"/>
          <w:szCs w:val="24"/>
        </w:rPr>
        <w:t>与清华大学签约启动“创新引领行动计划”</w:t>
      </w:r>
      <w:r>
        <w:rPr>
          <w:rFonts w:ascii="Times New Roman" w:hint="eastAsia"/>
        </w:rPr>
        <w:t>，与武汉大学、江苏省产业技术研究院等合作共建创新中心</w:t>
      </w:r>
      <w:r>
        <w:rPr>
          <w:rStyle w:val="style4100"/>
          <w:rFonts w:ascii="Times New Roman" w:hint="eastAsia"/>
        </w:rPr>
        <w:t>，</w:t>
      </w:r>
      <w:r>
        <w:rPr>
          <w:rFonts w:ascii="Times New Roman" w:hint="eastAsia"/>
          <w:kern w:val="2"/>
          <w:szCs w:val="24"/>
        </w:rPr>
        <w:t>与哈工大未来技术学院签订战略合作协议</w:t>
      </w:r>
      <w:r>
        <w:rPr>
          <w:rStyle w:val="style4100"/>
          <w:rFonts w:ascii="Times New Roman" w:hint="eastAsia"/>
        </w:rPr>
        <w:t>。</w:t>
      </w:r>
      <w:r>
        <w:rPr>
          <w:rFonts w:ascii="Times New Roman" w:hint="eastAsia"/>
          <w:kern w:val="2"/>
          <w:szCs w:val="24"/>
        </w:rPr>
        <w:t>新建无锡市级以上院士工作站</w:t>
      </w:r>
      <w:r>
        <w:rPr>
          <w:rFonts w:ascii="Times New Roman" w:hint="eastAsia"/>
          <w:kern w:val="2"/>
          <w:szCs w:val="24"/>
        </w:rPr>
        <w:t>4</w:t>
      </w:r>
      <w:r>
        <w:rPr>
          <w:rFonts w:ascii="Times New Roman" w:hint="eastAsia"/>
          <w:kern w:val="2"/>
          <w:szCs w:val="24"/>
        </w:rPr>
        <w:t>家、工程技术研究中心</w:t>
      </w:r>
      <w:r>
        <w:rPr>
          <w:rFonts w:ascii="Times New Roman" w:hint="eastAsia"/>
          <w:kern w:val="2"/>
          <w:szCs w:val="24"/>
        </w:rPr>
        <w:t>64</w:t>
      </w:r>
      <w:r>
        <w:rPr>
          <w:rFonts w:ascii="Times New Roman" w:hint="eastAsia"/>
          <w:kern w:val="2"/>
          <w:szCs w:val="24"/>
        </w:rPr>
        <w:t>家</w:t>
      </w:r>
      <w:r>
        <w:rPr>
          <w:rStyle w:val="style4100"/>
          <w:rFonts w:ascii="Times New Roman" w:hint="eastAsia"/>
        </w:rPr>
        <w:t>，新认定江阴市工程技术研究中心</w:t>
      </w:r>
      <w:r>
        <w:rPr>
          <w:rStyle w:val="style4100"/>
          <w:rFonts w:ascii="Times New Roman" w:hint="eastAsia"/>
        </w:rPr>
        <w:t>124</w:t>
      </w:r>
      <w:r>
        <w:rPr>
          <w:rStyle w:val="style4100"/>
          <w:rFonts w:ascii="Times New Roman" w:hint="eastAsia"/>
        </w:rPr>
        <w:t>家。</w:t>
      </w:r>
      <w:r>
        <w:rPr>
          <w:rFonts w:ascii="Times New Roman" w:eastAsia="方正楷体_GBK" w:hint="eastAsia"/>
        </w:rPr>
        <w:t>创新人才加快集聚。</w:t>
      </w:r>
      <w:r>
        <w:rPr>
          <w:rFonts w:ascii="Times New Roman" w:hint="eastAsia"/>
        </w:rPr>
        <w:t>新增高层次人才</w:t>
      </w:r>
      <w:r>
        <w:rPr>
          <w:rFonts w:ascii="Times New Roman" w:hint="eastAsia"/>
        </w:rPr>
        <w:t>720</w:t>
      </w:r>
      <w:r>
        <w:rPr>
          <w:rFonts w:ascii="Times New Roman" w:hint="eastAsia"/>
        </w:rPr>
        <w:t>名、高技能人才</w:t>
      </w:r>
      <w:r>
        <w:rPr>
          <w:rFonts w:ascii="Times New Roman" w:hint="eastAsia"/>
        </w:rPr>
        <w:t>1.4</w:t>
      </w:r>
      <w:r>
        <w:rPr>
          <w:rFonts w:ascii="Times New Roman" w:hint="eastAsia"/>
        </w:rPr>
        <w:t>万名、外国高端人才</w:t>
      </w:r>
      <w:r>
        <w:rPr>
          <w:rFonts w:ascii="Times New Roman" w:hint="eastAsia"/>
        </w:rPr>
        <w:t>21</w:t>
      </w:r>
      <w:r>
        <w:rPr>
          <w:rFonts w:ascii="Times New Roman" w:hint="eastAsia"/>
        </w:rPr>
        <w:t>名，入选省“双创计划”人才</w:t>
      </w:r>
      <w:r>
        <w:rPr>
          <w:rFonts w:ascii="Times New Roman" w:hint="eastAsia"/>
        </w:rPr>
        <w:t>6</w:t>
      </w:r>
      <w:r>
        <w:rPr>
          <w:rFonts w:ascii="Times New Roman" w:hint="eastAsia"/>
        </w:rPr>
        <w:t>名。入选国家高端外国专家引智项目</w:t>
      </w:r>
      <w:r>
        <w:rPr>
          <w:rFonts w:ascii="Times New Roman" w:hint="eastAsia"/>
        </w:rPr>
        <w:t>3</w:t>
      </w:r>
      <w:r>
        <w:rPr>
          <w:rFonts w:ascii="Times New Roman" w:hint="eastAsia"/>
        </w:rPr>
        <w:t>个、无锡“太湖人才计划”创新创业领军团队</w:t>
      </w:r>
      <w:r>
        <w:rPr>
          <w:rFonts w:ascii="Times New Roman" w:hint="eastAsia"/>
        </w:rPr>
        <w:t>6</w:t>
      </w:r>
      <w:r>
        <w:rPr>
          <w:rFonts w:ascii="Times New Roman" w:hint="eastAsia"/>
        </w:rPr>
        <w:t>个。</w:t>
      </w:r>
    </w:p>
    <w:p>
      <w:pPr>
        <w:pStyle w:val="style0"/>
        <w:ind w:firstLine="614" w:firstLineChars="200"/>
        <w:rPr>
          <w:rFonts w:ascii="Times New Roman" w:cs="方正仿宋_GBK" w:eastAsia="方正楷体_GBK"/>
          <w:bCs/>
          <w:spacing w:val="2"/>
        </w:rPr>
      </w:pPr>
      <w:r>
        <w:rPr>
          <w:rFonts w:ascii="Times New Roman" w:eastAsia="方正楷体_GBK" w:hint="eastAsia"/>
          <w:b/>
          <w:spacing w:val="2"/>
        </w:rPr>
        <w:t>（四）改革攻坚持续深化。</w:t>
      </w:r>
      <w:r>
        <w:rPr>
          <w:rFonts w:ascii="Times New Roman" w:cs="方正仿宋_GBK" w:eastAsia="方正楷体_GBK" w:hint="eastAsia"/>
          <w:bCs/>
          <w:spacing w:val="2"/>
        </w:rPr>
        <w:t>审批效能全面优化。</w:t>
      </w:r>
      <w:r>
        <w:rPr>
          <w:rFonts w:ascii="Times New Roman" w:hint="eastAsia"/>
        </w:rPr>
        <w:t>实现企业开办全链通</w:t>
      </w:r>
      <w:r>
        <w:rPr>
          <w:rFonts w:ascii="Times New Roman" w:hint="eastAsia"/>
        </w:rPr>
        <w:t>0.5</w:t>
      </w:r>
      <w:r>
        <w:rPr>
          <w:rFonts w:ascii="Times New Roman" w:hint="eastAsia"/>
        </w:rPr>
        <w:t>天完成办理、个体工商户开业登记即时办理。工程建设项目审批制度改革深入开展，</w:t>
      </w:r>
      <w:r>
        <w:rPr>
          <w:rFonts w:ascii="Times New Roman" w:hint="eastAsia"/>
        </w:rPr>
        <w:t>10</w:t>
      </w:r>
      <w:r>
        <w:rPr>
          <w:rFonts w:ascii="Times New Roman" w:hint="eastAsia"/>
        </w:rPr>
        <w:t>个项目实现“拿地即开工”，</w:t>
      </w:r>
      <w:r>
        <w:rPr>
          <w:rFonts w:ascii="Times New Roman" w:hint="eastAsia"/>
        </w:rPr>
        <w:t>12</w:t>
      </w:r>
      <w:r>
        <w:rPr>
          <w:rFonts w:ascii="Times New Roman" w:hint="eastAsia"/>
        </w:rPr>
        <w:t>个项目实现“报建即开工”。</w:t>
      </w:r>
      <w:r>
        <w:rPr>
          <w:rFonts w:ascii="Times New Roman" w:cs="方正仿宋_GBK" w:eastAsia="方正楷体_GBK" w:hint="eastAsia"/>
          <w:bCs/>
          <w:spacing w:val="2"/>
        </w:rPr>
        <w:t>社会事业改革持续深入。</w:t>
      </w:r>
      <w:r>
        <w:rPr>
          <w:rFonts w:ascii="Times New Roman" w:cs="方正仿宋_GBK" w:hint="eastAsia"/>
        </w:rPr>
        <w:t>深化集团化办学，</w:t>
      </w:r>
      <w:r>
        <w:rPr>
          <w:rFonts w:ascii="Times New Roman" w:hint="eastAsia"/>
        </w:rPr>
        <w:t>组建、扩容教育集团</w:t>
      </w:r>
      <w:r>
        <w:rPr>
          <w:rFonts w:ascii="Times New Roman" w:hint="eastAsia"/>
        </w:rPr>
        <w:t>9</w:t>
      </w:r>
      <w:r>
        <w:rPr>
          <w:rFonts w:ascii="Times New Roman" w:hint="eastAsia"/>
        </w:rPr>
        <w:t>个，新增“县管校聘”改革试点校</w:t>
      </w:r>
      <w:r>
        <w:rPr>
          <w:rFonts w:ascii="Times New Roman" w:hint="eastAsia"/>
        </w:rPr>
        <w:t>8</w:t>
      </w:r>
      <w:r>
        <w:rPr>
          <w:rFonts w:ascii="Times New Roman" w:hint="eastAsia"/>
        </w:rPr>
        <w:t>所。深入推进医保支付方式改革，</w:t>
      </w:r>
      <w:r>
        <w:rPr>
          <w:rFonts w:ascii="Times New Roman" w:hint="eastAsia"/>
        </w:rPr>
        <w:t>12</w:t>
      </w:r>
      <w:r>
        <w:rPr>
          <w:rFonts w:ascii="Times New Roman" w:hint="eastAsia"/>
        </w:rPr>
        <w:t>家二级以上综合医院实现无锡</w:t>
      </w:r>
      <w:r>
        <w:rPr>
          <w:rFonts w:ascii="Times New Roman" w:hint="eastAsia"/>
        </w:rPr>
        <w:t>DRGs</w:t>
      </w:r>
      <w:r>
        <w:rPr>
          <w:rFonts w:ascii="Times New Roman" w:hint="eastAsia"/>
        </w:rPr>
        <w:t>付费国家试点观察点医院全覆盖。深化药品和医用耗材集中采购制度改革，节约医药费约</w:t>
      </w:r>
      <w:r>
        <w:rPr>
          <w:rFonts w:ascii="Times New Roman" w:hint="eastAsia"/>
        </w:rPr>
        <w:t>2</w:t>
      </w:r>
      <w:r>
        <w:rPr>
          <w:rFonts w:ascii="Times New Roman" w:hint="eastAsia"/>
        </w:rPr>
        <w:t>亿元</w:t>
      </w:r>
      <w:r>
        <w:rPr>
          <w:rFonts w:ascii="Times New Roman" w:hint="eastAsia"/>
          <w:kern w:val="2"/>
        </w:rPr>
        <w:t>。</w:t>
      </w:r>
      <w:r>
        <w:rPr>
          <w:rFonts w:ascii="Times New Roman" w:cs="方正仿宋_GBK" w:eastAsia="方正楷体_GBK" w:hint="eastAsia"/>
          <w:bCs/>
          <w:spacing w:val="2"/>
        </w:rPr>
        <w:t>信用体系建设扎实推进。</w:t>
      </w:r>
      <w:r>
        <w:rPr>
          <w:rFonts w:ascii="Times New Roman" w:hint="eastAsia"/>
        </w:rPr>
        <w:t>深入推进信用信息公开公示、诚信榜单认定发布、联合奖惩、信用承诺、信用评价和分类监管、“信易</w:t>
      </w:r>
      <w:r>
        <w:rPr>
          <w:rFonts w:ascii="Times New Roman" w:hint="eastAsia"/>
        </w:rPr>
        <w:t>+</w:t>
      </w:r>
      <w:r>
        <w:rPr>
          <w:rFonts w:ascii="Times New Roman" w:hint="eastAsia"/>
        </w:rPr>
        <w:t>”应用等重点</w:t>
      </w:r>
      <w:r>
        <w:rPr>
          <w:rFonts w:ascii="Times New Roman" w:hint="eastAsia"/>
        </w:rPr>
        <w:t>工作落实，在国家信用监测排名中保持前三名。</w:t>
      </w:r>
      <w:r>
        <w:rPr>
          <w:rFonts w:ascii="Times New Roman" w:cs="方正仿宋_GBK" w:eastAsia="方正楷体_GBK" w:hint="eastAsia"/>
          <w:bCs/>
          <w:spacing w:val="2"/>
        </w:rPr>
        <w:t>农村改革深入实施。</w:t>
      </w:r>
      <w:r>
        <w:rPr>
          <w:rFonts w:ascii="Times New Roman" w:hint="eastAsia"/>
        </w:rPr>
        <w:t>深化农村集体产权制度改革，“村社分离”改革任务基本完成，入选江苏农村改革经验</w:t>
      </w:r>
      <w:r>
        <w:rPr>
          <w:rFonts w:ascii="Times New Roman" w:hint="eastAsia"/>
        </w:rPr>
        <w:t>10</w:t>
      </w:r>
      <w:r>
        <w:rPr>
          <w:rFonts w:ascii="Times New Roman" w:hint="eastAsia"/>
        </w:rPr>
        <w:t>周年典型案例。探索农村宅基地改革试点，全面启动集体经营性建设用地入市工作，出台农村集体经营性建设用地入市管理办法，实现“同地同价同权”。</w:t>
      </w:r>
    </w:p>
    <w:p>
      <w:pPr>
        <w:pStyle w:val="style0"/>
        <w:ind w:firstLine="614" w:firstLineChars="200"/>
        <w:rPr>
          <w:rFonts w:ascii="Times New Roman"/>
          <w:spacing w:val="-3"/>
          <w:kern w:val="2"/>
        </w:rPr>
      </w:pPr>
      <w:r>
        <w:rPr>
          <w:rFonts w:ascii="Times New Roman" w:eastAsia="方正楷体_GBK" w:hint="eastAsia"/>
          <w:b/>
          <w:spacing w:val="2"/>
        </w:rPr>
        <w:t>（五）</w:t>
      </w:r>
      <w:r>
        <w:rPr>
          <w:rFonts w:ascii="Times New Roman" w:eastAsia="方正楷体_GBK" w:hint="eastAsia"/>
          <w:b/>
          <w:spacing w:val="-3"/>
        </w:rPr>
        <w:t>城乡建设扎实开展。</w:t>
      </w:r>
      <w:r>
        <w:rPr>
          <w:rFonts w:ascii="Times New Roman" w:cs="方正仿宋_GBK" w:eastAsia="方正楷体_GBK" w:hint="eastAsia"/>
          <w:bCs/>
          <w:spacing w:val="-3"/>
        </w:rPr>
        <w:t>空间规划有序推进。</w:t>
      </w:r>
      <w:r>
        <w:rPr>
          <w:rFonts w:ascii="Times New Roman" w:hint="eastAsia"/>
          <w:spacing w:val="-3"/>
        </w:rPr>
        <w:t>基本完成国土空间总体规划编制，</w:t>
      </w:r>
      <w:r>
        <w:rPr>
          <w:rFonts w:ascii="Times New Roman" w:hint="eastAsia"/>
          <w:spacing w:val="-3"/>
          <w:kern w:val="2"/>
          <w:szCs w:val="24"/>
        </w:rPr>
        <w:t>完成江阴市“十四五”综合交通发展等专项规划编制，</w:t>
      </w:r>
      <w:r>
        <w:rPr>
          <w:rFonts w:ascii="Times New Roman" w:hint="eastAsia"/>
          <w:spacing w:val="-3"/>
        </w:rPr>
        <w:t>完成</w:t>
      </w:r>
      <w:r>
        <w:rPr>
          <w:rFonts w:ascii="Times New Roman" w:hint="eastAsia"/>
          <w:spacing w:val="-3"/>
        </w:rPr>
        <w:t>11</w:t>
      </w:r>
      <w:r>
        <w:rPr>
          <w:rFonts w:ascii="Times New Roman" w:hint="eastAsia"/>
          <w:spacing w:val="-3"/>
        </w:rPr>
        <w:t>个“多规合一”实用性村庄规划编制。</w:t>
      </w:r>
      <w:r>
        <w:rPr>
          <w:rFonts w:ascii="Times New Roman" w:eastAsia="方正楷体_GBK" w:hint="eastAsia"/>
          <w:spacing w:val="-3"/>
        </w:rPr>
        <w:t>城市功能不断完善。</w:t>
      </w:r>
      <w:r>
        <w:rPr>
          <w:rFonts w:ascii="Times New Roman" w:hint="eastAsia"/>
          <w:spacing w:val="-3"/>
        </w:rPr>
        <w:t>滨江路快速化改造（城区段）、新锡澄路北延等项目启动建设，南沿江铁路</w:t>
      </w:r>
      <w:r>
        <w:rPr>
          <w:rFonts w:ascii="Times New Roman"/>
          <w:spacing w:val="-3"/>
        </w:rPr>
        <w:t>江阴段</w:t>
      </w:r>
      <w:r>
        <w:rPr>
          <w:rFonts w:ascii="Times New Roman" w:hint="eastAsia"/>
          <w:spacing w:val="-3"/>
        </w:rPr>
        <w:t>、锡澄</w:t>
      </w:r>
      <w:r>
        <w:rPr>
          <w:rFonts w:ascii="Times New Roman"/>
          <w:spacing w:val="-3"/>
        </w:rPr>
        <w:t>S1</w:t>
      </w:r>
      <w:r>
        <w:rPr>
          <w:rFonts w:ascii="Times New Roman"/>
          <w:spacing w:val="-3"/>
        </w:rPr>
        <w:t>线</w:t>
      </w:r>
      <w:r>
        <w:rPr>
          <w:rFonts w:ascii="Times New Roman" w:hint="eastAsia"/>
          <w:spacing w:val="-3"/>
        </w:rPr>
        <w:t>、江阴靖江长江隧道、长山大道快速化改造等工程顺利推进，临江路桥、建新路等建成通车。</w:t>
      </w:r>
      <w:r>
        <w:rPr>
          <w:rFonts w:ascii="Times New Roman"/>
          <w:spacing w:val="-3"/>
        </w:rPr>
        <w:t>蟠龙山公园</w:t>
      </w:r>
      <w:r>
        <w:rPr>
          <w:rFonts w:ascii="Times New Roman" w:hint="eastAsia"/>
          <w:spacing w:val="-3"/>
        </w:rPr>
        <w:t>一期</w:t>
      </w:r>
      <w:r>
        <w:rPr>
          <w:rFonts w:ascii="Times New Roman"/>
          <w:spacing w:val="-3"/>
        </w:rPr>
        <w:t>、八字桥公园、应天河风光带等建成开放，</w:t>
      </w:r>
      <w:r>
        <w:rPr>
          <w:rFonts w:ascii="Times New Roman"/>
          <w:spacing w:val="-3"/>
          <w:kern w:val="2"/>
          <w:szCs w:val="24"/>
        </w:rPr>
        <w:t>通过省生态园林城市创建验收</w:t>
      </w:r>
      <w:r>
        <w:rPr>
          <w:rFonts w:ascii="Times New Roman"/>
          <w:spacing w:val="-3"/>
        </w:rPr>
        <w:t>。</w:t>
      </w:r>
      <w:r>
        <w:rPr>
          <w:rFonts w:ascii="Times New Roman" w:hint="eastAsia"/>
          <w:spacing w:val="-3"/>
        </w:rPr>
        <w:t>完成拆迁</w:t>
      </w:r>
      <w:r>
        <w:rPr>
          <w:rFonts w:ascii="Times New Roman" w:hint="eastAsia"/>
          <w:spacing w:val="-3"/>
        </w:rPr>
        <w:t>512</w:t>
      </w:r>
      <w:r>
        <w:rPr>
          <w:rFonts w:ascii="Times New Roman" w:hint="eastAsia"/>
          <w:spacing w:val="-3"/>
        </w:rPr>
        <w:t>万平方米，新建安置房</w:t>
      </w:r>
      <w:r>
        <w:rPr>
          <w:rFonts w:ascii="Times New Roman" w:hint="eastAsia"/>
          <w:spacing w:val="-3"/>
        </w:rPr>
        <w:t>103</w:t>
      </w:r>
      <w:r>
        <w:rPr>
          <w:rFonts w:ascii="Times New Roman" w:hint="eastAsia"/>
          <w:spacing w:val="-3"/>
        </w:rPr>
        <w:t>万平方米。</w:t>
      </w:r>
      <w:r>
        <w:rPr>
          <w:rFonts w:ascii="Times New Roman" w:cs="方正仿宋_GBK" w:eastAsia="方正楷体_GBK" w:hint="eastAsia"/>
          <w:bCs/>
          <w:spacing w:val="-3"/>
        </w:rPr>
        <w:t>城市管理更加精细。</w:t>
      </w:r>
      <w:r>
        <w:rPr>
          <w:rFonts w:ascii="Times New Roman" w:hint="eastAsia"/>
          <w:spacing w:val="-3"/>
        </w:rPr>
        <w:t>开展城市综合体和商业街区、标识标牌、公共设施、市容市貌和环境卫生问题等“小专项”整治，清理垃圾</w:t>
      </w:r>
      <w:r>
        <w:rPr>
          <w:rFonts w:ascii="Times New Roman" w:hint="eastAsia"/>
          <w:spacing w:val="-3"/>
        </w:rPr>
        <w:t>6800</w:t>
      </w:r>
      <w:r>
        <w:rPr>
          <w:rFonts w:ascii="Times New Roman" w:hint="eastAsia"/>
          <w:spacing w:val="-3"/>
        </w:rPr>
        <w:t>吨，清理“三乱”</w:t>
      </w:r>
      <w:r>
        <w:rPr>
          <w:rFonts w:ascii="Times New Roman" w:hint="eastAsia"/>
          <w:spacing w:val="-3"/>
        </w:rPr>
        <w:t>12.6</w:t>
      </w:r>
      <w:r>
        <w:rPr>
          <w:rFonts w:ascii="Times New Roman" w:hint="eastAsia"/>
          <w:spacing w:val="-3"/>
        </w:rPr>
        <w:t>万处，</w:t>
      </w:r>
      <w:r>
        <w:rPr>
          <w:rFonts w:ascii="Times New Roman" w:hint="eastAsia"/>
          <w:snapToGrid w:val="false"/>
          <w:spacing w:val="-3"/>
          <w:kern w:val="0"/>
        </w:rPr>
        <w:t>拆除违建</w:t>
      </w:r>
      <w:r>
        <w:rPr>
          <w:rFonts w:ascii="Times New Roman" w:hint="eastAsia"/>
          <w:snapToGrid w:val="false"/>
          <w:spacing w:val="-3"/>
          <w:kern w:val="0"/>
        </w:rPr>
        <w:t>73.58</w:t>
      </w:r>
      <w:r>
        <w:rPr>
          <w:rFonts w:ascii="Times New Roman" w:hint="eastAsia"/>
          <w:snapToGrid w:val="false"/>
          <w:spacing w:val="-3"/>
          <w:kern w:val="0"/>
        </w:rPr>
        <w:t>万平方米</w:t>
      </w:r>
      <w:r>
        <w:rPr>
          <w:rFonts w:ascii="Times New Roman" w:hint="eastAsia"/>
          <w:spacing w:val="-3"/>
        </w:rPr>
        <w:t>。完成江阴北等</w:t>
      </w:r>
      <w:r>
        <w:rPr>
          <w:rFonts w:ascii="Times New Roman" w:hint="eastAsia"/>
          <w:spacing w:val="-3"/>
        </w:rPr>
        <w:t>8</w:t>
      </w:r>
      <w:r>
        <w:rPr>
          <w:rFonts w:ascii="Times New Roman" w:hint="eastAsia"/>
          <w:spacing w:val="-3"/>
        </w:rPr>
        <w:t>个高速出入口、</w:t>
      </w:r>
      <w:r>
        <w:rPr>
          <w:rFonts w:ascii="Times New Roman" w:hint="eastAsia"/>
          <w:spacing w:val="-3"/>
        </w:rPr>
        <w:t>72</w:t>
      </w:r>
      <w:r>
        <w:rPr>
          <w:rFonts w:ascii="Times New Roman" w:hint="eastAsia"/>
          <w:spacing w:val="-3"/>
        </w:rPr>
        <w:t>条道路点等区域绿化整治提升。</w:t>
      </w:r>
      <w:r>
        <w:rPr>
          <w:rFonts w:ascii="Times New Roman" w:cs="方正仿宋_GBK" w:eastAsia="方正楷体_GBK" w:hint="eastAsia"/>
          <w:bCs/>
          <w:spacing w:val="-3"/>
        </w:rPr>
        <w:t>乡村面貌持续改善。</w:t>
      </w:r>
      <w:r>
        <w:rPr>
          <w:rFonts w:ascii="Times New Roman" w:hint="eastAsia"/>
          <w:spacing w:val="-3"/>
        </w:rPr>
        <w:t>深入推进农房建设试点工作，</w:t>
      </w:r>
      <w:r>
        <w:rPr>
          <w:rFonts w:ascii="Times New Roman"/>
          <w:spacing w:val="-3"/>
        </w:rPr>
        <w:t>41</w:t>
      </w:r>
      <w:r>
        <w:rPr>
          <w:rFonts w:ascii="Times New Roman"/>
          <w:spacing w:val="-3"/>
        </w:rPr>
        <w:t>个农房建设试点村庄</w:t>
      </w:r>
      <w:r>
        <w:rPr>
          <w:rFonts w:ascii="Times New Roman" w:hint="eastAsia"/>
          <w:spacing w:val="-3"/>
        </w:rPr>
        <w:t>累计</w:t>
      </w:r>
      <w:r>
        <w:rPr>
          <w:rFonts w:ascii="Times New Roman"/>
          <w:spacing w:val="-3"/>
        </w:rPr>
        <w:t>竣工</w:t>
      </w:r>
      <w:r>
        <w:rPr>
          <w:rFonts w:ascii="Times New Roman"/>
          <w:spacing w:val="-3"/>
        </w:rPr>
        <w:t>2351</w:t>
      </w:r>
      <w:r>
        <w:rPr>
          <w:rFonts w:ascii="Times New Roman"/>
          <w:spacing w:val="-3"/>
        </w:rPr>
        <w:t>户</w:t>
      </w:r>
      <w:r>
        <w:rPr>
          <w:rFonts w:ascii="Times New Roman" w:hint="eastAsia"/>
          <w:spacing w:val="-3"/>
        </w:rPr>
        <w:t>。</w:t>
      </w:r>
      <w:r>
        <w:rPr>
          <w:rFonts w:ascii="Times New Roman"/>
          <w:spacing w:val="-3"/>
        </w:rPr>
        <w:t>完成</w:t>
      </w:r>
      <w:r>
        <w:rPr>
          <w:rFonts w:ascii="Times New Roman"/>
          <w:spacing w:val="-3"/>
        </w:rPr>
        <w:t>45</w:t>
      </w:r>
      <w:r>
        <w:rPr>
          <w:rFonts w:ascii="Times New Roman"/>
          <w:spacing w:val="-3"/>
        </w:rPr>
        <w:t>个重要节点村庄环境整治提升，建成无锡市级特色田园乡村</w:t>
      </w:r>
      <w:r>
        <w:rPr>
          <w:rFonts w:ascii="Times New Roman"/>
          <w:spacing w:val="-3"/>
        </w:rPr>
        <w:t>8</w:t>
      </w:r>
      <w:r>
        <w:rPr>
          <w:rFonts w:ascii="Times New Roman"/>
          <w:spacing w:val="-3"/>
        </w:rPr>
        <w:t>个。</w:t>
      </w:r>
    </w:p>
    <w:p>
      <w:pPr>
        <w:pStyle w:val="style0"/>
        <w:ind w:firstLine="614" w:firstLineChars="200"/>
        <w:rPr>
          <w:rFonts w:ascii="Times New Roman"/>
          <w:bCs/>
          <w:kern w:val="2"/>
        </w:rPr>
      </w:pPr>
      <w:r>
        <w:rPr>
          <w:rFonts w:ascii="Times New Roman" w:eastAsia="方正楷体_GBK" w:hint="eastAsia"/>
          <w:b/>
          <w:spacing w:val="2"/>
        </w:rPr>
        <w:t>（六）</w:t>
      </w:r>
      <w:r>
        <w:rPr>
          <w:rFonts w:ascii="Times New Roman" w:eastAsia="方正楷体_GBK" w:hint="eastAsia"/>
          <w:b/>
          <w:spacing w:val="-3"/>
        </w:rPr>
        <w:t>生态环境有效改善。</w:t>
      </w:r>
      <w:r>
        <w:rPr>
          <w:rFonts w:ascii="Times New Roman" w:cs="方正仿宋_GBK" w:eastAsia="方正楷体_GBK" w:hint="eastAsia"/>
          <w:bCs/>
          <w:spacing w:val="-3"/>
        </w:rPr>
        <w:t>紧抓大气污染防控。</w:t>
      </w:r>
      <w:r>
        <w:rPr>
          <w:rFonts w:ascii="Times New Roman" w:cs="方正仿宋" w:hint="eastAsia"/>
          <w:spacing w:val="-3"/>
        </w:rPr>
        <w:t>多污染物协同治理成效显著，扬尘、油烟、工业源等污染治理深入推进，</w:t>
      </w:r>
      <w:r>
        <w:rPr>
          <w:rFonts w:ascii="Times New Roman"/>
          <w:spacing w:val="-3"/>
        </w:rPr>
        <w:t>PM</w:t>
      </w:r>
      <w:r>
        <w:rPr>
          <w:rFonts w:ascii="Times New Roman"/>
          <w:spacing w:val="-3"/>
          <w:vertAlign w:val="subscript"/>
        </w:rPr>
        <w:t>2.5</w:t>
      </w:r>
      <w:r>
        <w:rPr>
          <w:rFonts w:ascii="Times New Roman" w:cs="方正仿宋" w:hint="eastAsia"/>
          <w:spacing w:val="-3"/>
        </w:rPr>
        <w:t>平均浓度为</w:t>
      </w:r>
      <w:r>
        <w:rPr>
          <w:rFonts w:ascii="Times New Roman" w:cs="方正仿宋" w:hint="eastAsia"/>
          <w:spacing w:val="-3"/>
        </w:rPr>
        <w:t>33.4µg/m</w:t>
      </w:r>
      <w:r>
        <w:rPr>
          <w:rFonts w:ascii="Times New Roman" w:cs="方正仿宋" w:hint="eastAsia"/>
          <w:spacing w:val="-3"/>
          <w:vertAlign w:val="superscript"/>
        </w:rPr>
        <w:t>3</w:t>
      </w:r>
      <w:r>
        <w:rPr>
          <w:rFonts w:ascii="Times New Roman" w:cs="方正仿宋" w:hint="eastAsia"/>
          <w:spacing w:val="-3"/>
        </w:rPr>
        <w:t>，同比下降</w:t>
      </w:r>
      <w:r>
        <w:rPr>
          <w:rFonts w:ascii="Times New Roman" w:cs="方正仿宋" w:hint="eastAsia"/>
          <w:spacing w:val="-3"/>
        </w:rPr>
        <w:t>10%</w:t>
      </w:r>
      <w:r>
        <w:rPr>
          <w:rFonts w:ascii="Times New Roman" w:cs="方正仿宋" w:hint="eastAsia"/>
          <w:spacing w:val="-3"/>
        </w:rPr>
        <w:t>，</w:t>
      </w:r>
      <w:r>
        <w:rPr>
          <w:rFonts w:ascii="Times New Roman" w:hint="eastAsia"/>
          <w:spacing w:val="-3"/>
        </w:rPr>
        <w:t>空气质量优良天数比率同比上升</w:t>
      </w:r>
      <w:r>
        <w:rPr>
          <w:rFonts w:ascii="Times New Roman" w:hint="eastAsia"/>
          <w:spacing w:val="-3"/>
        </w:rPr>
        <w:t>1.3</w:t>
      </w:r>
      <w:r>
        <w:rPr>
          <w:rFonts w:ascii="Times New Roman" w:hint="eastAsia"/>
          <w:spacing w:val="-3"/>
        </w:rPr>
        <w:t>个百分点</w:t>
      </w:r>
      <w:r>
        <w:rPr>
          <w:rFonts w:ascii="Times New Roman" w:hint="eastAsia"/>
          <w:spacing w:val="-3"/>
          <w:kern w:val="2"/>
        </w:rPr>
        <w:t>。</w:t>
      </w:r>
      <w:r>
        <w:rPr>
          <w:rFonts w:ascii="Times New Roman" w:cs="方正仿宋_GBK" w:eastAsia="方正楷体_GBK" w:hint="eastAsia"/>
          <w:bCs/>
          <w:spacing w:val="-3"/>
        </w:rPr>
        <w:t>聚焦水体污染治理。</w:t>
      </w:r>
      <w:r>
        <w:rPr>
          <w:rFonts w:ascii="Times New Roman" w:hint="eastAsia"/>
          <w:spacing w:val="-3"/>
          <w:kern w:val="2"/>
          <w:szCs w:val="24"/>
        </w:rPr>
        <w:t>完成滨江第二污水处理厂、西利污水处理厂新建工程</w:t>
      </w:r>
      <w:r>
        <w:rPr>
          <w:rFonts w:ascii="Times New Roman" w:hint="eastAsia"/>
          <w:bCs/>
          <w:spacing w:val="-3"/>
          <w:kern w:val="2"/>
        </w:rPr>
        <w:t>，</w:t>
      </w:r>
      <w:r>
        <w:rPr>
          <w:rFonts w:ascii="Times New Roman" w:hint="eastAsia"/>
          <w:spacing w:val="-3"/>
          <w:kern w:val="2"/>
          <w:szCs w:val="24"/>
        </w:rPr>
        <w:t>建成污水治理提质增效达标区</w:t>
      </w:r>
      <w:r>
        <w:rPr>
          <w:rFonts w:ascii="Times New Roman" w:hint="eastAsia"/>
          <w:spacing w:val="-3"/>
          <w:kern w:val="2"/>
          <w:szCs w:val="24"/>
        </w:rPr>
        <w:t>8</w:t>
      </w:r>
      <w:r>
        <w:rPr>
          <w:rFonts w:ascii="Times New Roman" w:hint="eastAsia"/>
          <w:spacing w:val="-3"/>
          <w:kern w:val="2"/>
          <w:szCs w:val="24"/>
        </w:rPr>
        <w:t>个，</w:t>
      </w:r>
      <w:r>
        <w:rPr>
          <w:rFonts w:ascii="Times New Roman" w:hint="eastAsia"/>
          <w:bCs/>
          <w:spacing w:val="-3"/>
          <w:kern w:val="2"/>
        </w:rPr>
        <w:t>新一轮</w:t>
      </w:r>
      <w:r>
        <w:rPr>
          <w:rFonts w:ascii="Times New Roman" w:hint="eastAsia"/>
          <w:bCs/>
          <w:spacing w:val="-3"/>
          <w:kern w:val="2"/>
        </w:rPr>
        <w:t>69</w:t>
      </w:r>
      <w:r>
        <w:rPr>
          <w:rFonts w:ascii="Times New Roman" w:hint="eastAsia"/>
          <w:bCs/>
          <w:spacing w:val="-3"/>
          <w:kern w:val="2"/>
        </w:rPr>
        <w:t>条河道环境综合整治启动实施</w:t>
      </w:r>
      <w:r>
        <w:rPr>
          <w:rFonts w:ascii="Times New Roman" w:hint="eastAsia"/>
          <w:spacing w:val="-3"/>
        </w:rPr>
        <w:t>，建成美丽示范河湖</w:t>
      </w:r>
      <w:r>
        <w:rPr>
          <w:rFonts w:ascii="Times New Roman" w:hint="eastAsia"/>
          <w:spacing w:val="-3"/>
        </w:rPr>
        <w:t>10</w:t>
      </w:r>
      <w:r>
        <w:rPr>
          <w:rFonts w:ascii="Times New Roman" w:hint="eastAsia"/>
          <w:spacing w:val="-3"/>
        </w:rPr>
        <w:t>条</w:t>
      </w:r>
      <w:r>
        <w:rPr>
          <w:rFonts w:ascii="Times New Roman" w:hint="eastAsia"/>
          <w:bCs/>
          <w:spacing w:val="-3"/>
          <w:kern w:val="2"/>
        </w:rPr>
        <w:t>，</w:t>
      </w:r>
      <w:r>
        <w:rPr>
          <w:rFonts w:ascii="Times New Roman" w:hint="eastAsia"/>
          <w:spacing w:val="-3"/>
        </w:rPr>
        <w:t>国省考断面水质优Ⅲ比例达</w:t>
      </w:r>
      <w:r>
        <w:rPr>
          <w:rFonts w:ascii="Times New Roman" w:hint="eastAsia"/>
          <w:spacing w:val="-3"/>
        </w:rPr>
        <w:t>100%</w:t>
      </w:r>
      <w:r>
        <w:rPr>
          <w:rFonts w:ascii="Times New Roman" w:hint="eastAsia"/>
          <w:spacing w:val="-3"/>
        </w:rPr>
        <w:t>。</w:t>
      </w:r>
      <w:r>
        <w:rPr>
          <w:rFonts w:ascii="Times New Roman" w:cs="方正仿宋_GBK" w:eastAsia="方正楷体_GBK" w:hint="eastAsia"/>
          <w:bCs/>
          <w:spacing w:val="-3"/>
        </w:rPr>
        <w:t>聚力土壤环境修复。</w:t>
      </w:r>
      <w:r>
        <w:rPr>
          <w:rFonts w:ascii="Times New Roman" w:hint="eastAsia"/>
          <w:bCs/>
          <w:spacing w:val="-3"/>
          <w:kern w:val="2"/>
        </w:rPr>
        <w:t>加强建设用地土壤污染风险管控和修复，环太湖城乡有机废弃物处理利用示范区建设有序推进，土壤和地下水污染源头防控持续加强。</w:t>
      </w:r>
    </w:p>
    <w:p>
      <w:pPr>
        <w:pStyle w:val="style0"/>
        <w:ind w:firstLine="606" w:firstLineChars="200"/>
        <w:rPr>
          <w:rFonts w:ascii="Times New Roman"/>
        </w:rPr>
      </w:pPr>
      <w:r>
        <w:rPr>
          <w:rFonts w:ascii="Times New Roman" w:eastAsia="方正楷体_GBK" w:hint="eastAsia"/>
          <w:b/>
        </w:rPr>
        <w:t>（七）守牢安全稳定底线。</w:t>
      </w:r>
      <w:r>
        <w:rPr>
          <w:rFonts w:ascii="Times New Roman" w:eastAsia="方正楷体_GBK" w:hint="eastAsia"/>
        </w:rPr>
        <w:t>深入推进</w:t>
      </w:r>
      <w:r>
        <w:rPr>
          <w:rFonts w:ascii="Times New Roman" w:cs="方正仿宋_GBK" w:eastAsia="方正楷体_GBK" w:hint="eastAsia"/>
          <w:bCs/>
          <w:spacing w:val="2"/>
        </w:rPr>
        <w:t>专项整治。</w:t>
      </w:r>
      <w:r>
        <w:rPr>
          <w:rFonts w:ascii="Times New Roman" w:hint="eastAsia"/>
        </w:rPr>
        <w:t>突出道路交通、群租房、危化品、城镇燃气等重点行业领域，</w:t>
      </w:r>
      <w:r>
        <w:rPr>
          <w:rFonts w:ascii="Times New Roman" w:hint="eastAsia"/>
          <w:bCs/>
        </w:rPr>
        <w:t>清单化监管企业（场所）</w:t>
      </w:r>
      <w:r>
        <w:rPr>
          <w:rFonts w:ascii="Times New Roman" w:hint="eastAsia"/>
          <w:bCs/>
        </w:rPr>
        <w:t>5.1</w:t>
      </w:r>
      <w:r>
        <w:rPr>
          <w:rFonts w:ascii="Times New Roman" w:hint="eastAsia"/>
          <w:bCs/>
        </w:rPr>
        <w:t>万家（处），整治隐患</w:t>
      </w:r>
      <w:r>
        <w:rPr>
          <w:rFonts w:ascii="Times New Roman" w:hint="eastAsia"/>
          <w:bCs/>
        </w:rPr>
        <w:t>5.7</w:t>
      </w:r>
      <w:r>
        <w:rPr>
          <w:rFonts w:ascii="Times New Roman" w:hint="eastAsia"/>
          <w:bCs/>
        </w:rPr>
        <w:t>万项</w:t>
      </w:r>
      <w:r>
        <w:rPr>
          <w:rFonts w:ascii="Times New Roman" w:hint="eastAsia"/>
        </w:rPr>
        <w:t>，整改重大交通隐患</w:t>
      </w:r>
      <w:r>
        <w:rPr>
          <w:rFonts w:ascii="Times New Roman" w:hint="eastAsia"/>
        </w:rPr>
        <w:t>23</w:t>
      </w:r>
      <w:r>
        <w:rPr>
          <w:rFonts w:ascii="Times New Roman" w:hint="eastAsia"/>
        </w:rPr>
        <w:t>个</w:t>
      </w:r>
      <w:r>
        <w:rPr>
          <w:rFonts w:ascii="Times New Roman" w:hint="eastAsia"/>
          <w:kern w:val="0"/>
        </w:rPr>
        <w:t>。</w:t>
      </w:r>
      <w:r>
        <w:rPr>
          <w:rFonts w:ascii="Times New Roman" w:cs="方正仿宋_GBK" w:eastAsia="方正楷体_GBK" w:hint="eastAsia"/>
          <w:bCs/>
          <w:spacing w:val="2"/>
        </w:rPr>
        <w:t>全面强化安全宣传教育。</w:t>
      </w:r>
      <w:r>
        <w:rPr>
          <w:rFonts w:ascii="Times New Roman"/>
        </w:rPr>
        <w:t>承办省</w:t>
      </w:r>
      <w:r>
        <w:rPr>
          <w:rFonts w:ascii="Times New Roman" w:hint="eastAsia"/>
        </w:rPr>
        <w:t>“</w:t>
      </w:r>
      <w:r>
        <w:rPr>
          <w:rFonts w:ascii="Times New Roman"/>
        </w:rPr>
        <w:t>安全应急科普环省行</w:t>
      </w:r>
      <w:r>
        <w:rPr>
          <w:rFonts w:ascii="Times New Roman" w:hint="eastAsia"/>
        </w:rPr>
        <w:t>”</w:t>
      </w:r>
      <w:r>
        <w:rPr>
          <w:rFonts w:ascii="Times New Roman"/>
        </w:rPr>
        <w:t>2021</w:t>
      </w:r>
      <w:r>
        <w:rPr>
          <w:rFonts w:ascii="Times New Roman"/>
        </w:rPr>
        <w:t>年首场活动</w:t>
      </w:r>
      <w:r>
        <w:rPr>
          <w:rFonts w:ascii="Times New Roman" w:hint="eastAsia"/>
        </w:rPr>
        <w:t>，组织“百团进百万企业千万员工”学习宣讲</w:t>
      </w:r>
      <w:r>
        <w:rPr>
          <w:rFonts w:ascii="Times New Roman" w:hint="eastAsia"/>
        </w:rPr>
        <w:t>302</w:t>
      </w:r>
      <w:r>
        <w:rPr>
          <w:rFonts w:ascii="Times New Roman" w:hint="eastAsia"/>
        </w:rPr>
        <w:t>场次。常态开展月度“互学互促”活动，编制工贸行业危险作业全流程安全管理指引手册，靶向整治有限空间作业、委外项目、高处作业等事故高发领域。</w:t>
      </w:r>
      <w:r>
        <w:rPr>
          <w:rFonts w:ascii="Times New Roman" w:cs="方正仿宋_GBK" w:eastAsia="方正楷体_GBK" w:hint="eastAsia"/>
          <w:bCs/>
          <w:spacing w:val="2"/>
        </w:rPr>
        <w:t>加快提升应急救援能力。</w:t>
      </w:r>
      <w:r>
        <w:rPr>
          <w:rFonts w:ascii="Times New Roman" w:hint="eastAsia"/>
          <w:kern w:val="2"/>
          <w:szCs w:val="24"/>
        </w:rPr>
        <w:t>高标准建设江苏省沿江（江阴）危险化学品应急救援基地，</w:t>
      </w:r>
      <w:r>
        <w:rPr>
          <w:rFonts w:ascii="Times New Roman" w:hint="eastAsia"/>
        </w:rPr>
        <w:t>完成实训体验中心及</w:t>
      </w:r>
      <w:r>
        <w:rPr>
          <w:rFonts w:ascii="Times New Roman" w:hint="eastAsia"/>
        </w:rPr>
        <w:t>5</w:t>
      </w:r>
      <w:r>
        <w:rPr>
          <w:rFonts w:ascii="Times New Roman" w:hint="eastAsia"/>
        </w:rPr>
        <w:t>套化工模拟实训装置建设，完善专业化和社会化相结合的应急救援队伍建设</w:t>
      </w:r>
      <w:r>
        <w:rPr>
          <w:rFonts w:ascii="Times New Roman" w:hint="eastAsia"/>
          <w:kern w:val="2"/>
          <w:szCs w:val="24"/>
        </w:rPr>
        <w:t>，成功举办长三角危险化学品重大生产安全事故联合应急演练</w:t>
      </w:r>
      <w:r>
        <w:rPr>
          <w:rFonts w:ascii="Times New Roman" w:hint="eastAsia"/>
        </w:rPr>
        <w:t>。</w:t>
      </w:r>
    </w:p>
    <w:p>
      <w:pPr>
        <w:pStyle w:val="style0"/>
        <w:ind w:firstLine="606" w:firstLineChars="200"/>
        <w:rPr>
          <w:rFonts w:ascii="Times New Roman"/>
          <w:kern w:val="0"/>
        </w:rPr>
      </w:pPr>
      <w:r>
        <w:rPr>
          <w:rFonts w:ascii="Times New Roman" w:eastAsia="方正楷体_GBK" w:hint="eastAsia"/>
          <w:b/>
        </w:rPr>
        <w:t>（八）民</w:t>
      </w:r>
      <w:r>
        <w:rPr>
          <w:rFonts w:ascii="Times New Roman" w:eastAsia="方正楷体_GBK" w:hint="eastAsia"/>
          <w:b/>
          <w:spacing w:val="-2"/>
        </w:rPr>
        <w:t>生保障持续加强。</w:t>
      </w:r>
      <w:r>
        <w:rPr>
          <w:rFonts w:ascii="Times New Roman" w:cs="方正仿宋_GBK" w:eastAsia="方正楷体_GBK" w:hint="eastAsia"/>
          <w:bCs/>
          <w:spacing w:val="-2"/>
        </w:rPr>
        <w:t>就业形势保持稳定。</w:t>
      </w:r>
      <w:r>
        <w:rPr>
          <w:rFonts w:ascii="Times New Roman" w:hint="eastAsia"/>
          <w:spacing w:val="-2"/>
        </w:rPr>
        <w:t>全年提供就业岗位</w:t>
      </w:r>
      <w:r>
        <w:rPr>
          <w:rFonts w:ascii="Times New Roman" w:hint="eastAsia"/>
          <w:spacing w:val="-2"/>
        </w:rPr>
        <w:t>7.2</w:t>
      </w:r>
      <w:r>
        <w:rPr>
          <w:rFonts w:ascii="Times New Roman" w:hint="eastAsia"/>
          <w:spacing w:val="-2"/>
        </w:rPr>
        <w:t>万个，城镇新增就业</w:t>
      </w:r>
      <w:r>
        <w:rPr>
          <w:rFonts w:ascii="Times New Roman" w:hint="eastAsia"/>
          <w:spacing w:val="-2"/>
        </w:rPr>
        <w:t>2.9</w:t>
      </w:r>
      <w:r>
        <w:rPr>
          <w:rFonts w:ascii="Times New Roman" w:hint="eastAsia"/>
          <w:spacing w:val="-2"/>
        </w:rPr>
        <w:t>万人，促进本地劳动力就业</w:t>
      </w:r>
      <w:r>
        <w:rPr>
          <w:rFonts w:ascii="Times New Roman" w:hint="eastAsia"/>
          <w:spacing w:val="-2"/>
        </w:rPr>
        <w:t>5.51</w:t>
      </w:r>
      <w:r>
        <w:rPr>
          <w:rFonts w:ascii="Times New Roman" w:hint="eastAsia"/>
          <w:spacing w:val="-2"/>
        </w:rPr>
        <w:t>万人，应届返澄高校毕业生就业率达</w:t>
      </w:r>
      <w:r>
        <w:rPr>
          <w:rFonts w:ascii="Times New Roman" w:hint="eastAsia"/>
          <w:spacing w:val="-2"/>
        </w:rPr>
        <w:t>93.4%</w:t>
      </w:r>
      <w:r>
        <w:rPr>
          <w:rFonts w:ascii="Times New Roman" w:hint="eastAsia"/>
          <w:spacing w:val="-2"/>
        </w:rPr>
        <w:t>。</w:t>
      </w:r>
      <w:r>
        <w:rPr>
          <w:rFonts w:ascii="Times New Roman" w:cs="方正仿宋_GBK" w:eastAsia="方正楷体_GBK" w:hint="eastAsia"/>
          <w:bCs/>
          <w:spacing w:val="-2"/>
        </w:rPr>
        <w:t>保障水平不断提升。</w:t>
      </w:r>
      <w:r>
        <w:rPr>
          <w:rFonts w:ascii="Times New Roman" w:hint="eastAsia"/>
          <w:spacing w:val="-2"/>
        </w:rPr>
        <w:t>社保扩面新增</w:t>
      </w:r>
      <w:r>
        <w:rPr>
          <w:rFonts w:ascii="Times New Roman" w:hint="eastAsia"/>
          <w:spacing w:val="-2"/>
        </w:rPr>
        <w:t>4</w:t>
      </w:r>
      <w:r>
        <w:rPr>
          <w:rFonts w:ascii="Times New Roman" w:hint="eastAsia"/>
          <w:spacing w:val="-2"/>
        </w:rPr>
        <w:t>万人、净增</w:t>
      </w:r>
      <w:r>
        <w:rPr>
          <w:rFonts w:ascii="Times New Roman" w:hint="eastAsia"/>
          <w:spacing w:val="-2"/>
        </w:rPr>
        <w:t>1.85</w:t>
      </w:r>
      <w:r>
        <w:rPr>
          <w:rFonts w:ascii="Times New Roman" w:hint="eastAsia"/>
          <w:spacing w:val="-2"/>
        </w:rPr>
        <w:t>万人。退休人员养老保险待遇十七连增，居民养老保险基础养老金、被征地农民养老年龄段人员养老补助金标准分别提高到</w:t>
      </w:r>
      <w:r>
        <w:rPr>
          <w:rFonts w:ascii="Times New Roman" w:hint="eastAsia"/>
          <w:spacing w:val="-2"/>
        </w:rPr>
        <w:t>423</w:t>
      </w:r>
      <w:r>
        <w:rPr>
          <w:rFonts w:ascii="Times New Roman" w:hint="eastAsia"/>
          <w:spacing w:val="-2"/>
        </w:rPr>
        <w:t>元</w:t>
      </w:r>
      <w:r>
        <w:rPr>
          <w:rFonts w:ascii="Times New Roman" w:hint="eastAsia"/>
          <w:spacing w:val="-2"/>
        </w:rPr>
        <w:t>/</w:t>
      </w:r>
      <w:r>
        <w:rPr>
          <w:rFonts w:ascii="Times New Roman" w:hint="eastAsia"/>
          <w:spacing w:val="-2"/>
        </w:rPr>
        <w:t>人·月、</w:t>
      </w:r>
      <w:r>
        <w:rPr>
          <w:rFonts w:ascii="Times New Roman" w:hint="eastAsia"/>
          <w:spacing w:val="-2"/>
        </w:rPr>
        <w:t>1015</w:t>
      </w:r>
      <w:r>
        <w:rPr>
          <w:rFonts w:ascii="Times New Roman" w:hint="eastAsia"/>
          <w:spacing w:val="-2"/>
        </w:rPr>
        <w:t>元</w:t>
      </w:r>
      <w:r>
        <w:rPr>
          <w:rFonts w:ascii="Times New Roman" w:hint="eastAsia"/>
          <w:spacing w:val="-2"/>
        </w:rPr>
        <w:t>/</w:t>
      </w:r>
      <w:r>
        <w:rPr>
          <w:rFonts w:ascii="Times New Roman" w:hint="eastAsia"/>
          <w:spacing w:val="-2"/>
        </w:rPr>
        <w:t>人·月。职工医保、居民医保政策范围内住院结报比例分别达</w:t>
      </w:r>
      <w:r>
        <w:rPr>
          <w:rFonts w:ascii="Times New Roman" w:hint="eastAsia"/>
          <w:spacing w:val="-2"/>
        </w:rPr>
        <w:t>85%</w:t>
      </w:r>
      <w:r>
        <w:rPr>
          <w:rFonts w:ascii="Times New Roman" w:hint="eastAsia"/>
          <w:spacing w:val="-2"/>
        </w:rPr>
        <w:t>、</w:t>
      </w:r>
      <w:r>
        <w:rPr>
          <w:rFonts w:ascii="Times New Roman" w:hint="eastAsia"/>
          <w:spacing w:val="-2"/>
        </w:rPr>
        <w:t>70%</w:t>
      </w:r>
      <w:r>
        <w:rPr>
          <w:rFonts w:ascii="Times New Roman" w:hint="eastAsia"/>
          <w:spacing w:val="-2"/>
        </w:rPr>
        <w:t>左右，居民医保</w:t>
      </w:r>
      <w:r>
        <w:rPr>
          <w:rFonts w:ascii="Times New Roman" w:hint="eastAsia"/>
          <w:spacing w:val="-2"/>
          <w:kern w:val="0"/>
        </w:rPr>
        <w:t>二、三级医疗机构政策范围内住院报销比例提高</w:t>
      </w:r>
      <w:r>
        <w:rPr>
          <w:rFonts w:ascii="Times New Roman" w:hint="eastAsia"/>
          <w:spacing w:val="-2"/>
          <w:kern w:val="0"/>
        </w:rPr>
        <w:t>10%</w:t>
      </w:r>
      <w:r>
        <w:rPr>
          <w:rFonts w:ascii="Times New Roman" w:hint="eastAsia"/>
          <w:spacing w:val="-2"/>
          <w:kern w:val="0"/>
        </w:rPr>
        <w:t>至</w:t>
      </w:r>
      <w:r>
        <w:rPr>
          <w:rFonts w:ascii="Times New Roman" w:hint="eastAsia"/>
          <w:spacing w:val="-2"/>
          <w:kern w:val="0"/>
        </w:rPr>
        <w:t>30%</w:t>
      </w:r>
      <w:r>
        <w:rPr>
          <w:rFonts w:ascii="Times New Roman" w:hint="eastAsia"/>
          <w:spacing w:val="-2"/>
          <w:kern w:val="0"/>
        </w:rPr>
        <w:t>。</w:t>
      </w:r>
      <w:r>
        <w:rPr>
          <w:rFonts w:ascii="Times New Roman" w:cs="方正仿宋_GBK" w:eastAsia="方正楷体_GBK" w:hint="eastAsia"/>
          <w:bCs/>
          <w:spacing w:val="-2"/>
        </w:rPr>
        <w:t>教育投入持续加大。</w:t>
      </w:r>
      <w:r>
        <w:rPr>
          <w:rFonts w:ascii="Times New Roman" w:hint="eastAsia"/>
          <w:spacing w:val="-2"/>
        </w:rPr>
        <w:t>敔山湾实验学校新建教学楼建成投用，毗陵路小学、先锋幼儿园等项目开工建设。新增普惠性民办幼儿园</w:t>
      </w:r>
      <w:r>
        <w:rPr>
          <w:rFonts w:ascii="Times New Roman" w:hint="eastAsia"/>
          <w:spacing w:val="-2"/>
        </w:rPr>
        <w:t>20</w:t>
      </w:r>
      <w:r>
        <w:rPr>
          <w:rFonts w:ascii="Times New Roman" w:hint="eastAsia"/>
          <w:spacing w:val="-2"/>
        </w:rPr>
        <w:t>个、普惠学位</w:t>
      </w:r>
      <w:r>
        <w:rPr>
          <w:rFonts w:ascii="Times New Roman" w:hint="eastAsia"/>
          <w:spacing w:val="-2"/>
        </w:rPr>
        <w:t>3902</w:t>
      </w:r>
      <w:r>
        <w:rPr>
          <w:rFonts w:ascii="Times New Roman" w:hint="eastAsia"/>
          <w:spacing w:val="-2"/>
        </w:rPr>
        <w:t>个。华东师范大学江阴实验学校、南京师范大学</w:t>
      </w:r>
      <w:r>
        <w:rPr>
          <w:rFonts w:ascii="Times New Roman"/>
          <w:spacing w:val="-2"/>
        </w:rPr>
        <w:t>附属江阴实验学校</w:t>
      </w:r>
      <w:r>
        <w:rPr>
          <w:rFonts w:ascii="Times New Roman" w:hint="eastAsia"/>
          <w:spacing w:val="-2"/>
        </w:rPr>
        <w:t>顺利签约，江阴二中晋级省四星级高中。</w:t>
      </w:r>
      <w:r>
        <w:rPr>
          <w:rFonts w:ascii="Times New Roman" w:eastAsia="方正楷体_GBK" w:hint="eastAsia"/>
          <w:spacing w:val="-2"/>
        </w:rPr>
        <w:t>疫情防控常态化落实。</w:t>
      </w:r>
      <w:r>
        <w:rPr>
          <w:rFonts w:ascii="Times New Roman"/>
          <w:spacing w:val="-2"/>
        </w:rPr>
        <w:t>全面完成</w:t>
      </w:r>
      <w:r>
        <w:rPr>
          <w:rFonts w:ascii="Times New Roman"/>
          <w:spacing w:val="-2"/>
        </w:rPr>
        <w:t>180</w:t>
      </w:r>
      <w:r>
        <w:rPr>
          <w:rFonts w:ascii="Times New Roman"/>
          <w:spacing w:val="-2"/>
        </w:rPr>
        <w:t>项应急能力建设，设置集中隔离点</w:t>
      </w:r>
      <w:r>
        <w:rPr>
          <w:rFonts w:ascii="Times New Roman"/>
          <w:spacing w:val="-2"/>
        </w:rPr>
        <w:t>40</w:t>
      </w:r>
      <w:r>
        <w:rPr>
          <w:rFonts w:ascii="Times New Roman"/>
          <w:spacing w:val="-2"/>
        </w:rPr>
        <w:t>个，重点人群核酸应检尽检</w:t>
      </w:r>
      <w:r>
        <w:rPr>
          <w:rFonts w:ascii="Times New Roman"/>
          <w:spacing w:val="-2"/>
        </w:rPr>
        <w:t>155</w:t>
      </w:r>
      <w:r>
        <w:rPr>
          <w:rFonts w:ascii="Times New Roman"/>
          <w:spacing w:val="-2"/>
        </w:rPr>
        <w:t>万人次，新冠疫苗全程接种率达</w:t>
      </w:r>
      <w:r>
        <w:rPr>
          <w:rFonts w:ascii="Times New Roman"/>
          <w:spacing w:val="-2"/>
        </w:rPr>
        <w:t>9</w:t>
      </w:r>
      <w:r>
        <w:rPr>
          <w:rFonts w:ascii="Times New Roman" w:hint="eastAsia"/>
          <w:spacing w:val="-2"/>
        </w:rPr>
        <w:t>7.71</w:t>
      </w:r>
      <w:r>
        <w:rPr>
          <w:rFonts w:ascii="Times New Roman"/>
          <w:spacing w:val="-2"/>
        </w:rPr>
        <w:t>%</w:t>
      </w:r>
      <w:r>
        <w:rPr>
          <w:rFonts w:ascii="Times New Roman"/>
          <w:spacing w:val="-2"/>
        </w:rPr>
        <w:t>。</w:t>
      </w:r>
      <w:r>
        <w:rPr>
          <w:rFonts w:ascii="Times New Roman" w:eastAsia="方正楷体_GBK" w:hint="eastAsia"/>
          <w:spacing w:val="-2"/>
        </w:rPr>
        <w:t>医卫水平持续提升。</w:t>
      </w:r>
      <w:r>
        <w:rPr>
          <w:rFonts w:ascii="Times New Roman" w:hint="eastAsia"/>
          <w:spacing w:val="-2"/>
        </w:rPr>
        <w:t>新开工市人民医院传染病大楼改扩建工程，市中医院异地新建、妇幼保健院改建等工程稳步推进。明确二、三级医院对口支援基层医疗机构的关系，促进优质护理资源下沉。社区卫生服务能力持续提升，“优质服务基层行”活动覆盖率达</w:t>
      </w:r>
      <w:r>
        <w:rPr>
          <w:rFonts w:ascii="Times New Roman" w:hint="eastAsia"/>
          <w:spacing w:val="-2"/>
        </w:rPr>
        <w:t>100%</w:t>
      </w:r>
      <w:r>
        <w:rPr>
          <w:rFonts w:ascii="Times New Roman" w:hint="eastAsia"/>
          <w:spacing w:val="-2"/>
        </w:rPr>
        <w:t>，</w:t>
      </w:r>
      <w:r>
        <w:rPr>
          <w:rFonts w:ascii="Times New Roman" w:hint="eastAsia"/>
          <w:spacing w:val="-2"/>
        </w:rPr>
        <w:t>94</w:t>
      </w:r>
      <w:r>
        <w:rPr>
          <w:rFonts w:ascii="Times New Roman" w:hint="eastAsia"/>
          <w:spacing w:val="-2"/>
        </w:rPr>
        <w:t>家村卫生室达到服务能力基本标准。</w:t>
      </w:r>
      <w:r>
        <w:rPr>
          <w:rFonts w:ascii="Times New Roman" w:cs="方正仿宋_GBK" w:eastAsia="方正楷体_GBK" w:hint="eastAsia"/>
          <w:bCs/>
          <w:spacing w:val="-2"/>
        </w:rPr>
        <w:t>养老服务提质扩面。</w:t>
      </w:r>
      <w:r>
        <w:rPr>
          <w:rFonts w:ascii="Times New Roman" w:hint="eastAsia"/>
          <w:spacing w:val="-2"/>
        </w:rPr>
        <w:t>新增</w:t>
      </w:r>
      <w:r>
        <w:rPr>
          <w:rFonts w:ascii="Times New Roman" w:hint="eastAsia"/>
          <w:spacing w:val="-2"/>
        </w:rPr>
        <w:t>4</w:t>
      </w:r>
      <w:r>
        <w:rPr>
          <w:rFonts w:ascii="Times New Roman" w:hint="eastAsia"/>
          <w:spacing w:val="-2"/>
        </w:rPr>
        <w:t>家标准化居家养老服务中心（站），完成</w:t>
      </w:r>
      <w:r>
        <w:rPr>
          <w:rFonts w:ascii="Times New Roman" w:hint="eastAsia"/>
          <w:spacing w:val="-2"/>
        </w:rPr>
        <w:t>1</w:t>
      </w:r>
      <w:r>
        <w:rPr>
          <w:rFonts w:ascii="Times New Roman" w:hint="eastAsia"/>
          <w:spacing w:val="-2"/>
        </w:rPr>
        <w:t>家特困对象集中供养机构、</w:t>
      </w:r>
      <w:r>
        <w:rPr>
          <w:rFonts w:ascii="Times New Roman" w:hint="eastAsia"/>
          <w:spacing w:val="-2"/>
        </w:rPr>
        <w:t>3</w:t>
      </w:r>
      <w:r>
        <w:rPr>
          <w:rFonts w:ascii="Times New Roman" w:hint="eastAsia"/>
          <w:spacing w:val="-2"/>
        </w:rPr>
        <w:t>家农村区域性养老服务中心建设。完成第三批困难老年人家庭适老化改造</w:t>
      </w:r>
      <w:r>
        <w:rPr>
          <w:rFonts w:ascii="Times New Roman" w:hint="eastAsia"/>
          <w:spacing w:val="-2"/>
        </w:rPr>
        <w:t>650</w:t>
      </w:r>
      <w:r>
        <w:rPr>
          <w:rFonts w:ascii="Times New Roman" w:hint="eastAsia"/>
          <w:spacing w:val="-2"/>
        </w:rPr>
        <w:t>户，高龄、失能困难老人保障率达</w:t>
      </w:r>
      <w:r>
        <w:rPr>
          <w:rFonts w:ascii="Times New Roman" w:hint="eastAsia"/>
          <w:spacing w:val="-2"/>
        </w:rPr>
        <w:t>100%</w:t>
      </w:r>
      <w:r>
        <w:rPr>
          <w:rFonts w:ascii="Times New Roman" w:hint="eastAsia"/>
          <w:spacing w:val="-2"/>
        </w:rPr>
        <w:t>。</w:t>
      </w:r>
      <w:r>
        <w:rPr>
          <w:rFonts w:ascii="Times New Roman" w:cs="方正仿宋_GBK" w:eastAsia="方正楷体_GBK" w:hint="eastAsia"/>
          <w:bCs/>
          <w:spacing w:val="-2"/>
        </w:rPr>
        <w:t>文体惠民持续深入。</w:t>
      </w:r>
      <w:r>
        <w:rPr>
          <w:rFonts w:ascii="Times New Roman" w:hint="eastAsia"/>
          <w:spacing w:val="-2"/>
        </w:rPr>
        <w:t>持续开展“文化走基层</w:t>
      </w:r>
      <w:r>
        <w:rPr>
          <w:rFonts w:ascii="Times New Roman" w:cs="宋体" w:hint="eastAsia"/>
          <w:spacing w:val="-2"/>
          <w:kern w:val="2"/>
        </w:rPr>
        <w:t>·</w:t>
      </w:r>
      <w:r>
        <w:rPr>
          <w:rFonts w:ascii="Times New Roman" w:hint="eastAsia"/>
          <w:spacing w:val="-2"/>
        </w:rPr>
        <w:t>服务进万家”活动，开展文化下乡活动</w:t>
      </w:r>
      <w:r>
        <w:rPr>
          <w:rFonts w:ascii="Times New Roman" w:hint="eastAsia"/>
          <w:spacing w:val="-2"/>
        </w:rPr>
        <w:t>3500</w:t>
      </w:r>
      <w:r>
        <w:rPr>
          <w:rFonts w:ascii="Times New Roman" w:hint="eastAsia"/>
          <w:spacing w:val="-2"/>
        </w:rPr>
        <w:t>余场，配送图书</w:t>
      </w:r>
      <w:r>
        <w:rPr>
          <w:rFonts w:ascii="Times New Roman" w:hint="eastAsia"/>
          <w:spacing w:val="-2"/>
        </w:rPr>
        <w:t>2.35</w:t>
      </w:r>
      <w:r>
        <w:rPr>
          <w:rFonts w:ascii="Times New Roman" w:hint="eastAsia"/>
          <w:spacing w:val="-2"/>
        </w:rPr>
        <w:t>万册。新建、更新室外公共体育设施</w:t>
      </w:r>
      <w:r>
        <w:rPr>
          <w:rFonts w:ascii="Times New Roman" w:hint="eastAsia"/>
          <w:spacing w:val="-2"/>
        </w:rPr>
        <w:t>175</w:t>
      </w:r>
      <w:r>
        <w:rPr>
          <w:rFonts w:ascii="Times New Roman" w:hint="eastAsia"/>
          <w:spacing w:val="-2"/>
        </w:rPr>
        <w:t>套（副），新增体</w:t>
      </w:r>
      <w:r>
        <w:rPr>
          <w:rFonts w:ascii="Times New Roman" w:hint="eastAsia"/>
          <w:spacing w:val="-2"/>
        </w:rPr>
        <w:t>育公园</w:t>
      </w:r>
      <w:r>
        <w:rPr>
          <w:rFonts w:ascii="Times New Roman" w:hint="eastAsia"/>
          <w:spacing w:val="-2"/>
        </w:rPr>
        <w:t>2</w:t>
      </w:r>
      <w:r>
        <w:rPr>
          <w:rFonts w:ascii="Times New Roman" w:hint="eastAsia"/>
          <w:spacing w:val="-2"/>
        </w:rPr>
        <w:t>个、健身步道</w:t>
      </w:r>
      <w:r>
        <w:rPr>
          <w:rFonts w:ascii="Times New Roman" w:hint="eastAsia"/>
          <w:spacing w:val="-2"/>
        </w:rPr>
        <w:t>16</w:t>
      </w:r>
      <w:r>
        <w:rPr>
          <w:rFonts w:ascii="Times New Roman" w:hint="eastAsia"/>
          <w:spacing w:val="-2"/>
        </w:rPr>
        <w:t>公里。</w:t>
      </w:r>
      <w:r>
        <w:rPr>
          <w:rFonts w:ascii="Times New Roman" w:eastAsia="方正楷体_GBK" w:hint="eastAsia"/>
          <w:spacing w:val="-2"/>
        </w:rPr>
        <w:t>法治惠民成效显著。</w:t>
      </w:r>
      <w:r>
        <w:rPr>
          <w:rFonts w:ascii="Times New Roman" w:hint="eastAsia"/>
          <w:spacing w:val="-2"/>
        </w:rPr>
        <w:t>成立“百律千企”服务联系点</w:t>
      </w:r>
      <w:r>
        <w:rPr>
          <w:rFonts w:ascii="Times New Roman" w:hint="eastAsia"/>
          <w:spacing w:val="-2"/>
        </w:rPr>
        <w:t>80</w:t>
      </w:r>
      <w:r>
        <w:rPr>
          <w:rFonts w:ascii="Times New Roman" w:hint="eastAsia"/>
          <w:spacing w:val="-2"/>
        </w:rPr>
        <w:t>余个，</w:t>
      </w:r>
      <w:r>
        <w:rPr>
          <w:rFonts w:ascii="Times New Roman" w:cs="方正仿宋_GBK" w:hint="eastAsia"/>
          <w:spacing w:val="-2"/>
        </w:rPr>
        <w:t>培育“法律明白人”</w:t>
      </w:r>
      <w:r>
        <w:rPr>
          <w:rFonts w:ascii="Times New Roman" w:cs="方正仿宋_GBK" w:hint="eastAsia"/>
          <w:spacing w:val="-2"/>
        </w:rPr>
        <w:t>2148</w:t>
      </w:r>
      <w:r>
        <w:rPr>
          <w:rFonts w:ascii="Times New Roman" w:cs="方正仿宋_GBK" w:hint="eastAsia"/>
          <w:spacing w:val="-2"/>
        </w:rPr>
        <w:t>名，化解纠纷超</w:t>
      </w:r>
      <w:r>
        <w:rPr>
          <w:rFonts w:ascii="Times New Roman" w:cs="方正仿宋_GBK" w:hint="eastAsia"/>
          <w:spacing w:val="-2"/>
        </w:rPr>
        <w:t>3</w:t>
      </w:r>
      <w:r>
        <w:rPr>
          <w:rFonts w:ascii="Times New Roman" w:cs="方正仿宋_GBK" w:hint="eastAsia"/>
          <w:spacing w:val="-2"/>
        </w:rPr>
        <w:t>万件，实现“援法议事”示范点镇街全覆盖</w:t>
      </w:r>
      <w:r>
        <w:rPr>
          <w:rFonts w:ascii="Times New Roman" w:cs="方正仿宋_GBK" w:hint="eastAsia"/>
        </w:rPr>
        <w:t>。</w:t>
      </w:r>
    </w:p>
    <w:p>
      <w:pPr>
        <w:pStyle w:val="style0"/>
        <w:ind w:firstLine="603" w:firstLineChars="200"/>
        <w:rPr>
          <w:rFonts w:ascii="Times New Roman"/>
        </w:rPr>
      </w:pPr>
      <w:r>
        <w:rPr>
          <w:rFonts w:ascii="Times New Roman" w:hint="eastAsia"/>
        </w:rPr>
        <w:t>在总结成绩的同时，我们也清醒地认识到国民经济发展还面临着一些问题和挑战：经济下行压力加大，指标增速持续放缓，发展新动能仍然不足；结构性矛盾依然突出，创新动能有待增强，转型提升面临挑战；资源环境瓶颈凸显，后续发展缺少空间，生态保护仍需加大力度；城市面貌有待改善，基础设施建设滞后；公共服务设施短板突出，教育、医疗、养老、文化等服务供给水平与群众需求还有差距。对此，我们一定高度重视，认真分析原因，采取务实举措，切实加以解决。</w:t>
      </w:r>
    </w:p>
    <w:p>
      <w:pPr>
        <w:pStyle w:val="style0"/>
        <w:ind w:firstLine="603" w:firstLineChars="200"/>
        <w:rPr>
          <w:rFonts w:ascii="Times New Roman" w:eastAsia="方正黑体_GBK"/>
        </w:rPr>
      </w:pPr>
      <w:r>
        <w:rPr>
          <w:rFonts w:ascii="Times New Roman" w:eastAsia="方正黑体_GBK" w:hint="eastAsia"/>
        </w:rPr>
        <w:t>二、</w:t>
      </w:r>
      <w:r>
        <w:rPr>
          <w:rFonts w:ascii="Times New Roman" w:eastAsia="方正黑体_GBK" w:hint="eastAsia"/>
        </w:rPr>
        <w:t>2022</w:t>
      </w:r>
      <w:r>
        <w:rPr>
          <w:rFonts w:ascii="Times New Roman" w:eastAsia="方正黑体_GBK" w:hint="eastAsia"/>
        </w:rPr>
        <w:t>年国民经济和社会发展主要目标和任务</w:t>
      </w:r>
    </w:p>
    <w:p>
      <w:pPr>
        <w:pStyle w:val="style0"/>
        <w:ind w:firstLine="603" w:firstLineChars="200"/>
        <w:rPr>
          <w:rFonts w:ascii="Times New Roman"/>
        </w:rPr>
      </w:pPr>
      <w:r>
        <w:rPr>
          <w:rFonts w:ascii="Times New Roman" w:hint="eastAsia"/>
        </w:rPr>
        <w:t>2022</w:t>
      </w:r>
      <w:r>
        <w:rPr>
          <w:rFonts w:ascii="Times New Roman" w:hint="eastAsia"/>
        </w:rPr>
        <w:t>年是</w:t>
      </w:r>
      <w:r>
        <w:rPr>
          <w:rFonts w:ascii="Times New Roman"/>
          <w:spacing w:val="2"/>
          <w:kern w:val="2"/>
          <w:szCs w:val="24"/>
        </w:rPr>
        <w:t>党的二十大召开之年，</w:t>
      </w:r>
      <w:r>
        <w:rPr>
          <w:rFonts w:ascii="Times New Roman" w:hint="eastAsia"/>
          <w:spacing w:val="2"/>
          <w:kern w:val="2"/>
          <w:szCs w:val="24"/>
        </w:rPr>
        <w:t>也</w:t>
      </w:r>
      <w:r>
        <w:rPr>
          <w:rFonts w:ascii="Times New Roman"/>
          <w:spacing w:val="2"/>
          <w:kern w:val="2"/>
          <w:szCs w:val="24"/>
        </w:rPr>
        <w:t>是江阴撤县建市</w:t>
      </w:r>
      <w:r>
        <w:rPr>
          <w:rFonts w:ascii="Times New Roman"/>
          <w:spacing w:val="2"/>
          <w:kern w:val="2"/>
          <w:szCs w:val="24"/>
        </w:rPr>
        <w:t>35</w:t>
      </w:r>
      <w:r>
        <w:rPr>
          <w:rFonts w:ascii="Times New Roman"/>
          <w:spacing w:val="2"/>
          <w:kern w:val="2"/>
          <w:szCs w:val="24"/>
        </w:rPr>
        <w:t>周年</w:t>
      </w:r>
      <w:r>
        <w:rPr>
          <w:rFonts w:ascii="Times New Roman" w:hint="eastAsia"/>
        </w:rPr>
        <w:t>，做好各项工作意义重大。目前，全球疫情长期存在，国内疫情多点散发，</w:t>
      </w:r>
      <w:r>
        <w:rPr>
          <w:rFonts w:ascii="Times New Roman"/>
        </w:rPr>
        <w:t>经济恢复仍然不稳固</w:t>
      </w:r>
      <w:r>
        <w:rPr>
          <w:rFonts w:ascii="Times New Roman" w:hint="eastAsia"/>
        </w:rPr>
        <w:t>，各项成本上涨不断挤压企业利润，投资、消费、出口对经济增长的支撑作用逐步减弱，经济下行压力较大。基于国内外形势、上级要求和我市的实际情况，建议</w:t>
      </w:r>
      <w:r>
        <w:rPr>
          <w:rFonts w:ascii="Times New Roman" w:hint="eastAsia"/>
        </w:rPr>
        <w:t>2022</w:t>
      </w:r>
      <w:r>
        <w:rPr>
          <w:rFonts w:ascii="Times New Roman" w:hint="eastAsia"/>
        </w:rPr>
        <w:t>年主要目标安排如下：</w:t>
      </w:r>
    </w:p>
    <w:p>
      <w:pPr>
        <w:pStyle w:val="style0"/>
        <w:ind w:firstLine="603" w:firstLineChars="200"/>
        <w:rPr>
          <w:rFonts w:ascii="Times New Roman"/>
        </w:rPr>
      </w:pPr>
      <w:r>
        <w:rPr>
          <w:rFonts w:ascii="Times New Roman" w:hint="eastAsia"/>
        </w:rPr>
        <w:t>（一）地区生产总值增长</w:t>
      </w:r>
      <w:r>
        <w:rPr>
          <w:rFonts w:ascii="Times New Roman" w:hint="eastAsia"/>
        </w:rPr>
        <w:t>6%</w:t>
      </w:r>
      <w:r>
        <w:rPr>
          <w:rFonts w:ascii="Times New Roman" w:hint="eastAsia"/>
        </w:rPr>
        <w:t>以上；</w:t>
      </w:r>
    </w:p>
    <w:p>
      <w:pPr>
        <w:pStyle w:val="style0"/>
        <w:ind w:firstLine="603" w:firstLineChars="200"/>
        <w:rPr>
          <w:rFonts w:ascii="Times New Roman"/>
        </w:rPr>
      </w:pPr>
      <w:r>
        <w:rPr>
          <w:rFonts w:ascii="Times New Roman" w:hint="eastAsia"/>
        </w:rPr>
        <w:t>（二）一般公共预算收入增长</w:t>
      </w:r>
      <w:r>
        <w:rPr>
          <w:rFonts w:ascii="Times New Roman" w:hint="eastAsia"/>
        </w:rPr>
        <w:t>5%</w:t>
      </w:r>
      <w:r>
        <w:rPr>
          <w:rFonts w:ascii="Times New Roman" w:hint="eastAsia"/>
        </w:rPr>
        <w:t>左右；</w:t>
      </w:r>
    </w:p>
    <w:p>
      <w:pPr>
        <w:pStyle w:val="style0"/>
        <w:ind w:firstLine="603" w:firstLineChars="200"/>
        <w:rPr>
          <w:rFonts w:ascii="Times New Roman"/>
        </w:rPr>
      </w:pPr>
      <w:r>
        <w:rPr>
          <w:rFonts w:ascii="Times New Roman" w:hint="eastAsia"/>
        </w:rPr>
        <w:t>（三）规模以上工业增加值增长</w:t>
      </w:r>
      <w:r>
        <w:rPr>
          <w:rFonts w:ascii="Times New Roman" w:hint="eastAsia"/>
        </w:rPr>
        <w:t>7.5%</w:t>
      </w:r>
      <w:r>
        <w:rPr>
          <w:rFonts w:ascii="Times New Roman" w:hint="eastAsia"/>
        </w:rPr>
        <w:t>左右；</w:t>
      </w:r>
    </w:p>
    <w:p>
      <w:pPr>
        <w:pStyle w:val="style0"/>
        <w:ind w:firstLine="603" w:firstLineChars="200"/>
        <w:rPr>
          <w:rFonts w:ascii="Times New Roman"/>
        </w:rPr>
      </w:pPr>
      <w:r>
        <w:rPr>
          <w:rFonts w:ascii="Times New Roman" w:hint="eastAsia"/>
        </w:rPr>
        <w:t>（四）规模以上服务业营业收入增长</w:t>
      </w:r>
      <w:r>
        <w:rPr>
          <w:rFonts w:ascii="Times New Roman" w:hint="eastAsia"/>
        </w:rPr>
        <w:t>10%</w:t>
      </w:r>
      <w:r>
        <w:rPr>
          <w:rFonts w:ascii="Times New Roman" w:hint="eastAsia"/>
        </w:rPr>
        <w:t>左右；</w:t>
      </w:r>
    </w:p>
    <w:p>
      <w:pPr>
        <w:pStyle w:val="style0"/>
        <w:ind w:firstLine="603" w:firstLineChars="200"/>
        <w:rPr>
          <w:rFonts w:ascii="Times New Roman"/>
        </w:rPr>
      </w:pPr>
      <w:r>
        <w:rPr>
          <w:rFonts w:ascii="Times New Roman" w:hint="eastAsia"/>
        </w:rPr>
        <w:t>（五）固定资产投资完成</w:t>
      </w:r>
      <w:r>
        <w:rPr>
          <w:rFonts w:ascii="Times New Roman" w:hint="eastAsia"/>
        </w:rPr>
        <w:t>980</w:t>
      </w:r>
      <w:r>
        <w:rPr>
          <w:rFonts w:ascii="Times New Roman" w:hint="eastAsia"/>
        </w:rPr>
        <w:t>亿元；</w:t>
      </w:r>
    </w:p>
    <w:p>
      <w:pPr>
        <w:pStyle w:val="style0"/>
        <w:ind w:firstLine="603" w:firstLineChars="200"/>
        <w:rPr>
          <w:rFonts w:ascii="Times New Roman"/>
        </w:rPr>
      </w:pPr>
      <w:r>
        <w:rPr>
          <w:rFonts w:ascii="Times New Roman" w:hint="eastAsia"/>
        </w:rPr>
        <w:t>（六）社会消费品零售总额增长</w:t>
      </w:r>
      <w:r>
        <w:rPr>
          <w:rFonts w:ascii="Times New Roman" w:hint="eastAsia"/>
        </w:rPr>
        <w:t>8%</w:t>
      </w:r>
      <w:r>
        <w:rPr>
          <w:rFonts w:ascii="Times New Roman" w:hint="eastAsia"/>
        </w:rPr>
        <w:t>左右；</w:t>
      </w:r>
    </w:p>
    <w:p>
      <w:pPr>
        <w:pStyle w:val="style0"/>
        <w:ind w:firstLine="603" w:firstLineChars="200"/>
        <w:rPr>
          <w:rFonts w:ascii="Times New Roman"/>
        </w:rPr>
      </w:pPr>
      <w:r>
        <w:rPr>
          <w:rFonts w:ascii="Times New Roman" w:hint="eastAsia"/>
        </w:rPr>
        <w:t>（七）进出口总额稳中提质；</w:t>
      </w:r>
    </w:p>
    <w:p>
      <w:pPr>
        <w:pStyle w:val="style0"/>
        <w:ind w:firstLine="603" w:firstLineChars="200"/>
        <w:rPr>
          <w:rFonts w:ascii="Times New Roman"/>
        </w:rPr>
      </w:pPr>
      <w:r>
        <w:rPr>
          <w:rFonts w:ascii="Times New Roman" w:hint="eastAsia"/>
        </w:rPr>
        <w:t>（八）实际利用外资完成</w:t>
      </w:r>
      <w:r>
        <w:rPr>
          <w:rFonts w:ascii="Times New Roman" w:hint="eastAsia"/>
        </w:rPr>
        <w:t>8</w:t>
      </w:r>
      <w:r>
        <w:rPr>
          <w:rFonts w:ascii="Times New Roman" w:hint="eastAsia"/>
        </w:rPr>
        <w:t>亿美元；</w:t>
      </w:r>
    </w:p>
    <w:p>
      <w:pPr>
        <w:pStyle w:val="style0"/>
        <w:ind w:firstLine="603" w:firstLineChars="200"/>
        <w:rPr>
          <w:rFonts w:ascii="Times New Roman"/>
        </w:rPr>
      </w:pPr>
      <w:r>
        <w:rPr>
          <w:rFonts w:ascii="Times New Roman" w:hint="eastAsia"/>
        </w:rPr>
        <w:t>（九）城镇居民人均可支配收入和农村居民人均可支配收入增幅与经济增长保持同步；</w:t>
      </w:r>
    </w:p>
    <w:p>
      <w:pPr>
        <w:pStyle w:val="style0"/>
        <w:ind w:firstLine="603" w:firstLineChars="200"/>
        <w:rPr>
          <w:rFonts w:ascii="Times New Roman"/>
        </w:rPr>
      </w:pPr>
      <w:r>
        <w:rPr>
          <w:rFonts w:ascii="Times New Roman" w:hint="eastAsia"/>
        </w:rPr>
        <w:t>（十）城镇登记失业率控制在</w:t>
      </w:r>
      <w:r>
        <w:rPr>
          <w:rFonts w:ascii="Times New Roman" w:hint="eastAsia"/>
        </w:rPr>
        <w:t>3%</w:t>
      </w:r>
      <w:r>
        <w:rPr>
          <w:rFonts w:ascii="Times New Roman" w:hint="eastAsia"/>
        </w:rPr>
        <w:t>以内；</w:t>
      </w:r>
    </w:p>
    <w:p>
      <w:pPr>
        <w:pStyle w:val="style0"/>
        <w:ind w:firstLine="603" w:firstLineChars="200"/>
        <w:rPr>
          <w:rFonts w:ascii="Times New Roman"/>
        </w:rPr>
      </w:pPr>
      <w:r>
        <w:rPr>
          <w:rFonts w:ascii="Times New Roman" w:hint="eastAsia"/>
        </w:rPr>
        <w:t>（十一）万元</w:t>
      </w:r>
      <w:r>
        <w:rPr>
          <w:rFonts w:ascii="Times New Roman" w:hint="eastAsia"/>
        </w:rPr>
        <w:t>GDP</w:t>
      </w:r>
      <w:r>
        <w:rPr>
          <w:rFonts w:ascii="Times New Roman" w:hint="eastAsia"/>
        </w:rPr>
        <w:t>能耗下降完成上级下达的目标任务；</w:t>
      </w:r>
    </w:p>
    <w:p>
      <w:pPr>
        <w:pStyle w:val="style0"/>
        <w:ind w:firstLine="603" w:firstLineChars="200"/>
        <w:rPr>
          <w:rFonts w:ascii="Times New Roman"/>
        </w:rPr>
      </w:pPr>
      <w:r>
        <w:rPr>
          <w:rFonts w:ascii="Times New Roman" w:hint="eastAsia"/>
        </w:rPr>
        <w:t>（十二）主要污染物化学需氧量、二氧化硫、氨氮和氮氧化物减排完成上级下达的目标任务；</w:t>
      </w:r>
    </w:p>
    <w:p>
      <w:pPr>
        <w:pStyle w:val="style0"/>
        <w:ind w:firstLine="603" w:firstLineChars="200"/>
        <w:rPr>
          <w:rFonts w:ascii="Times New Roman"/>
        </w:rPr>
      </w:pPr>
      <w:r>
        <w:rPr>
          <w:rFonts w:ascii="Times New Roman" w:hint="eastAsia"/>
        </w:rPr>
        <w:t>（十三）空气质量优良天数比率达</w:t>
      </w:r>
      <w:r>
        <w:rPr>
          <w:rFonts w:ascii="Times New Roman" w:hint="eastAsia"/>
        </w:rPr>
        <w:t>81.1%</w:t>
      </w:r>
      <w:r>
        <w:rPr>
          <w:rFonts w:ascii="Times New Roman" w:hint="eastAsia"/>
        </w:rPr>
        <w:t>。</w:t>
      </w:r>
    </w:p>
    <w:p>
      <w:pPr>
        <w:pStyle w:val="style0"/>
        <w:ind w:firstLine="603" w:firstLineChars="200"/>
        <w:rPr>
          <w:rFonts w:ascii="Times New Roman"/>
        </w:rPr>
      </w:pPr>
      <w:r>
        <w:rPr>
          <w:rFonts w:ascii="Times New Roman" w:hint="eastAsia"/>
        </w:rPr>
        <w:t>为实现以上计划目标并全面推进国民经济和社会发展，</w:t>
      </w:r>
      <w:r>
        <w:rPr>
          <w:rFonts w:ascii="Times New Roman" w:hint="eastAsia"/>
        </w:rPr>
        <w:t>2022</w:t>
      </w:r>
      <w:r>
        <w:rPr>
          <w:rFonts w:ascii="Times New Roman" w:hint="eastAsia"/>
        </w:rPr>
        <w:t>年重点抓好以下几个方面工作：</w:t>
      </w:r>
    </w:p>
    <w:p>
      <w:pPr>
        <w:pStyle w:val="style0"/>
        <w:ind w:firstLine="606" w:firstLineChars="200"/>
        <w:rPr>
          <w:rFonts w:ascii="Times New Roman" w:cs="方正仿宋_GBK"/>
          <w:b/>
          <w:bCs/>
          <w:spacing w:val="2"/>
        </w:rPr>
      </w:pPr>
      <w:r>
        <w:rPr>
          <w:rFonts w:ascii="Times New Roman" w:cs="仿宋" w:eastAsia="方正楷体_GBK" w:hint="eastAsia"/>
          <w:b/>
        </w:rPr>
        <w:t>（一）聚力科技创新，着力培育强劲发展动能。</w:t>
      </w:r>
      <w:r>
        <w:rPr>
          <w:rStyle w:val="style4100"/>
          <w:rFonts w:ascii="Times New Roman" w:hint="eastAsia"/>
        </w:rPr>
        <w:t>以科技自立自强为核心，聚焦</w:t>
      </w:r>
      <w:r>
        <w:rPr>
          <w:rFonts w:ascii="Times New Roman" w:cs="仿宋_GB2312" w:hint="eastAsia"/>
        </w:rPr>
        <w:t>“一湾一谷一区一港”建设</w:t>
      </w:r>
      <w:r>
        <w:rPr>
          <w:rFonts w:ascii="Times New Roman" w:cs="方正仿宋_GBK" w:hint="eastAsia"/>
        </w:rPr>
        <w:t>，</w:t>
      </w:r>
      <w:r>
        <w:rPr>
          <w:rStyle w:val="style4100"/>
          <w:rFonts w:ascii="Times New Roman" w:hint="eastAsia"/>
        </w:rPr>
        <w:t>打造具有全国影响力的先进制造业科创中心，打响“科创江阴”品牌。</w:t>
      </w:r>
      <w:r>
        <w:rPr>
          <w:rFonts w:ascii="Times New Roman" w:cs="方正仿宋_GBK" w:eastAsia="方正楷体_GBK" w:hint="eastAsia"/>
          <w:bCs/>
          <w:spacing w:val="2"/>
        </w:rPr>
        <w:t>加快培育创新主体。</w:t>
      </w:r>
      <w:r>
        <w:rPr>
          <w:rFonts w:ascii="Times New Roman" w:cs="方正仿宋_GBK" w:hint="eastAsia"/>
          <w:bCs/>
          <w:spacing w:val="2"/>
        </w:rPr>
        <w:t>深入实施创新型企业培育计划，壮大以高新技术企业为骨干、科技型中小企业为基础、专精特新“小巨人”企业为标杆的创新梯队，年内净增高新技术企业</w:t>
      </w:r>
      <w:r>
        <w:rPr>
          <w:rFonts w:ascii="Times New Roman" w:cs="方正仿宋_GBK" w:hint="eastAsia"/>
          <w:bCs/>
          <w:spacing w:val="2"/>
        </w:rPr>
        <w:t>250</w:t>
      </w:r>
      <w:r>
        <w:rPr>
          <w:rFonts w:ascii="Times New Roman" w:cs="方正仿宋_GBK" w:hint="eastAsia"/>
          <w:bCs/>
          <w:spacing w:val="2"/>
        </w:rPr>
        <w:t>家、</w:t>
      </w:r>
      <w:r>
        <w:rPr>
          <w:rFonts w:ascii="Times New Roman" w:hint="eastAsia"/>
        </w:rPr>
        <w:t>新增省级以上专精特新“小巨人”企业</w:t>
      </w:r>
      <w:r>
        <w:rPr>
          <w:rFonts w:ascii="Times New Roman" w:hint="eastAsia"/>
        </w:rPr>
        <w:t>10</w:t>
      </w:r>
      <w:r>
        <w:rPr>
          <w:rFonts w:ascii="Times New Roman" w:hint="eastAsia"/>
        </w:rPr>
        <w:t>家以上，</w:t>
      </w:r>
      <w:r>
        <w:rPr>
          <w:rFonts w:ascii="Times New Roman" w:cs="方正仿宋_GBK" w:hint="eastAsia"/>
          <w:bCs/>
          <w:spacing w:val="2"/>
        </w:rPr>
        <w:t>国家科技型中小企业入库超</w:t>
      </w:r>
      <w:r>
        <w:rPr>
          <w:rFonts w:ascii="Times New Roman" w:cs="方正仿宋_GBK" w:hint="eastAsia"/>
          <w:bCs/>
          <w:spacing w:val="2"/>
        </w:rPr>
        <w:t>1500</w:t>
      </w:r>
      <w:r>
        <w:rPr>
          <w:rFonts w:ascii="Times New Roman" w:cs="方正仿宋_GBK" w:hint="eastAsia"/>
          <w:bCs/>
          <w:spacing w:val="2"/>
        </w:rPr>
        <w:t>家。</w:t>
      </w:r>
      <w:r>
        <w:rPr>
          <w:rFonts w:ascii="Times New Roman" w:cs="方正仿宋_GBK" w:eastAsia="方正楷体_GBK" w:hint="eastAsia"/>
          <w:bCs/>
          <w:spacing w:val="2"/>
        </w:rPr>
        <w:t>大力建设创新平台。</w:t>
      </w:r>
      <w:r>
        <w:rPr>
          <w:rFonts w:ascii="Times New Roman" w:cs="方正仿宋_GBK" w:hint="eastAsia"/>
        </w:rPr>
        <w:t>支持企业联合高校院所承担国家、省重大科技项目，推动企业工程技术研究中心、重点实验室等平</w:t>
      </w:r>
      <w:r>
        <w:rPr>
          <w:rFonts w:ascii="Times New Roman" w:cs="方正仿宋_GBK" w:hint="eastAsia"/>
        </w:rPr>
        <w:t>台向省级、国家级攀升</w:t>
      </w:r>
      <w:r>
        <w:rPr>
          <w:rStyle w:val="style4100"/>
          <w:rFonts w:ascii="Times New Roman" w:hint="eastAsia"/>
        </w:rPr>
        <w:t>，提升科技创新策源能力。</w:t>
      </w:r>
      <w:r>
        <w:rPr>
          <w:rFonts w:ascii="Times New Roman" w:hint="eastAsia"/>
          <w:kern w:val="2"/>
          <w:szCs w:val="24"/>
        </w:rPr>
        <w:t>持续引育各类科创综合体、新型研发机构，启动建设科创载体</w:t>
      </w:r>
      <w:r>
        <w:rPr>
          <w:rFonts w:ascii="Times New Roman" w:hint="eastAsia"/>
          <w:kern w:val="2"/>
          <w:szCs w:val="24"/>
        </w:rPr>
        <w:t>200</w:t>
      </w:r>
      <w:r>
        <w:rPr>
          <w:rFonts w:ascii="Times New Roman" w:hint="eastAsia"/>
          <w:kern w:val="2"/>
          <w:szCs w:val="24"/>
        </w:rPr>
        <w:t>万平方米以上，投入使用</w:t>
      </w:r>
      <w:r>
        <w:rPr>
          <w:rFonts w:ascii="Times New Roman" w:hint="eastAsia"/>
          <w:kern w:val="2"/>
          <w:szCs w:val="24"/>
        </w:rPr>
        <w:t>30</w:t>
      </w:r>
      <w:r>
        <w:rPr>
          <w:rFonts w:ascii="Times New Roman" w:hint="eastAsia"/>
          <w:kern w:val="2"/>
          <w:szCs w:val="24"/>
        </w:rPr>
        <w:t>万平方米，</w:t>
      </w:r>
      <w:r>
        <w:rPr>
          <w:rFonts w:ascii="Times New Roman" w:cs="方正仿宋_GBK" w:hint="eastAsia"/>
        </w:rPr>
        <w:t>新建省级以上研发机构</w:t>
      </w:r>
      <w:r>
        <w:rPr>
          <w:rFonts w:ascii="Times New Roman" w:hint="eastAsia"/>
        </w:rPr>
        <w:t>15</w:t>
      </w:r>
      <w:r>
        <w:rPr>
          <w:rFonts w:ascii="Times New Roman" w:cs="方正仿宋_GBK" w:hint="eastAsia"/>
        </w:rPr>
        <w:t>家、无锡市级研发机构</w:t>
      </w:r>
      <w:r>
        <w:rPr>
          <w:rFonts w:ascii="Times New Roman" w:hint="eastAsia"/>
        </w:rPr>
        <w:t>100</w:t>
      </w:r>
      <w:r>
        <w:rPr>
          <w:rFonts w:ascii="Times New Roman" w:cs="方正仿宋_GBK" w:hint="eastAsia"/>
        </w:rPr>
        <w:t>家，</w:t>
      </w:r>
      <w:r>
        <w:rPr>
          <w:rFonts w:ascii="Times New Roman" w:hint="eastAsia"/>
          <w:kern w:val="2"/>
          <w:szCs w:val="24"/>
        </w:rPr>
        <w:t>深入推进武汉大学长三角科技创新中心产学研基地建设</w:t>
      </w:r>
      <w:r>
        <w:rPr>
          <w:rFonts w:ascii="Times New Roman" w:hint="eastAsia"/>
        </w:rPr>
        <w:t>。</w:t>
      </w:r>
      <w:r>
        <w:rPr>
          <w:rFonts w:ascii="Times New Roman" w:cs="方正仿宋_GBK" w:eastAsia="方正楷体_GBK" w:hint="eastAsia"/>
          <w:bCs/>
          <w:spacing w:val="2"/>
        </w:rPr>
        <w:t>积极引育创新人才。</w:t>
      </w:r>
      <w:r>
        <w:rPr>
          <w:rFonts w:ascii="Times New Roman" w:hint="eastAsia"/>
          <w:kern w:val="2"/>
        </w:rPr>
        <w:t>全面落实“暨阳英才计划升级版</w:t>
      </w:r>
      <w:r>
        <w:rPr>
          <w:rFonts w:ascii="Times New Roman" w:hint="eastAsia"/>
          <w:kern w:val="2"/>
        </w:rPr>
        <w:t>2.0</w:t>
      </w:r>
      <w:r>
        <w:rPr>
          <w:rFonts w:ascii="Times New Roman" w:hint="eastAsia"/>
          <w:kern w:val="2"/>
        </w:rPr>
        <w:t>”，加大科技人才国际化招引力度，年内</w:t>
      </w:r>
      <w:r>
        <w:rPr>
          <w:rFonts w:ascii="Times New Roman" w:cs="方正仿宋_GBK" w:hint="eastAsia"/>
        </w:rPr>
        <w:t>新引进科</w:t>
      </w:r>
      <w:r>
        <w:rPr>
          <w:rFonts w:ascii="Times New Roman" w:hint="eastAsia"/>
        </w:rPr>
        <w:t>技人才项目</w:t>
      </w:r>
      <w:r>
        <w:rPr>
          <w:rFonts w:ascii="Times New Roman" w:hint="eastAsia"/>
        </w:rPr>
        <w:t>250</w:t>
      </w:r>
      <w:r>
        <w:rPr>
          <w:rFonts w:ascii="Times New Roman" w:hint="eastAsia"/>
        </w:rPr>
        <w:t>个，新增</w:t>
      </w:r>
      <w:r>
        <w:rPr>
          <w:rFonts w:ascii="Times New Roman" w:hint="eastAsia"/>
          <w:kern w:val="2"/>
        </w:rPr>
        <w:t>青年</w:t>
      </w:r>
      <w:r>
        <w:rPr>
          <w:rFonts w:ascii="Times New Roman"/>
          <w:kern w:val="2"/>
        </w:rPr>
        <w:t>人才</w:t>
      </w:r>
      <w:r>
        <w:rPr>
          <w:rFonts w:ascii="Times New Roman" w:hint="eastAsia"/>
          <w:kern w:val="2"/>
        </w:rPr>
        <w:t>2.5</w:t>
      </w:r>
      <w:r>
        <w:rPr>
          <w:rFonts w:ascii="Times New Roman" w:hint="eastAsia"/>
          <w:kern w:val="2"/>
        </w:rPr>
        <w:t>万</w:t>
      </w:r>
      <w:r>
        <w:rPr>
          <w:rFonts w:ascii="Times New Roman"/>
          <w:kern w:val="2"/>
        </w:rPr>
        <w:t>人、</w:t>
      </w:r>
      <w:r>
        <w:rPr>
          <w:rFonts w:ascii="Times New Roman" w:hint="eastAsia"/>
          <w:kern w:val="2"/>
        </w:rPr>
        <w:t>高技</w:t>
      </w:r>
      <w:r>
        <w:rPr>
          <w:rFonts w:ascii="Times New Roman" w:hint="eastAsia"/>
        </w:rPr>
        <w:t>能人才</w:t>
      </w:r>
      <w:r>
        <w:rPr>
          <w:rFonts w:ascii="Times New Roman" w:hint="eastAsia"/>
        </w:rPr>
        <w:t>7000</w:t>
      </w:r>
      <w:r>
        <w:rPr>
          <w:rFonts w:ascii="Times New Roman" w:hint="eastAsia"/>
        </w:rPr>
        <w:t>人，人才总量达</w:t>
      </w:r>
      <w:r>
        <w:rPr>
          <w:rFonts w:ascii="Times New Roman" w:hint="eastAsia"/>
        </w:rPr>
        <w:t>52</w:t>
      </w:r>
      <w:r>
        <w:rPr>
          <w:rFonts w:ascii="Times New Roman" w:hint="eastAsia"/>
        </w:rPr>
        <w:t>万人。</w:t>
      </w:r>
      <w:r>
        <w:rPr>
          <w:rFonts w:ascii="Times New Roman" w:cs="方正仿宋_GBK" w:eastAsia="方正楷体_GBK" w:hint="eastAsia"/>
          <w:bCs/>
          <w:spacing w:val="2"/>
        </w:rPr>
        <w:t>营造良好创新生态。</w:t>
      </w:r>
      <w:r>
        <w:rPr>
          <w:rFonts w:ascii="Times New Roman"/>
        </w:rPr>
        <w:t>全面落实国家、省市各项科技创新政策措施，</w:t>
      </w:r>
      <w:r>
        <w:rPr>
          <w:rFonts w:ascii="Times New Roman" w:hint="eastAsia"/>
        </w:rPr>
        <w:t>出台</w:t>
      </w:r>
      <w:r>
        <w:rPr>
          <w:rFonts w:ascii="Times New Roman"/>
        </w:rPr>
        <w:t>新型复合产业用地管理办法，持续加大财政科技投入力度。加大科技贷款、科技保险支持力度，持续优化科技金融生态，力争</w:t>
      </w:r>
      <w:r>
        <w:rPr>
          <w:rFonts w:ascii="Times New Roman" w:hint="eastAsia"/>
        </w:rPr>
        <w:t>发放</w:t>
      </w:r>
      <w:r>
        <w:rPr>
          <w:rFonts w:ascii="Times New Roman"/>
        </w:rPr>
        <w:t>科技贷款突破</w:t>
      </w:r>
      <w:r>
        <w:rPr>
          <w:rFonts w:ascii="Times New Roman"/>
        </w:rPr>
        <w:t>6</w:t>
      </w:r>
      <w:r>
        <w:rPr>
          <w:rFonts w:ascii="Times New Roman"/>
        </w:rPr>
        <w:t>亿元。</w:t>
      </w:r>
      <w:r>
        <w:rPr>
          <w:rFonts w:ascii="Times New Roman" w:hint="eastAsia"/>
          <w:kern w:val="2"/>
          <w:szCs w:val="24"/>
        </w:rPr>
        <w:t>深入推进“霞客之光”创新攻关计划，实施重点“揭榜挂帅”项目</w:t>
      </w:r>
      <w:r>
        <w:rPr>
          <w:rFonts w:ascii="Times New Roman" w:hint="eastAsia"/>
          <w:kern w:val="2"/>
          <w:szCs w:val="24"/>
        </w:rPr>
        <w:t>60</w:t>
      </w:r>
      <w:r>
        <w:rPr>
          <w:rFonts w:ascii="Times New Roman" w:hint="eastAsia"/>
          <w:kern w:val="2"/>
          <w:szCs w:val="24"/>
        </w:rPr>
        <w:t>个。</w:t>
      </w:r>
    </w:p>
    <w:p>
      <w:pPr>
        <w:pStyle w:val="style0"/>
        <w:ind w:firstLine="606" w:firstLineChars="200"/>
        <w:rPr>
          <w:rFonts w:ascii="Times New Roman" w:cs="方正仿宋_GBK"/>
        </w:rPr>
      </w:pPr>
      <w:r>
        <w:rPr>
          <w:rFonts w:ascii="Times New Roman" w:cs="仿宋" w:eastAsia="方正楷体_GBK" w:hint="eastAsia"/>
          <w:b/>
        </w:rPr>
        <w:t>（二）聚力产业强市，加快构建现代产业体系。</w:t>
      </w:r>
      <w:r>
        <w:rPr>
          <w:rFonts w:ascii="Times New Roman" w:hint="eastAsia"/>
        </w:rPr>
        <w:t>坚定实施产业强市战略，持续培育壮大增量、改造提升存量，推动产业规模与质效同步跃升。</w:t>
      </w:r>
      <w:r>
        <w:rPr>
          <w:rFonts w:ascii="Times New Roman" w:cs="方正仿宋_GBK" w:eastAsia="方正楷体_GBK" w:hint="eastAsia"/>
          <w:bCs/>
          <w:spacing w:val="2"/>
        </w:rPr>
        <w:t>激发产业转型升级动能。</w:t>
      </w:r>
      <w:r>
        <w:rPr>
          <w:rFonts w:ascii="Times New Roman"/>
        </w:rPr>
        <w:t>深入落实</w:t>
      </w:r>
      <w:r>
        <w:rPr>
          <w:rFonts w:ascii="Times New Roman" w:hint="eastAsia"/>
        </w:rPr>
        <w:t>“</w:t>
      </w:r>
      <w:r>
        <w:rPr>
          <w:rFonts w:ascii="Times New Roman"/>
        </w:rPr>
        <w:t>产业强市</w:t>
      </w:r>
      <w:r>
        <w:rPr>
          <w:rFonts w:ascii="Times New Roman"/>
        </w:rPr>
        <w:t>30</w:t>
      </w:r>
      <w:r>
        <w:rPr>
          <w:rFonts w:ascii="Times New Roman"/>
        </w:rPr>
        <w:t>条</w:t>
      </w:r>
      <w:r>
        <w:rPr>
          <w:rFonts w:ascii="Times New Roman" w:hint="eastAsia"/>
        </w:rPr>
        <w:t>”</w:t>
      </w:r>
      <w:r>
        <w:rPr>
          <w:rFonts w:ascii="Times New Roman"/>
        </w:rPr>
        <w:t>，</w:t>
      </w:r>
      <w:r>
        <w:rPr>
          <w:rFonts w:ascii="Times New Roman"/>
          <w:bCs/>
          <w:kern w:val="2"/>
        </w:rPr>
        <w:t>鼓励企业加大技改投入，</w:t>
      </w:r>
      <w:r>
        <w:rPr>
          <w:rFonts w:ascii="Times New Roman" w:hint="eastAsia"/>
          <w:bCs/>
          <w:kern w:val="2"/>
        </w:rPr>
        <w:t>加速产业转型步伐，实施重点技改项目不少于</w:t>
      </w:r>
      <w:r>
        <w:rPr>
          <w:rFonts w:ascii="Times New Roman" w:hint="eastAsia"/>
          <w:bCs/>
          <w:kern w:val="2"/>
        </w:rPr>
        <w:t>100</w:t>
      </w:r>
      <w:r>
        <w:rPr>
          <w:rFonts w:ascii="Times New Roman" w:hint="eastAsia"/>
          <w:bCs/>
          <w:kern w:val="2"/>
        </w:rPr>
        <w:t>个、投入不少于</w:t>
      </w:r>
      <w:r>
        <w:rPr>
          <w:rFonts w:ascii="Times New Roman" w:hint="eastAsia"/>
          <w:bCs/>
          <w:kern w:val="2"/>
        </w:rPr>
        <w:t>100</w:t>
      </w:r>
      <w:r>
        <w:rPr>
          <w:rFonts w:ascii="Times New Roman" w:hint="eastAsia"/>
          <w:bCs/>
          <w:kern w:val="2"/>
        </w:rPr>
        <w:t>亿元。加速“智改数转”步伐，着力</w:t>
      </w:r>
      <w:r>
        <w:rPr>
          <w:rFonts w:ascii="Times New Roman" w:hint="eastAsia"/>
        </w:rPr>
        <w:t>打造示范车间、工厂、产业园、示范镇街的多层次智能发展格局，</w:t>
      </w:r>
      <w:r>
        <w:rPr>
          <w:rFonts w:ascii="Times New Roman" w:hint="eastAsia"/>
          <w:kern w:val="2"/>
          <w:szCs w:val="24"/>
        </w:rPr>
        <w:t>力争新增省级以上“智能车间”</w:t>
      </w:r>
      <w:r>
        <w:rPr>
          <w:rFonts w:ascii="Times New Roman" w:hint="eastAsia"/>
          <w:kern w:val="2"/>
          <w:szCs w:val="24"/>
        </w:rPr>
        <w:t>5</w:t>
      </w:r>
      <w:r>
        <w:rPr>
          <w:rFonts w:ascii="Times New Roman" w:hint="eastAsia"/>
          <w:kern w:val="2"/>
          <w:szCs w:val="24"/>
        </w:rPr>
        <w:t>个</w:t>
      </w:r>
      <w:r>
        <w:rPr>
          <w:rFonts w:ascii="Times New Roman" w:hint="eastAsia"/>
        </w:rPr>
        <w:t>、</w:t>
      </w:r>
      <w:r>
        <w:rPr>
          <w:rFonts w:ascii="Times New Roman"/>
        </w:rPr>
        <w:t>省星级上云企业</w:t>
      </w:r>
      <w:r>
        <w:rPr>
          <w:rFonts w:ascii="Times New Roman"/>
        </w:rPr>
        <w:t>60</w:t>
      </w:r>
      <w:r>
        <w:rPr>
          <w:rFonts w:ascii="Times New Roman"/>
        </w:rPr>
        <w:t>家</w:t>
      </w:r>
      <w:r>
        <w:rPr>
          <w:rFonts w:ascii="Times New Roman" w:hint="eastAsia"/>
        </w:rPr>
        <w:t>，争创省级及以上工业互联网平台。</w:t>
      </w:r>
      <w:r>
        <w:rPr>
          <w:rFonts w:ascii="Times New Roman" w:cs="方正仿宋_GBK" w:eastAsia="方正楷体_GBK" w:hint="eastAsia"/>
          <w:bCs/>
          <w:spacing w:val="2"/>
        </w:rPr>
        <w:t>推进工业园区升级改造</w:t>
      </w:r>
      <w:r>
        <w:rPr>
          <w:rFonts w:ascii="Times New Roman" w:eastAsia="方正楷体_GBK" w:hint="eastAsia"/>
          <w:bCs/>
        </w:rPr>
        <w:t>。</w:t>
      </w:r>
      <w:r>
        <w:rPr>
          <w:rFonts w:ascii="Times New Roman" w:hint="eastAsia"/>
          <w:bCs/>
        </w:rPr>
        <w:t>加快低效用地腾退，推动土地实现集约高效利用，破解项目落地要素制约，力争</w:t>
      </w:r>
      <w:r>
        <w:rPr>
          <w:rFonts w:ascii="Times New Roman"/>
          <w:bCs/>
        </w:rPr>
        <w:t>腾退低效工业用地</w:t>
      </w:r>
      <w:r>
        <w:rPr>
          <w:rFonts w:ascii="Times New Roman"/>
          <w:bCs/>
        </w:rPr>
        <w:t>1</w:t>
      </w:r>
      <w:r>
        <w:rPr>
          <w:rFonts w:ascii="Times New Roman"/>
          <w:bCs/>
        </w:rPr>
        <w:t>万亩</w:t>
      </w:r>
      <w:r>
        <w:rPr>
          <w:rFonts w:ascii="Times New Roman" w:hint="eastAsia"/>
          <w:bCs/>
        </w:rPr>
        <w:t>以上</w:t>
      </w:r>
      <w:r>
        <w:rPr>
          <w:rFonts w:ascii="Times New Roman"/>
          <w:bCs/>
        </w:rPr>
        <w:t>，亩均税</w:t>
      </w:r>
      <w:r>
        <w:rPr>
          <w:rFonts w:ascii="Times New Roman"/>
          <w:bCs/>
        </w:rPr>
        <w:t>收</w:t>
      </w:r>
      <w:r>
        <w:rPr>
          <w:rFonts w:ascii="Times New Roman"/>
          <w:bCs/>
        </w:rPr>
        <w:t>1</w:t>
      </w:r>
      <w:r>
        <w:rPr>
          <w:rFonts w:ascii="Times New Roman"/>
          <w:bCs/>
        </w:rPr>
        <w:t>万元以下企业原则上全部完成腾退；</w:t>
      </w:r>
      <w:r>
        <w:rPr>
          <w:rFonts w:ascii="Times New Roman" w:hint="eastAsia"/>
          <w:bCs/>
        </w:rPr>
        <w:t>力争</w:t>
      </w:r>
      <w:r>
        <w:rPr>
          <w:rFonts w:ascii="Times New Roman"/>
          <w:bCs/>
        </w:rPr>
        <w:t>盘活存量土地</w:t>
      </w:r>
      <w:r>
        <w:rPr>
          <w:rFonts w:ascii="Times New Roman"/>
          <w:bCs/>
        </w:rPr>
        <w:t>1</w:t>
      </w:r>
      <w:r>
        <w:rPr>
          <w:rFonts w:ascii="Times New Roman"/>
          <w:bCs/>
        </w:rPr>
        <w:t>万亩</w:t>
      </w:r>
      <w:r>
        <w:rPr>
          <w:rFonts w:ascii="Times New Roman" w:hint="eastAsia"/>
          <w:bCs/>
        </w:rPr>
        <w:t>以上</w:t>
      </w:r>
      <w:r>
        <w:rPr>
          <w:rFonts w:ascii="Times New Roman"/>
          <w:bCs/>
        </w:rPr>
        <w:t>、拆迁非工业用地</w:t>
      </w:r>
      <w:r>
        <w:rPr>
          <w:rFonts w:ascii="Times New Roman"/>
          <w:bCs/>
        </w:rPr>
        <w:t>4000</w:t>
      </w:r>
      <w:r>
        <w:rPr>
          <w:rFonts w:ascii="Times New Roman"/>
          <w:bCs/>
        </w:rPr>
        <w:t>亩以上，形成超千亩连片可开发区域</w:t>
      </w:r>
      <w:r>
        <w:rPr>
          <w:rFonts w:ascii="Times New Roman"/>
          <w:bCs/>
          <w:lang w:val="en-US"/>
        </w:rPr>
        <w:t>3</w:t>
      </w:r>
      <w:r>
        <w:rPr>
          <w:rFonts w:ascii="Times New Roman" w:hint="eastAsia"/>
          <w:bCs/>
          <w:lang w:val="en-US" w:eastAsia="zh-CN"/>
        </w:rPr>
        <w:t>个以上</w:t>
      </w:r>
      <w:r>
        <w:rPr>
          <w:rFonts w:ascii="Times New Roman"/>
          <w:bCs/>
        </w:rPr>
        <w:t>。</w:t>
      </w:r>
      <w:r>
        <w:rPr>
          <w:rFonts w:ascii="Times New Roman" w:cs="方正仿宋_GBK" w:eastAsia="方正楷体_GBK" w:hint="eastAsia"/>
          <w:bCs/>
          <w:spacing w:val="2"/>
        </w:rPr>
        <w:t>提升服务业品质能级。</w:t>
      </w:r>
      <w:r>
        <w:rPr>
          <w:rFonts w:ascii="Times New Roman" w:hint="eastAsia"/>
        </w:rPr>
        <w:t>加快培育总部经济，</w:t>
      </w:r>
      <w:r>
        <w:rPr>
          <w:rFonts w:ascii="Times New Roman" w:hint="eastAsia"/>
          <w:spacing w:val="-2"/>
          <w:kern w:val="2"/>
          <w:szCs w:val="24"/>
        </w:rPr>
        <w:t>大力发展生活性服务业，</w:t>
      </w:r>
      <w:r>
        <w:rPr>
          <w:rFonts w:ascii="Times New Roman" w:hint="eastAsia"/>
        </w:rPr>
        <w:t>年内规模以上服务业企业达</w:t>
      </w:r>
      <w:r>
        <w:rPr>
          <w:rFonts w:ascii="Times New Roman" w:hint="eastAsia"/>
        </w:rPr>
        <w:t>350</w:t>
      </w:r>
      <w:r>
        <w:rPr>
          <w:rFonts w:ascii="Times New Roman" w:hint="eastAsia"/>
        </w:rPr>
        <w:t>家以上。推进先进制造业和现代服务业深度融合发展，新增省级以上“两业融合”试点单位</w:t>
      </w:r>
      <w:r>
        <w:rPr>
          <w:rFonts w:ascii="Times New Roman" w:hint="eastAsia"/>
        </w:rPr>
        <w:t>2</w:t>
      </w:r>
      <w:r>
        <w:rPr>
          <w:rFonts w:ascii="Times New Roman" w:hint="eastAsia"/>
        </w:rPr>
        <w:t>家。不断扩大消费供给，提档升级江阴消费季促销活动。</w:t>
      </w:r>
      <w:r>
        <w:rPr>
          <w:rFonts w:ascii="Times New Roman" w:cs="方正仿宋_GBK" w:eastAsia="方正楷体_GBK" w:hint="eastAsia"/>
          <w:bCs/>
          <w:spacing w:val="2"/>
        </w:rPr>
        <w:t>加快农业现代化转型步伐。</w:t>
      </w:r>
      <w:r>
        <w:rPr>
          <w:rFonts w:ascii="Times New Roman"/>
        </w:rPr>
        <w:t>压实粮食安全责任，支持农业</w:t>
      </w:r>
      <w:r>
        <w:rPr>
          <w:rFonts w:ascii="Times New Roman" w:hint="eastAsia"/>
        </w:rPr>
        <w:t>“</w:t>
      </w:r>
      <w:r>
        <w:rPr>
          <w:rFonts w:ascii="Times New Roman"/>
        </w:rPr>
        <w:t>生产</w:t>
      </w:r>
      <w:r>
        <w:rPr>
          <w:rFonts w:ascii="Times New Roman"/>
        </w:rPr>
        <w:t>+</w:t>
      </w:r>
      <w:r>
        <w:rPr>
          <w:rFonts w:ascii="Times New Roman"/>
        </w:rPr>
        <w:t>加工</w:t>
      </w:r>
      <w:r>
        <w:rPr>
          <w:rFonts w:ascii="Times New Roman"/>
        </w:rPr>
        <w:t>+</w:t>
      </w:r>
      <w:r>
        <w:rPr>
          <w:rFonts w:ascii="Times New Roman"/>
        </w:rPr>
        <w:t>科技</w:t>
      </w:r>
      <w:r>
        <w:rPr>
          <w:rFonts w:ascii="Times New Roman" w:hint="eastAsia"/>
        </w:rPr>
        <w:t>”</w:t>
      </w:r>
      <w:r>
        <w:rPr>
          <w:rFonts w:ascii="Times New Roman"/>
        </w:rPr>
        <w:t>一体化发展，新增农业</w:t>
      </w:r>
      <w:r>
        <w:rPr>
          <w:rFonts w:ascii="Times New Roman" w:hint="eastAsia"/>
        </w:rPr>
        <w:t>重大项目投资</w:t>
      </w:r>
      <w:r>
        <w:rPr>
          <w:rFonts w:ascii="Times New Roman"/>
        </w:rPr>
        <w:t>20</w:t>
      </w:r>
      <w:r>
        <w:rPr>
          <w:rFonts w:ascii="Times New Roman"/>
        </w:rPr>
        <w:t>亿元，新建高标准农田</w:t>
      </w:r>
      <w:r>
        <w:rPr>
          <w:rFonts w:ascii="Times New Roman" w:hint="eastAsia"/>
        </w:rPr>
        <w:t>8</w:t>
      </w:r>
      <w:r>
        <w:rPr>
          <w:rFonts w:ascii="Times New Roman"/>
        </w:rPr>
        <w:t>000</w:t>
      </w:r>
      <w:r>
        <w:rPr>
          <w:rFonts w:ascii="Times New Roman"/>
        </w:rPr>
        <w:t>亩以上。</w:t>
      </w:r>
      <w:r>
        <w:rPr>
          <w:rFonts w:ascii="Times New Roman" w:hint="eastAsia"/>
        </w:rPr>
        <w:t>发展壮大农产品加工龙头企业，</w:t>
      </w:r>
      <w:r>
        <w:rPr>
          <w:rFonts w:ascii="Times New Roman"/>
        </w:rPr>
        <w:t>新增省级以上龙头企业</w:t>
      </w:r>
      <w:r>
        <w:rPr>
          <w:rFonts w:ascii="Times New Roman"/>
        </w:rPr>
        <w:t>2</w:t>
      </w:r>
      <w:r>
        <w:rPr>
          <w:rFonts w:ascii="Times New Roman"/>
        </w:rPr>
        <w:t>家。</w:t>
      </w:r>
    </w:p>
    <w:p>
      <w:pPr>
        <w:pStyle w:val="style0"/>
        <w:ind w:firstLine="606" w:firstLineChars="200"/>
        <w:rPr>
          <w:rFonts w:ascii="Times New Roman"/>
          <w:b/>
          <w:bCs/>
        </w:rPr>
      </w:pPr>
      <w:r>
        <w:rPr>
          <w:rFonts w:ascii="Times New Roman" w:cs="仿宋" w:eastAsia="方正楷体_GBK" w:hint="eastAsia"/>
          <w:b/>
        </w:rPr>
        <w:t>（三）聚力改革开放，充分激发发展动力活力。</w:t>
      </w:r>
      <w:r>
        <w:rPr>
          <w:rFonts w:ascii="Times New Roman" w:hint="eastAsia"/>
        </w:rPr>
        <w:t>以改革创新破解高质量发展的体制机制障碍，增强区域竞争新优势。</w:t>
      </w:r>
      <w:r>
        <w:rPr>
          <w:rFonts w:ascii="Times New Roman" w:cs="方正仿宋_GBK" w:eastAsia="方正楷体_GBK" w:hint="eastAsia"/>
          <w:bCs/>
          <w:spacing w:val="2"/>
        </w:rPr>
        <w:t>加快融入区域一体化。</w:t>
      </w:r>
      <w:r>
        <w:rPr>
          <w:rFonts w:ascii="Times New Roman" w:hint="eastAsia"/>
        </w:rPr>
        <w:t>全面融入长三角一体化发展，</w:t>
      </w:r>
      <w:r>
        <w:rPr>
          <w:rFonts w:ascii="Times New Roman"/>
        </w:rPr>
        <w:t>发挥上海科创飞地作用，</w:t>
      </w:r>
      <w:r>
        <w:rPr>
          <w:rFonts w:ascii="Times New Roman" w:hint="eastAsia"/>
        </w:rPr>
        <w:t>积极</w:t>
      </w:r>
      <w:r>
        <w:rPr>
          <w:rFonts w:ascii="Times New Roman"/>
        </w:rPr>
        <w:t>承接</w:t>
      </w:r>
      <w:r>
        <w:rPr>
          <w:rFonts w:ascii="Times New Roman" w:hint="eastAsia"/>
        </w:rPr>
        <w:t>科创</w:t>
      </w:r>
      <w:r>
        <w:rPr>
          <w:rFonts w:ascii="Times New Roman"/>
        </w:rPr>
        <w:t>资源溢出。</w:t>
      </w:r>
      <w:r>
        <w:rPr>
          <w:rFonts w:ascii="Times New Roman" w:hint="eastAsia"/>
        </w:rPr>
        <w:t>深度</w:t>
      </w:r>
      <w:r>
        <w:rPr>
          <w:rFonts w:ascii="Times New Roman"/>
        </w:rPr>
        <w:t>融入锡澄一体化发展，主动对接太湖科创湾，</w:t>
      </w:r>
      <w:r>
        <w:rPr>
          <w:rFonts w:ascii="Times New Roman" w:hint="eastAsia"/>
        </w:rPr>
        <w:t>加快推进</w:t>
      </w:r>
      <w:r>
        <w:rPr>
          <w:rFonts w:ascii="Times New Roman"/>
        </w:rPr>
        <w:t>绮山湖科创谷</w:t>
      </w:r>
      <w:r>
        <w:rPr>
          <w:rFonts w:ascii="Times New Roman" w:hint="eastAsia"/>
        </w:rPr>
        <w:t>建设</w:t>
      </w:r>
      <w:r>
        <w:rPr>
          <w:rFonts w:ascii="Times New Roman"/>
        </w:rPr>
        <w:t>。推动江阴靖江跨江融合发展。深化与周边县市协同合作，融入锡常协同发展先行区建设，推进澄张虞县域发展试验区建设。</w:t>
      </w:r>
      <w:r>
        <w:rPr>
          <w:rFonts w:ascii="Times New Roman" w:cs="方正仿宋_GBK" w:eastAsia="方正楷体_GBK" w:hint="eastAsia"/>
          <w:bCs/>
          <w:spacing w:val="2"/>
        </w:rPr>
        <w:t>构建开发开放新格局。</w:t>
      </w:r>
      <w:r>
        <w:rPr>
          <w:rFonts w:ascii="Times New Roman" w:hint="eastAsia"/>
        </w:rPr>
        <w:t>抓牢区域全面经济伙伴关系协定（</w:t>
      </w:r>
      <w:r>
        <w:rPr>
          <w:rFonts w:ascii="Times New Roman" w:hint="eastAsia"/>
        </w:rPr>
        <w:t>RCEP</w:t>
      </w:r>
      <w:r>
        <w:rPr>
          <w:rFonts w:ascii="Times New Roman" w:hint="eastAsia"/>
        </w:rPr>
        <w:t>）生效契机，引导企业参与全球供应链区域布局和产业链重塑。落实稳外贸政策，支持跨境电商等外贸新业态发展，引进培养一批外贸合作平台，提升外贸发展水平。</w:t>
      </w:r>
      <w:r>
        <w:rPr>
          <w:rFonts w:ascii="Times New Roman"/>
        </w:rPr>
        <w:t>推进江阴港资源整合、区港联动，深化与上海港、宁波港合作，新增开放码头泊位</w:t>
      </w:r>
      <w:r>
        <w:rPr>
          <w:rFonts w:ascii="Times New Roman"/>
        </w:rPr>
        <w:t>2</w:t>
      </w:r>
      <w:r>
        <w:rPr>
          <w:rFonts w:ascii="Times New Roman"/>
        </w:rPr>
        <w:t>个，完成货物吞吐量</w:t>
      </w:r>
      <w:r>
        <w:rPr>
          <w:rFonts w:ascii="Times New Roman"/>
        </w:rPr>
        <w:t>3</w:t>
      </w:r>
      <w:r>
        <w:rPr>
          <w:rFonts w:ascii="Times New Roman"/>
        </w:rPr>
        <w:t>亿吨、</w:t>
      </w:r>
      <w:r>
        <w:rPr>
          <w:rFonts w:ascii="Times New Roman"/>
        </w:rPr>
        <w:t>集装箱吞吐量</w:t>
      </w:r>
      <w:r>
        <w:rPr>
          <w:rFonts w:ascii="Times New Roman"/>
        </w:rPr>
        <w:t>60</w:t>
      </w:r>
      <w:r>
        <w:rPr>
          <w:rFonts w:ascii="Times New Roman"/>
        </w:rPr>
        <w:t>万标箱。</w:t>
      </w:r>
      <w:r>
        <w:rPr>
          <w:rFonts w:ascii="Times New Roman" w:cs="方正仿宋_GBK" w:eastAsia="方正楷体_GBK" w:hint="eastAsia"/>
          <w:bCs/>
          <w:spacing w:val="2"/>
        </w:rPr>
        <w:t>深化政务服务改革。</w:t>
      </w:r>
      <w:r>
        <w:rPr>
          <w:rFonts w:ascii="Times New Roman" w:cs="方正仿宋_GBK" w:hint="eastAsia"/>
        </w:rPr>
        <w:t>推进政务服务扁平化管理，逐步实现政务服务事项“就近办、指端办”。加快事项进驻下放，依法进一步扩大乡镇社会管理权限，强化基层服务能力，实现“小事不出村、大事不出镇”。</w:t>
      </w:r>
      <w:r>
        <w:rPr>
          <w:rFonts w:ascii="Times New Roman" w:cs="方正仿宋_GBK" w:eastAsia="方正楷体_GBK" w:hint="eastAsia"/>
          <w:bCs/>
          <w:spacing w:val="2"/>
        </w:rPr>
        <w:t>实施重大项目全生命周期管理机制改革。</w:t>
      </w:r>
      <w:r>
        <w:rPr>
          <w:rFonts w:ascii="Times New Roman" w:hint="eastAsia"/>
          <w:kern w:val="2"/>
          <w:szCs w:val="24"/>
        </w:rPr>
        <w:t>统一精准适配全市项目信息、土地资源、要素指标，提高项目“五率”完成度。</w:t>
      </w:r>
    </w:p>
    <w:p>
      <w:pPr>
        <w:pStyle w:val="style0"/>
        <w:ind w:firstLine="606" w:firstLineChars="200"/>
        <w:rPr>
          <w:rFonts w:ascii="Times New Roman"/>
        </w:rPr>
      </w:pPr>
      <w:r>
        <w:rPr>
          <w:rFonts w:ascii="Times New Roman" w:cs="仿宋" w:eastAsia="方正楷体_GBK" w:hint="eastAsia"/>
          <w:b/>
        </w:rPr>
        <w:t>（四）</w:t>
      </w:r>
      <w:r>
        <w:rPr>
          <w:rFonts w:ascii="Times New Roman" w:cs="仿宋" w:eastAsia="方正楷体_GBK" w:hint="eastAsia"/>
          <w:b/>
          <w:spacing w:val="-3"/>
        </w:rPr>
        <w:t>聚力城市更新，不断提升城乡建设品质。</w:t>
      </w:r>
      <w:r>
        <w:rPr>
          <w:rFonts w:ascii="Times New Roman" w:hint="eastAsia"/>
          <w:spacing w:val="-3"/>
        </w:rPr>
        <w:t>围绕建设现代化滨江花园城市，</w:t>
      </w:r>
      <w:r>
        <w:rPr>
          <w:rFonts w:ascii="Times New Roman"/>
          <w:spacing w:val="-3"/>
          <w:kern w:val="2"/>
          <w:szCs w:val="24"/>
        </w:rPr>
        <w:t>提升城市现代化、特色化、国际化水平</w:t>
      </w:r>
      <w:r>
        <w:rPr>
          <w:rFonts w:ascii="Times New Roman" w:hint="eastAsia"/>
          <w:spacing w:val="-3"/>
        </w:rPr>
        <w:t>。</w:t>
      </w:r>
      <w:r>
        <w:rPr>
          <w:rFonts w:ascii="Times New Roman" w:eastAsia="方正楷体_GBK" w:hint="eastAsia"/>
          <w:spacing w:val="-3"/>
        </w:rPr>
        <w:t>持续优化空间布局。</w:t>
      </w:r>
      <w:r>
        <w:rPr>
          <w:rFonts w:ascii="Times New Roman" w:hint="eastAsia"/>
          <w:spacing w:val="-3"/>
          <w:kern w:val="2"/>
          <w:szCs w:val="24"/>
        </w:rPr>
        <w:t>完成市镇两级国土空间规划编制，组织开展控制性详规修编，动态调整镇村布局等专项规划，扎实推进“多规合一”实用性村庄规划编制。</w:t>
      </w:r>
      <w:r>
        <w:rPr>
          <w:rFonts w:ascii="Times New Roman" w:hint="eastAsia"/>
          <w:spacing w:val="-3"/>
        </w:rPr>
        <w:t>加快澄江街道、城东街道、云亭街道、南闸街道、徐霞客镇、青阳镇、月城镇、周庄镇、祝塘镇、顾山镇、华士镇、新桥镇、长泾镇、璜土镇、夏港街道、利港街道、申港街道等板块土地征收成片开发方案的编制，拟开发规模</w:t>
      </w:r>
      <w:r>
        <w:rPr>
          <w:rFonts w:ascii="Times New Roman" w:hint="eastAsia"/>
          <w:spacing w:val="-3"/>
        </w:rPr>
        <w:t>2469.9</w:t>
      </w:r>
      <w:r>
        <w:rPr>
          <w:rFonts w:ascii="Times New Roman" w:hint="eastAsia"/>
          <w:spacing w:val="-3"/>
        </w:rPr>
        <w:t>公顷。</w:t>
      </w:r>
      <w:r>
        <w:rPr>
          <w:rFonts w:ascii="Times New Roman" w:cs="方正仿宋_GBK" w:eastAsia="方正楷体_GBK" w:hint="eastAsia"/>
          <w:bCs/>
          <w:spacing w:val="-3"/>
        </w:rPr>
        <w:t>加快推进城市更新。</w:t>
      </w:r>
      <w:r>
        <w:rPr>
          <w:rFonts w:ascii="Times New Roman"/>
          <w:spacing w:val="-3"/>
        </w:rPr>
        <w:t>启动大桥绿洲、青果花苑等</w:t>
      </w:r>
      <w:r>
        <w:rPr>
          <w:rFonts w:ascii="Times New Roman"/>
          <w:spacing w:val="-3"/>
        </w:rPr>
        <w:t>10</w:t>
      </w:r>
      <w:r>
        <w:rPr>
          <w:rFonts w:ascii="Times New Roman"/>
          <w:spacing w:val="-3"/>
        </w:rPr>
        <w:t>个老旧小区改造项目，推进既有住宅加装电梯，加快北大街历史文化街区改造、高铁新城核心区建设。</w:t>
      </w:r>
      <w:r>
        <w:rPr>
          <w:rFonts w:ascii="Times New Roman" w:hint="eastAsia"/>
          <w:spacing w:val="-3"/>
        </w:rPr>
        <w:t>加大征收拆迁力度，年内完成拆迁</w:t>
      </w:r>
      <w:r>
        <w:rPr>
          <w:rFonts w:ascii="Times New Roman" w:hint="eastAsia"/>
          <w:spacing w:val="-3"/>
        </w:rPr>
        <w:t>520</w:t>
      </w:r>
      <w:r>
        <w:rPr>
          <w:rFonts w:ascii="Times New Roman" w:hint="eastAsia"/>
          <w:spacing w:val="-3"/>
        </w:rPr>
        <w:t>万平方米、建成安置房</w:t>
      </w:r>
      <w:r>
        <w:rPr>
          <w:rFonts w:ascii="Times New Roman" w:hint="eastAsia"/>
          <w:spacing w:val="-3"/>
        </w:rPr>
        <w:t>59</w:t>
      </w:r>
      <w:r>
        <w:rPr>
          <w:rFonts w:ascii="Times New Roman" w:hint="eastAsia"/>
          <w:spacing w:val="-3"/>
        </w:rPr>
        <w:t>万平方米。</w:t>
      </w:r>
      <w:r>
        <w:rPr>
          <w:rFonts w:ascii="Times New Roman" w:eastAsia="方正楷体_GBK" w:hint="eastAsia"/>
          <w:spacing w:val="-4"/>
        </w:rPr>
        <w:t>加快建设交通路网。</w:t>
      </w:r>
      <w:r>
        <w:rPr>
          <w:rFonts w:ascii="Times New Roman"/>
          <w:spacing w:val="-4"/>
        </w:rPr>
        <w:t>推进江阴靖江长江隧道、锡澄</w:t>
      </w:r>
      <w:r>
        <w:rPr>
          <w:rFonts w:ascii="Times New Roman"/>
          <w:spacing w:val="-4"/>
        </w:rPr>
        <w:t>S1</w:t>
      </w:r>
      <w:r>
        <w:rPr>
          <w:rFonts w:ascii="Times New Roman"/>
          <w:spacing w:val="-4"/>
        </w:rPr>
        <w:t>线建设，力争南沿江铁路江阴段及站房年内</w:t>
      </w:r>
      <w:r>
        <w:rPr>
          <w:rFonts w:ascii="Times New Roman" w:hint="eastAsia"/>
          <w:spacing w:val="-4"/>
        </w:rPr>
        <w:t>完工</w:t>
      </w:r>
      <w:r>
        <w:rPr>
          <w:rFonts w:ascii="Times New Roman"/>
          <w:spacing w:val="-4"/>
        </w:rPr>
        <w:t>、北广场主体形象初现。做好盐泰锡常宜铁路、沿江高速江阴段改扩建前期工作，锡澄路快速化改造</w:t>
      </w:r>
      <w:r>
        <w:rPr>
          <w:rFonts w:ascii="Times New Roman" w:hint="eastAsia"/>
          <w:spacing w:val="-4"/>
        </w:rPr>
        <w:t>一期工程</w:t>
      </w:r>
      <w:r>
        <w:rPr>
          <w:rFonts w:ascii="Times New Roman"/>
          <w:spacing w:val="-4"/>
        </w:rPr>
        <w:t>开工建设，</w:t>
      </w:r>
      <w:r>
        <w:rPr>
          <w:rFonts w:ascii="Times New Roman" w:hint="eastAsia"/>
          <w:spacing w:val="-4"/>
        </w:rPr>
        <w:t>加快推进</w:t>
      </w:r>
      <w:r>
        <w:rPr>
          <w:rFonts w:ascii="Times New Roman"/>
          <w:spacing w:val="-4"/>
        </w:rPr>
        <w:t>滨江路（</w:t>
      </w:r>
      <w:r>
        <w:rPr>
          <w:rFonts w:ascii="Times New Roman" w:hint="eastAsia"/>
          <w:spacing w:val="-4"/>
        </w:rPr>
        <w:t>城区段</w:t>
      </w:r>
      <w:r>
        <w:rPr>
          <w:rFonts w:ascii="Times New Roman"/>
          <w:spacing w:val="-4"/>
        </w:rPr>
        <w:t>）、长山大道、新澄杨线一期、大桥南路快速化</w:t>
      </w:r>
      <w:r>
        <w:rPr>
          <w:rFonts w:ascii="Times New Roman"/>
          <w:spacing w:val="-4"/>
        </w:rPr>
        <w:t>改造等</w:t>
      </w:r>
      <w:r>
        <w:rPr>
          <w:rFonts w:ascii="Times New Roman" w:hint="eastAsia"/>
          <w:spacing w:val="-4"/>
        </w:rPr>
        <w:t>工程</w:t>
      </w:r>
      <w:r>
        <w:rPr>
          <w:rFonts w:ascii="Times New Roman"/>
          <w:spacing w:val="-4"/>
        </w:rPr>
        <w:t>建设。</w:t>
      </w:r>
      <w:r>
        <w:rPr>
          <w:rFonts w:ascii="Times New Roman" w:eastAsia="方正楷体_GBK" w:hint="eastAsia"/>
          <w:snapToGrid w:val="false"/>
          <w:spacing w:val="-4"/>
          <w:kern w:val="0"/>
        </w:rPr>
        <w:t>完善城乡基础设施。</w:t>
      </w:r>
      <w:r>
        <w:rPr>
          <w:rFonts w:ascii="Times New Roman" w:hint="eastAsia"/>
          <w:snapToGrid w:val="false"/>
          <w:spacing w:val="-4"/>
          <w:kern w:val="0"/>
        </w:rPr>
        <w:t>加大城乡管网建设力度，</w:t>
      </w:r>
      <w:r>
        <w:rPr>
          <w:rFonts w:ascii="Times New Roman" w:hint="eastAsia"/>
          <w:spacing w:val="-4"/>
        </w:rPr>
        <w:t>实施</w:t>
      </w:r>
      <w:r>
        <w:rPr>
          <w:rFonts w:ascii="Times New Roman" w:hint="eastAsia"/>
          <w:spacing w:val="-4"/>
        </w:rPr>
        <w:t>1</w:t>
      </w:r>
      <w:r>
        <w:rPr>
          <w:rFonts w:ascii="Times New Roman" w:hint="eastAsia"/>
          <w:spacing w:val="-4"/>
        </w:rPr>
        <w:t>万户农村供水管网及户表改造，新增燃气管线</w:t>
      </w:r>
      <w:r>
        <w:rPr>
          <w:rFonts w:ascii="Times New Roman" w:hint="eastAsia"/>
          <w:spacing w:val="-4"/>
        </w:rPr>
        <w:t>180</w:t>
      </w:r>
      <w:r>
        <w:rPr>
          <w:rFonts w:ascii="Times New Roman" w:hint="eastAsia"/>
          <w:spacing w:val="-4"/>
        </w:rPr>
        <w:t>公里、天然气居民用户</w:t>
      </w:r>
      <w:r>
        <w:rPr>
          <w:rFonts w:ascii="Times New Roman" w:hint="eastAsia"/>
          <w:spacing w:val="-4"/>
        </w:rPr>
        <w:t>1.5</w:t>
      </w:r>
      <w:r>
        <w:rPr>
          <w:rFonts w:ascii="Times New Roman" w:hint="eastAsia"/>
          <w:spacing w:val="-4"/>
        </w:rPr>
        <w:t>万户。完成全市</w:t>
      </w:r>
      <w:r>
        <w:rPr>
          <w:rFonts w:ascii="Times New Roman" w:hint="eastAsia"/>
          <w:spacing w:val="-4"/>
        </w:rPr>
        <w:t>23</w:t>
      </w:r>
      <w:r>
        <w:rPr>
          <w:rFonts w:ascii="Times New Roman" w:hint="eastAsia"/>
          <w:spacing w:val="-4"/>
        </w:rPr>
        <w:t>座垃圾中转站提标改造工作。新建</w:t>
      </w:r>
      <w:r>
        <w:rPr>
          <w:rFonts w:ascii="Times New Roman" w:hint="eastAsia"/>
          <w:spacing w:val="-4"/>
        </w:rPr>
        <w:t>3</w:t>
      </w:r>
      <w:r>
        <w:rPr>
          <w:rFonts w:ascii="Times New Roman" w:hint="eastAsia"/>
          <w:spacing w:val="-4"/>
        </w:rPr>
        <w:t>个“江小澄”口袋公园，加快锡澄运河公园三期（南段）工程建设。</w:t>
      </w:r>
      <w:r>
        <w:rPr>
          <w:rFonts w:ascii="Times New Roman" w:eastAsia="方正楷体_GBK" w:hint="eastAsia"/>
          <w:spacing w:val="-4"/>
          <w:kern w:val="2"/>
        </w:rPr>
        <w:t>推动美丽乡村建设。</w:t>
      </w:r>
      <w:r>
        <w:rPr>
          <w:rFonts w:ascii="Times New Roman"/>
          <w:spacing w:val="-4"/>
        </w:rPr>
        <w:t>推进农村人居环境整治提升，建成</w:t>
      </w:r>
      <w:r>
        <w:rPr>
          <w:rFonts w:ascii="Times New Roman"/>
          <w:spacing w:val="-4"/>
        </w:rPr>
        <w:t>15</w:t>
      </w:r>
      <w:r>
        <w:rPr>
          <w:rFonts w:ascii="Times New Roman"/>
          <w:spacing w:val="-4"/>
        </w:rPr>
        <w:t>个</w:t>
      </w:r>
      <w:r>
        <w:rPr>
          <w:rFonts w:ascii="Times New Roman" w:hint="eastAsia"/>
          <w:spacing w:val="-4"/>
        </w:rPr>
        <w:t>无锡市级</w:t>
      </w:r>
      <w:r>
        <w:rPr>
          <w:rFonts w:ascii="Times New Roman"/>
          <w:spacing w:val="-4"/>
        </w:rPr>
        <w:t>农村人居环境整治提升示范村。</w:t>
      </w:r>
      <w:r>
        <w:rPr>
          <w:rFonts w:ascii="Times New Roman" w:hint="eastAsia"/>
          <w:spacing w:val="-4"/>
        </w:rPr>
        <w:t>推进农业农村现代化先导镇和美丽乡村示范带建设，打造“美丽</w:t>
      </w:r>
      <w:r>
        <w:rPr>
          <w:rFonts w:ascii="Times New Roman" w:hint="eastAsia"/>
          <w:spacing w:val="-4"/>
        </w:rPr>
        <w:t>+</w:t>
      </w:r>
      <w:r>
        <w:rPr>
          <w:rFonts w:ascii="Times New Roman" w:hint="eastAsia"/>
          <w:spacing w:val="-4"/>
        </w:rPr>
        <w:t>”系列品牌</w:t>
      </w:r>
      <w:r>
        <w:rPr>
          <w:rFonts w:ascii="Times New Roman" w:hint="eastAsia"/>
          <w:spacing w:val="-4"/>
          <w:kern w:val="2"/>
        </w:rPr>
        <w:t>，</w:t>
      </w:r>
      <w:r>
        <w:rPr>
          <w:rFonts w:ascii="Times New Roman"/>
          <w:spacing w:val="-4"/>
        </w:rPr>
        <w:t>启动</w:t>
      </w:r>
      <w:r>
        <w:rPr>
          <w:rFonts w:ascii="Times New Roman"/>
          <w:spacing w:val="-4"/>
        </w:rPr>
        <w:t>50</w:t>
      </w:r>
      <w:r>
        <w:rPr>
          <w:rFonts w:ascii="Times New Roman"/>
          <w:spacing w:val="-4"/>
        </w:rPr>
        <w:t>个规</w:t>
      </w:r>
      <w:r>
        <w:rPr>
          <w:rFonts w:hint="eastAsia"/>
          <w:spacing w:val="-4"/>
        </w:rPr>
        <w:t>划发展村“美丽农居”建设</w:t>
      </w:r>
      <w:r>
        <w:rPr>
          <w:rFonts w:ascii="Times New Roman" w:hint="eastAsia"/>
          <w:spacing w:val="-4"/>
        </w:rPr>
        <w:t>，</w:t>
      </w:r>
      <w:r>
        <w:rPr>
          <w:rFonts w:ascii="Times New Roman" w:hint="eastAsia"/>
          <w:spacing w:val="-4"/>
          <w:kern w:val="2"/>
        </w:rPr>
        <w:t>创成无锡市特色田园乡村</w:t>
      </w:r>
      <w:r>
        <w:rPr>
          <w:rFonts w:ascii="Times New Roman" w:hint="eastAsia"/>
          <w:spacing w:val="-4"/>
          <w:kern w:val="2"/>
        </w:rPr>
        <w:t>8</w:t>
      </w:r>
      <w:r>
        <w:rPr>
          <w:rFonts w:ascii="Times New Roman" w:hint="eastAsia"/>
          <w:spacing w:val="-4"/>
          <w:kern w:val="2"/>
        </w:rPr>
        <w:t>个</w:t>
      </w:r>
      <w:r>
        <w:rPr>
          <w:rFonts w:ascii="Times New Roman"/>
          <w:spacing w:val="-4"/>
        </w:rPr>
        <w:t>。</w:t>
      </w:r>
    </w:p>
    <w:p>
      <w:pPr>
        <w:pStyle w:val="style0"/>
        <w:ind w:firstLine="606" w:firstLineChars="200"/>
        <w:rPr>
          <w:rFonts w:ascii="Times New Roman"/>
        </w:rPr>
      </w:pPr>
      <w:r>
        <w:rPr>
          <w:rFonts w:ascii="Times New Roman" w:cs="仿宋" w:eastAsia="方正楷体_GBK" w:hint="eastAsia"/>
          <w:b/>
        </w:rPr>
        <w:t>（五）</w:t>
      </w:r>
      <w:r>
        <w:rPr>
          <w:rFonts w:ascii="Times New Roman" w:cs="仿宋" w:eastAsia="方正楷体_GBK" w:hint="eastAsia"/>
          <w:b/>
          <w:spacing w:val="-3"/>
        </w:rPr>
        <w:t>聚力绿色发展，切实加强生态文明建设。</w:t>
      </w:r>
      <w:r>
        <w:rPr>
          <w:rFonts w:ascii="Times New Roman" w:cs="方正仿宋" w:hint="eastAsia"/>
          <w:spacing w:val="-3"/>
        </w:rPr>
        <w:t>深化长江生态安全示范区建设，全力争创国家生态文明建设示范区。</w:t>
      </w:r>
      <w:r>
        <w:rPr>
          <w:rFonts w:ascii="Times New Roman" w:cs="方正仿宋_GBK" w:eastAsia="方正楷体_GBK" w:hint="eastAsia"/>
          <w:bCs/>
          <w:spacing w:val="-3"/>
        </w:rPr>
        <w:t>深入推进大气污染防治。</w:t>
      </w:r>
      <w:r>
        <w:rPr>
          <w:rFonts w:ascii="Times New Roman" w:hint="eastAsia"/>
          <w:spacing w:val="-3"/>
        </w:rPr>
        <w:t>持续推进减污降碳，全面推动多污染物协调治理，加强燃煤烟气、有机废气、车船尾气、城市扬尘、油烟废气治理，确保</w:t>
      </w:r>
      <w:r>
        <w:rPr>
          <w:rFonts w:ascii="Times New Roman" w:hint="eastAsia"/>
          <w:spacing w:val="-3"/>
        </w:rPr>
        <w:t>PM</w:t>
      </w:r>
      <w:r>
        <w:rPr>
          <w:rFonts w:ascii="Times New Roman" w:hint="eastAsia"/>
          <w:spacing w:val="-3"/>
          <w:vertAlign w:val="subscript"/>
        </w:rPr>
        <w:t>2.5</w:t>
      </w:r>
      <w:r>
        <w:rPr>
          <w:rFonts w:ascii="Times New Roman" w:hint="eastAsia"/>
          <w:spacing w:val="-3"/>
        </w:rPr>
        <w:t>和臭氧浓度实现“双控双减”。</w:t>
      </w:r>
      <w:r>
        <w:rPr>
          <w:rFonts w:ascii="Times New Roman" w:cs="方正仿宋_GBK" w:eastAsia="方正楷体_GBK" w:hint="eastAsia"/>
          <w:bCs/>
          <w:spacing w:val="-3"/>
        </w:rPr>
        <w:t>全面开展水体综合整治。</w:t>
      </w:r>
      <w:r>
        <w:rPr>
          <w:rFonts w:ascii="Times New Roman"/>
          <w:spacing w:val="-3"/>
        </w:rPr>
        <w:t>完成长江、太湖流域入河排污口整治和工业园区、集镇区、村庄污水零直排区建设，</w:t>
      </w:r>
      <w:r>
        <w:rPr>
          <w:rFonts w:ascii="Times New Roman"/>
          <w:spacing w:val="-3"/>
          <w:kern w:val="2"/>
          <w:szCs w:val="24"/>
        </w:rPr>
        <w:t>建成</w:t>
      </w:r>
      <w:r>
        <w:rPr>
          <w:rFonts w:ascii="Times New Roman" w:hint="eastAsia"/>
          <w:spacing w:val="-3"/>
          <w:kern w:val="2"/>
          <w:szCs w:val="24"/>
        </w:rPr>
        <w:t>66</w:t>
      </w:r>
      <w:r>
        <w:rPr>
          <w:rFonts w:ascii="Times New Roman"/>
          <w:spacing w:val="-3"/>
          <w:kern w:val="2"/>
          <w:szCs w:val="24"/>
        </w:rPr>
        <w:t>个污水处理提质增效达标区，</w:t>
      </w:r>
      <w:r>
        <w:rPr>
          <w:rFonts w:ascii="Times New Roman"/>
          <w:spacing w:val="-3"/>
        </w:rPr>
        <w:t>深化新一轮</w:t>
      </w:r>
      <w:r>
        <w:rPr>
          <w:rFonts w:ascii="Times New Roman"/>
          <w:spacing w:val="-3"/>
        </w:rPr>
        <w:t>69</w:t>
      </w:r>
      <w:r>
        <w:rPr>
          <w:rFonts w:ascii="Times New Roman" w:hint="eastAsia"/>
          <w:spacing w:val="-3"/>
        </w:rPr>
        <w:t>条</w:t>
      </w:r>
      <w:r>
        <w:rPr>
          <w:rFonts w:ascii="Times New Roman"/>
          <w:spacing w:val="-3"/>
        </w:rPr>
        <w:t>河道环境综合整治，确保国省考断面、主要入江支流全面</w:t>
      </w:r>
      <w:r>
        <w:rPr>
          <w:rFonts w:ascii="Times New Roman" w:hint="eastAsia"/>
          <w:spacing w:val="-3"/>
        </w:rPr>
        <w:t>实现优Ⅲ</w:t>
      </w:r>
      <w:r>
        <w:rPr>
          <w:rFonts w:ascii="Times New Roman"/>
          <w:spacing w:val="-3"/>
        </w:rPr>
        <w:t>。</w:t>
      </w:r>
      <w:r>
        <w:rPr>
          <w:rFonts w:ascii="Times New Roman" w:eastAsia="方正楷体_GBK" w:hint="eastAsia"/>
          <w:spacing w:val="-3"/>
        </w:rPr>
        <w:t>持续推进土壤危废整治。</w:t>
      </w:r>
      <w:r>
        <w:rPr>
          <w:rFonts w:ascii="Times New Roman" w:hint="eastAsia"/>
          <w:spacing w:val="-3"/>
        </w:rPr>
        <w:t>加强建设用地土壤污染风险管控和修复，确保污染地块安全利用率达</w:t>
      </w:r>
      <w:r>
        <w:rPr>
          <w:rFonts w:ascii="Times New Roman" w:hint="eastAsia"/>
          <w:spacing w:val="-3"/>
        </w:rPr>
        <w:t>90%</w:t>
      </w:r>
      <w:r>
        <w:rPr>
          <w:rFonts w:ascii="Times New Roman" w:hint="eastAsia"/>
          <w:spacing w:val="-3"/>
        </w:rPr>
        <w:t>以上。加强地下水污染防治，持续推进土壤和地下水污染源头防控。深化危险废物处置专项整治，提升固危废处置利用能力，危险废物规范化达标率</w:t>
      </w:r>
      <w:r>
        <w:rPr>
          <w:rFonts w:ascii="Times New Roman" w:hint="eastAsia"/>
          <w:spacing w:val="-3"/>
        </w:rPr>
        <w:t>95%</w:t>
      </w:r>
      <w:r>
        <w:rPr>
          <w:rFonts w:ascii="Times New Roman" w:hint="eastAsia"/>
          <w:spacing w:val="-3"/>
        </w:rPr>
        <w:t>以上。</w:t>
      </w:r>
      <w:r>
        <w:rPr>
          <w:rFonts w:ascii="Times New Roman" w:eastAsia="方正楷体_GBK" w:hint="eastAsia"/>
          <w:bCs/>
          <w:spacing w:val="-3"/>
        </w:rPr>
        <w:t>加快实施绿色低碳转型。</w:t>
      </w:r>
      <w:r>
        <w:rPr>
          <w:rFonts w:ascii="Times New Roman" w:hint="eastAsia"/>
          <w:spacing w:val="-3"/>
        </w:rPr>
        <w:t>严格实行能耗强度和总量“双控”，确保完成年度能耗强度目标任务。组织实施</w:t>
      </w:r>
      <w:r>
        <w:rPr>
          <w:rFonts w:ascii="Times New Roman" w:hint="eastAsia"/>
          <w:spacing w:val="-3"/>
        </w:rPr>
        <w:t>20</w:t>
      </w:r>
      <w:r>
        <w:rPr>
          <w:rFonts w:ascii="Times New Roman" w:hint="eastAsia"/>
          <w:spacing w:val="-3"/>
        </w:rPr>
        <w:t>项重点节能与循环</w:t>
      </w:r>
      <w:r>
        <w:rPr>
          <w:rFonts w:ascii="Times New Roman" w:hint="eastAsia"/>
          <w:spacing w:val="-3"/>
        </w:rPr>
        <w:t>经济项目，实现节能量</w:t>
      </w:r>
      <w:r>
        <w:rPr>
          <w:rFonts w:ascii="Times New Roman" w:hint="eastAsia"/>
          <w:spacing w:val="-3"/>
        </w:rPr>
        <w:t>8</w:t>
      </w:r>
      <w:r>
        <w:rPr>
          <w:rFonts w:ascii="Times New Roman" w:hint="eastAsia"/>
          <w:spacing w:val="-3"/>
        </w:rPr>
        <w:t>万吨标煤。新增省级以上绿色工厂</w:t>
      </w:r>
      <w:r>
        <w:rPr>
          <w:rFonts w:ascii="Times New Roman" w:hint="eastAsia"/>
          <w:spacing w:val="-3"/>
        </w:rPr>
        <w:t>2</w:t>
      </w:r>
      <w:r>
        <w:rPr>
          <w:rFonts w:ascii="Times New Roman" w:hint="eastAsia"/>
          <w:spacing w:val="-3"/>
        </w:rPr>
        <w:t>家、绿色港口</w:t>
      </w:r>
      <w:r>
        <w:rPr>
          <w:rFonts w:ascii="Times New Roman" w:hint="eastAsia"/>
          <w:spacing w:val="-3"/>
        </w:rPr>
        <w:t>3</w:t>
      </w:r>
      <w:r>
        <w:rPr>
          <w:rFonts w:ascii="Times New Roman" w:hint="eastAsia"/>
          <w:spacing w:val="-3"/>
        </w:rPr>
        <w:t>个。</w:t>
      </w:r>
      <w:r>
        <w:rPr>
          <w:rFonts w:ascii="Times New Roman" w:eastAsia="方正楷体_GBK" w:hint="eastAsia"/>
          <w:bCs/>
          <w:spacing w:val="-3"/>
        </w:rPr>
        <w:t>加强生态环境修复治理。</w:t>
      </w:r>
      <w:r>
        <w:rPr>
          <w:rFonts w:ascii="Times New Roman" w:hint="eastAsia"/>
          <w:spacing w:val="-3"/>
        </w:rPr>
        <w:t>持续开展沿江环境整治和生态修复，严格执行长江“十年禁渔”政策</w:t>
      </w:r>
      <w:r>
        <w:rPr>
          <w:rFonts w:ascii="Times New Roman" w:hint="eastAsia"/>
          <w:spacing w:val="-3"/>
          <w:kern w:val="2"/>
        </w:rPr>
        <w:t>，落实全链条常态化长江禁渔执法监管。</w:t>
      </w:r>
      <w:r>
        <w:rPr>
          <w:rFonts w:ascii="Times New Roman" w:hint="eastAsia"/>
          <w:spacing w:val="-3"/>
        </w:rPr>
        <w:t>大力实施造林绿化和湿地保护小区建设，全面推进废弃矿山治理修复，确保自然湿地保护率稳中有升。</w:t>
      </w:r>
    </w:p>
    <w:p>
      <w:pPr>
        <w:pStyle w:val="style0"/>
        <w:ind w:firstLine="606" w:firstLineChars="200"/>
        <w:rPr>
          <w:rFonts w:ascii="Times New Roman" w:cs="仿宋"/>
          <w:b/>
          <w:spacing w:val="-2"/>
        </w:rPr>
      </w:pPr>
      <w:r>
        <w:rPr>
          <w:rFonts w:ascii="Times New Roman" w:cs="仿宋" w:eastAsia="方正楷体_GBK" w:hint="eastAsia"/>
          <w:b/>
        </w:rPr>
        <w:t>（六）</w:t>
      </w:r>
      <w:r>
        <w:rPr>
          <w:rFonts w:ascii="Times New Roman" w:cs="仿宋" w:eastAsia="方正楷体_GBK" w:hint="eastAsia"/>
          <w:b/>
          <w:spacing w:val="-2"/>
        </w:rPr>
        <w:t>聚力安全整治，坚决守牢安全生产底线。</w:t>
      </w:r>
      <w:r>
        <w:rPr>
          <w:rFonts w:ascii="Times New Roman" w:hint="eastAsia"/>
          <w:spacing w:val="-2"/>
        </w:rPr>
        <w:t>持续深化安全生产整治</w:t>
      </w:r>
      <w:r>
        <w:rPr>
          <w:rFonts w:ascii="Times New Roman" w:hint="eastAsia"/>
          <w:spacing w:val="-2"/>
          <w:kern w:val="0"/>
        </w:rPr>
        <w:t>，筑牢安全生产防线。</w:t>
      </w:r>
      <w:r>
        <w:rPr>
          <w:rFonts w:ascii="Times New Roman" w:eastAsia="方正楷体_GBK" w:hint="eastAsia"/>
          <w:spacing w:val="-2"/>
        </w:rPr>
        <w:t>加大安全专项整治力度。</w:t>
      </w:r>
      <w:r>
        <w:rPr>
          <w:rFonts w:ascii="Times New Roman" w:hint="eastAsia"/>
          <w:spacing w:val="-2"/>
        </w:rPr>
        <w:t>深化安全生产“三年大灶”专项行动，纵深推进</w:t>
      </w:r>
      <w:r>
        <w:rPr>
          <w:rFonts w:ascii="Times New Roman" w:hint="eastAsia"/>
          <w:spacing w:val="-2"/>
        </w:rPr>
        <w:t>18</w:t>
      </w:r>
      <w:r>
        <w:rPr>
          <w:rFonts w:ascii="Times New Roman" w:hint="eastAsia"/>
          <w:spacing w:val="-2"/>
        </w:rPr>
        <w:t>个重点行业领域专项整治，坚决遏制较大及以上和有影响力的事故发生，确保安全生产事故起数、死亡人数实现双下降。</w:t>
      </w:r>
      <w:r>
        <w:rPr>
          <w:rFonts w:ascii="Times New Roman" w:hint="eastAsia"/>
          <w:spacing w:val="-2"/>
          <w:kern w:val="0"/>
        </w:rPr>
        <w:t>持续开展交通安全隐患集中整治，严格落实交通安全管理责任，有效预防重特大交通事故发生。</w:t>
      </w:r>
      <w:r>
        <w:rPr>
          <w:rFonts w:ascii="Times New Roman" w:eastAsia="方正楷体_GBK" w:hint="eastAsia"/>
          <w:spacing w:val="-2"/>
        </w:rPr>
        <w:t>提升应急救援能力。</w:t>
      </w:r>
      <w:r>
        <w:rPr>
          <w:rFonts w:ascii="Times New Roman" w:hint="eastAsia"/>
          <w:spacing w:val="-2"/>
        </w:rPr>
        <w:t>加强</w:t>
      </w:r>
      <w:r>
        <w:rPr>
          <w:rFonts w:ascii="Times New Roman" w:hint="eastAsia"/>
          <w:spacing w:val="-2"/>
          <w:lang w:val="zh-CN"/>
        </w:rPr>
        <w:t>市</w:t>
      </w:r>
      <w:r>
        <w:rPr>
          <w:rFonts w:ascii="Times New Roman" w:hint="eastAsia"/>
          <w:spacing w:val="-2"/>
          <w:szCs w:val="28"/>
          <w:lang w:val="zh-CN"/>
        </w:rPr>
        <w:t>应急指挥中心</w:t>
      </w:r>
      <w:r>
        <w:rPr>
          <w:rFonts w:ascii="Times New Roman" w:hint="eastAsia"/>
          <w:spacing w:val="-2"/>
          <w:szCs w:val="28"/>
        </w:rPr>
        <w:t>建设</w:t>
      </w:r>
      <w:r>
        <w:rPr>
          <w:rFonts w:ascii="Times New Roman" w:hint="eastAsia"/>
          <w:spacing w:val="-2"/>
          <w:szCs w:val="28"/>
          <w:lang w:val="zh-CN"/>
        </w:rPr>
        <w:t>，完善应急管理综合应用平台。</w:t>
      </w:r>
      <w:r>
        <w:rPr>
          <w:rFonts w:ascii="Times New Roman" w:hint="eastAsia"/>
          <w:spacing w:val="-2"/>
        </w:rPr>
        <w:t>推动江苏省沿江（江阴）危险化学品应急救援基地争创国家级实训中心、国家级实验室</w:t>
      </w:r>
      <w:r>
        <w:rPr>
          <w:rStyle w:val="style4100"/>
          <w:rFonts w:ascii="Times New Roman" w:hint="eastAsia"/>
          <w:spacing w:val="-2"/>
        </w:rPr>
        <w:t>。</w:t>
      </w:r>
      <w:r>
        <w:rPr>
          <w:rFonts w:ascii="Times New Roman" w:eastAsia="方正楷体_GBK" w:hint="eastAsia"/>
          <w:spacing w:val="-2"/>
        </w:rPr>
        <w:t>提升全民安全素质。</w:t>
      </w:r>
      <w:r>
        <w:rPr>
          <w:rFonts w:ascii="Times New Roman" w:hint="eastAsia"/>
          <w:spacing w:val="-2"/>
        </w:rPr>
        <w:t>加强企业法人、员工教育培训，完成</w:t>
      </w:r>
      <w:r>
        <w:rPr>
          <w:rFonts w:ascii="Times New Roman" w:hint="eastAsia"/>
          <w:spacing w:val="-2"/>
        </w:rPr>
        <w:t>2</w:t>
      </w:r>
      <w:r>
        <w:rPr>
          <w:rFonts w:ascii="Times New Roman" w:hint="eastAsia"/>
          <w:spacing w:val="-2"/>
        </w:rPr>
        <w:t>万名工贸企业、危化品企业职工安全生产培训。</w:t>
      </w:r>
      <w:r>
        <w:rPr>
          <w:rFonts w:ascii="Times New Roman" w:hint="eastAsia"/>
          <w:spacing w:val="-2"/>
          <w:szCs w:val="36"/>
        </w:rPr>
        <w:t>引导职业院校开展安全生产培训，完善实训基地建设，组建安全学校联盟</w:t>
      </w:r>
      <w:r>
        <w:rPr>
          <w:rFonts w:ascii="Times New Roman" w:hint="eastAsia"/>
          <w:spacing w:val="-2"/>
        </w:rPr>
        <w:t>。</w:t>
      </w:r>
    </w:p>
    <w:p>
      <w:pPr>
        <w:pStyle w:val="style0"/>
        <w:ind w:firstLine="606" w:firstLineChars="200"/>
        <w:rPr>
          <w:rFonts w:ascii="Times New Roman"/>
          <w:kern w:val="0"/>
        </w:rPr>
      </w:pPr>
      <w:r>
        <w:rPr>
          <w:rFonts w:ascii="Times New Roman" w:cs="仿宋" w:eastAsia="方正楷体_GBK" w:hint="eastAsia"/>
          <w:b/>
        </w:rPr>
        <w:t>（七）</w:t>
      </w:r>
      <w:r>
        <w:rPr>
          <w:rFonts w:ascii="Times New Roman" w:cs="仿宋" w:eastAsia="方正楷体_GBK" w:hint="eastAsia"/>
          <w:b/>
          <w:spacing w:val="-3"/>
        </w:rPr>
        <w:t>聚力民生实事，努力提高民众获得感。</w:t>
      </w:r>
      <w:r>
        <w:rPr>
          <w:rFonts w:ascii="Times New Roman" w:hint="eastAsia"/>
          <w:spacing w:val="-3"/>
          <w:szCs w:val="36"/>
        </w:rPr>
        <w:t>扎实抓好民生实事，不断提升公共服务水平，积极探索共同富裕新路径。</w:t>
      </w:r>
      <w:r>
        <w:rPr>
          <w:rFonts w:ascii="Times New Roman" w:eastAsia="方正楷体_GBK" w:hint="eastAsia"/>
          <w:bCs/>
          <w:spacing w:val="-3"/>
          <w:szCs w:val="36"/>
        </w:rPr>
        <w:t>全</w:t>
      </w:r>
      <w:r>
        <w:rPr>
          <w:rFonts w:ascii="Times New Roman" w:eastAsia="方正楷体_GBK" w:hint="eastAsia"/>
          <w:spacing w:val="-3"/>
        </w:rPr>
        <w:t>力保障就业稳定。</w:t>
      </w:r>
      <w:r>
        <w:rPr>
          <w:rFonts w:ascii="Times New Roman" w:hint="eastAsia"/>
          <w:spacing w:val="-3"/>
        </w:rPr>
        <w:t>全年提供就业岗位</w:t>
      </w:r>
      <w:r>
        <w:rPr>
          <w:rFonts w:ascii="Times New Roman" w:hint="eastAsia"/>
          <w:spacing w:val="-3"/>
        </w:rPr>
        <w:t>6.4</w:t>
      </w:r>
      <w:r>
        <w:rPr>
          <w:rFonts w:ascii="Times New Roman" w:hint="eastAsia"/>
          <w:spacing w:val="-3"/>
        </w:rPr>
        <w:t>万个，城镇新增就业</w:t>
      </w:r>
      <w:r>
        <w:rPr>
          <w:rFonts w:ascii="Times New Roman" w:hint="eastAsia"/>
          <w:spacing w:val="-3"/>
        </w:rPr>
        <w:t>2.93</w:t>
      </w:r>
      <w:r>
        <w:rPr>
          <w:rFonts w:ascii="Times New Roman" w:hint="eastAsia"/>
          <w:spacing w:val="-3"/>
        </w:rPr>
        <w:t>万人，扶持自主创业</w:t>
      </w:r>
      <w:r>
        <w:rPr>
          <w:rFonts w:ascii="Times New Roman" w:hint="eastAsia"/>
          <w:spacing w:val="-3"/>
        </w:rPr>
        <w:t>5500</w:t>
      </w:r>
      <w:r>
        <w:rPr>
          <w:rFonts w:ascii="Times New Roman" w:hint="eastAsia"/>
          <w:spacing w:val="-3"/>
        </w:rPr>
        <w:t>人，带动就业</w:t>
      </w:r>
      <w:r>
        <w:rPr>
          <w:rFonts w:ascii="Times New Roman" w:hint="eastAsia"/>
          <w:spacing w:val="-3"/>
        </w:rPr>
        <w:t>1.81</w:t>
      </w:r>
      <w:r>
        <w:rPr>
          <w:rFonts w:ascii="Times New Roman" w:hint="eastAsia"/>
          <w:spacing w:val="-3"/>
        </w:rPr>
        <w:t>万人，城镇登记失业率控制在</w:t>
      </w:r>
      <w:r>
        <w:rPr>
          <w:rFonts w:ascii="Times New Roman" w:hint="eastAsia"/>
          <w:spacing w:val="-3"/>
        </w:rPr>
        <w:t>3%</w:t>
      </w:r>
      <w:r>
        <w:rPr>
          <w:rFonts w:ascii="Times New Roman" w:hint="eastAsia"/>
          <w:spacing w:val="-3"/>
        </w:rPr>
        <w:t>以内。</w:t>
      </w:r>
      <w:r>
        <w:rPr>
          <w:rFonts w:ascii="Times New Roman" w:cs="方正仿宋_GBK" w:eastAsia="方正楷体_GBK" w:hint="eastAsia"/>
          <w:bCs/>
          <w:spacing w:val="-3"/>
        </w:rPr>
        <w:t>稳步提高社会保障水平。</w:t>
      </w:r>
      <w:r>
        <w:rPr>
          <w:rFonts w:ascii="Times New Roman" w:hint="eastAsia"/>
          <w:spacing w:val="-3"/>
          <w:kern w:val="0"/>
        </w:rPr>
        <w:t>进一步做实医保市级统筹，</w:t>
      </w:r>
      <w:r>
        <w:rPr>
          <w:rFonts w:ascii="Times New Roman" w:hint="eastAsia"/>
          <w:spacing w:val="-3"/>
          <w:kern w:val="0"/>
        </w:rPr>
        <w:t>提升全民医保参保质量，巩固基本医保待遇水平。</w:t>
      </w:r>
      <w:r>
        <w:rPr>
          <w:rFonts w:ascii="Times New Roman" w:hint="eastAsia"/>
          <w:spacing w:val="-3"/>
        </w:rPr>
        <w:t>健全全民参保精准扩面长效机制，持续提高社保参保缴费率，年内扩面新增参保</w:t>
      </w:r>
      <w:r>
        <w:rPr>
          <w:rFonts w:ascii="Times New Roman" w:hint="eastAsia"/>
          <w:spacing w:val="-3"/>
        </w:rPr>
        <w:t>3.5</w:t>
      </w:r>
      <w:r>
        <w:rPr>
          <w:rFonts w:ascii="Times New Roman" w:hint="eastAsia"/>
          <w:spacing w:val="-3"/>
        </w:rPr>
        <w:t>万人、净增参保</w:t>
      </w:r>
      <w:r>
        <w:rPr>
          <w:rFonts w:ascii="Times New Roman" w:hint="eastAsia"/>
          <w:spacing w:val="-3"/>
        </w:rPr>
        <w:t>1.3</w:t>
      </w:r>
      <w:r>
        <w:rPr>
          <w:rFonts w:ascii="Times New Roman" w:hint="eastAsia"/>
          <w:spacing w:val="-3"/>
        </w:rPr>
        <w:t>万人，城乡居民基本养老保险保障水平增幅达</w:t>
      </w:r>
      <w:r>
        <w:rPr>
          <w:rFonts w:ascii="Times New Roman" w:hint="eastAsia"/>
          <w:spacing w:val="-3"/>
        </w:rPr>
        <w:t>10%</w:t>
      </w:r>
      <w:r>
        <w:rPr>
          <w:rFonts w:ascii="Times New Roman" w:hint="eastAsia"/>
          <w:spacing w:val="-3"/>
        </w:rPr>
        <w:t>以上。</w:t>
      </w:r>
      <w:r>
        <w:rPr>
          <w:rFonts w:ascii="Times New Roman" w:cs="方正仿宋_GBK" w:eastAsia="方正楷体_GBK" w:hint="eastAsia"/>
          <w:bCs/>
          <w:spacing w:val="-3"/>
        </w:rPr>
        <w:t>持续改善医疗服务水平。</w:t>
      </w:r>
      <w:r>
        <w:rPr>
          <w:rFonts w:ascii="Times New Roman" w:cs="方正仿宋_GBK" w:hint="eastAsia"/>
          <w:spacing w:val="-3"/>
        </w:rPr>
        <w:t>加强与省内外三甲</w:t>
      </w:r>
      <w:r>
        <w:rPr>
          <w:rFonts w:ascii="Times New Roman" w:hint="eastAsia"/>
          <w:spacing w:val="-3"/>
        </w:rPr>
        <w:t>医院合作，推动优质医疗资源扩容和均衡布局。组建江阴市口腔医院，</w:t>
      </w:r>
      <w:r>
        <w:rPr>
          <w:rFonts w:ascii="Times New Roman"/>
          <w:spacing w:val="-3"/>
        </w:rPr>
        <w:t>推动市中医院创成三甲</w:t>
      </w:r>
      <w:r>
        <w:rPr>
          <w:rFonts w:ascii="Times New Roman" w:hint="eastAsia"/>
          <w:spacing w:val="-3"/>
        </w:rPr>
        <w:t>中医</w:t>
      </w:r>
      <w:r>
        <w:rPr>
          <w:rFonts w:ascii="Times New Roman"/>
          <w:spacing w:val="-3"/>
        </w:rPr>
        <w:t>医院。</w:t>
      </w:r>
      <w:r>
        <w:rPr>
          <w:rFonts w:ascii="Times New Roman" w:cs="方正仿宋_GBK" w:hint="eastAsia"/>
          <w:spacing w:val="-3"/>
        </w:rPr>
        <w:t>有</w:t>
      </w:r>
      <w:r>
        <w:rPr>
          <w:rFonts w:ascii="Times New Roman" w:hint="eastAsia"/>
          <w:spacing w:val="-3"/>
        </w:rPr>
        <w:t>序推进市中医院异地新建、妇幼保健院改建工程和人民医院敔山湾院区新大楼、疾控检验检测大楼建设。</w:t>
      </w:r>
      <w:r>
        <w:rPr>
          <w:rFonts w:ascii="Times New Roman" w:cs="方正仿宋_GBK" w:eastAsia="方正楷体_GBK" w:hint="eastAsia"/>
          <w:bCs/>
          <w:spacing w:val="-3"/>
        </w:rPr>
        <w:t>加快优化教育资源供给。</w:t>
      </w:r>
      <w:r>
        <w:rPr>
          <w:rFonts w:ascii="Times New Roman"/>
          <w:spacing w:val="-3"/>
        </w:rPr>
        <w:t>新增普惠性民办幼儿园</w:t>
      </w:r>
      <w:r>
        <w:rPr>
          <w:rFonts w:ascii="Times New Roman" w:hint="eastAsia"/>
          <w:spacing w:val="-3"/>
        </w:rPr>
        <w:t>5</w:t>
      </w:r>
      <w:r>
        <w:rPr>
          <w:rFonts w:ascii="Times New Roman"/>
          <w:spacing w:val="-3"/>
        </w:rPr>
        <w:t>所，启动建设华东师范大学江阴实验学校、</w:t>
      </w:r>
      <w:r>
        <w:rPr>
          <w:rFonts w:ascii="Times New Roman" w:hint="eastAsia"/>
          <w:spacing w:val="-3"/>
        </w:rPr>
        <w:t>南京师范大学</w:t>
      </w:r>
      <w:r>
        <w:rPr>
          <w:rFonts w:ascii="Times New Roman"/>
          <w:spacing w:val="-3"/>
        </w:rPr>
        <w:t>附属江阴实验学校，</w:t>
      </w:r>
      <w:r>
        <w:rPr>
          <w:rFonts w:ascii="Times New Roman" w:hint="eastAsia"/>
          <w:spacing w:val="-3"/>
        </w:rPr>
        <w:t>确保</w:t>
      </w:r>
      <w:r>
        <w:rPr>
          <w:rFonts w:ascii="Times New Roman"/>
          <w:spacing w:val="-3"/>
        </w:rPr>
        <w:t>人民东路小学、敔山湾第二幼儿园等建成投用</w:t>
      </w:r>
      <w:r>
        <w:rPr>
          <w:rFonts w:ascii="Times New Roman" w:hint="eastAsia"/>
          <w:spacing w:val="-3"/>
        </w:rPr>
        <w:t>。全面落实“双减”和“规范民办义务教育发展”，加强规范管理和专项整治，构建良好教育生态。</w:t>
      </w:r>
      <w:r>
        <w:rPr>
          <w:rFonts w:ascii="Times New Roman" w:eastAsia="方正楷体_GBK" w:hint="eastAsia"/>
          <w:bCs/>
          <w:spacing w:val="-3"/>
        </w:rPr>
        <w:t>不断提高</w:t>
      </w:r>
      <w:r>
        <w:rPr>
          <w:rFonts w:ascii="Times New Roman" w:cs="方正仿宋_GBK" w:eastAsia="方正楷体_GBK" w:hint="eastAsia"/>
          <w:bCs/>
          <w:spacing w:val="-3"/>
        </w:rPr>
        <w:t>文体服务水平。</w:t>
      </w:r>
      <w:r>
        <w:rPr>
          <w:rFonts w:ascii="Times New Roman" w:cs="方正仿宋_GBK" w:hint="eastAsia"/>
          <w:spacing w:val="-3"/>
        </w:rPr>
        <w:t>持续拓展文化惠民服务项目，新增一批</w:t>
      </w:r>
      <w:r>
        <w:rPr>
          <w:rFonts w:ascii="Times New Roman" w:cs="方正仿宋_GBK" w:hint="eastAsia"/>
          <w:spacing w:val="-3"/>
        </w:rPr>
        <w:t>24</w:t>
      </w:r>
      <w:r>
        <w:rPr>
          <w:rFonts w:ascii="Times New Roman" w:cs="方正仿宋_GBK" w:hint="eastAsia"/>
          <w:spacing w:val="-3"/>
        </w:rPr>
        <w:t>小时图书馆、三味书咖、艺风微书房、公益性小剧场。深入开展“文化走基层</w:t>
      </w:r>
      <w:r>
        <w:rPr>
          <w:rFonts w:ascii="Times New Roman" w:cs="宋体" w:hint="eastAsia"/>
          <w:spacing w:val="-3"/>
          <w:kern w:val="2"/>
        </w:rPr>
        <w:t>·</w:t>
      </w:r>
      <w:r>
        <w:rPr>
          <w:rFonts w:ascii="Times New Roman" w:cs="方正仿宋_GBK" w:hint="eastAsia"/>
          <w:spacing w:val="-3"/>
        </w:rPr>
        <w:t>服务进万家”、市民文化节等群众性文体活动。</w:t>
      </w:r>
      <w:r>
        <w:rPr>
          <w:rFonts w:ascii="Times New Roman" w:cs="方正仿宋_GBK" w:eastAsia="方正楷体_GBK" w:hint="eastAsia"/>
          <w:spacing w:val="-3"/>
        </w:rPr>
        <w:t>大力提升法治满意度。</w:t>
      </w:r>
      <w:r>
        <w:rPr>
          <w:rFonts w:ascii="Times New Roman" w:cs="方正仿宋_GBK" w:hint="eastAsia"/>
          <w:spacing w:val="-3"/>
        </w:rPr>
        <w:t>全面开展“八五”普法工作，打造“宪法主题公园”等特色法治文化阵地，在册登记“法律明白人”达</w:t>
      </w:r>
      <w:r>
        <w:rPr>
          <w:rFonts w:ascii="Times New Roman" w:cs="方正仿宋_GBK" w:hint="eastAsia"/>
          <w:spacing w:val="-3"/>
        </w:rPr>
        <w:t>2200</w:t>
      </w:r>
      <w:r>
        <w:rPr>
          <w:rFonts w:ascii="Times New Roman" w:cs="方正仿宋_GBK" w:hint="eastAsia"/>
          <w:spacing w:val="-3"/>
        </w:rPr>
        <w:t>人，“学法中心户”达</w:t>
      </w:r>
      <w:r>
        <w:rPr>
          <w:rFonts w:ascii="Times New Roman" w:cs="方正仿宋_GBK" w:hint="eastAsia"/>
          <w:spacing w:val="-3"/>
        </w:rPr>
        <w:t>1400</w:t>
      </w:r>
      <w:r>
        <w:rPr>
          <w:rFonts w:ascii="Times New Roman" w:cs="方正仿宋_GBK" w:hint="eastAsia"/>
          <w:spacing w:val="-3"/>
        </w:rPr>
        <w:t>户。完善“苏解纷”非诉服务平台，培育个人品牌调解室</w:t>
      </w:r>
      <w:r>
        <w:rPr>
          <w:rFonts w:ascii="Times New Roman" w:cs="方正仿宋_GBK" w:hint="eastAsia"/>
          <w:spacing w:val="-3"/>
        </w:rPr>
        <w:t>45</w:t>
      </w:r>
      <w:r>
        <w:rPr>
          <w:rFonts w:ascii="Times New Roman" w:cs="方正仿宋_GBK" w:hint="eastAsia"/>
          <w:spacing w:val="-3"/>
        </w:rPr>
        <w:t>个，镇级矛盾纠纷调处服务中心建成率、矛盾纠纷基层化解率达</w:t>
      </w:r>
      <w:r>
        <w:rPr>
          <w:rFonts w:ascii="Times New Roman" w:cs="方正仿宋_GBK" w:hint="eastAsia"/>
          <w:spacing w:val="-3"/>
        </w:rPr>
        <w:t>100%</w:t>
      </w:r>
      <w:r>
        <w:rPr>
          <w:rFonts w:ascii="Times New Roman" w:cs="方正仿宋_GBK" w:hint="eastAsia"/>
          <w:spacing w:val="-3"/>
        </w:rPr>
        <w:t>。</w:t>
      </w:r>
    </w:p>
    <w:p>
      <w:pPr>
        <w:pStyle w:val="style0"/>
        <w:ind w:firstLine="603" w:firstLineChars="200"/>
        <w:rPr>
          <w:rFonts w:ascii="Times New Roman"/>
        </w:rPr>
      </w:pPr>
    </w:p>
    <w:p>
      <w:pPr>
        <w:pStyle w:val="style0"/>
        <w:ind w:left="1418" w:leftChars="200" w:hanging="815" w:hangingChars="270"/>
        <w:rPr>
          <w:rFonts w:ascii="Times New Roman"/>
          <w:spacing w:val="-4"/>
        </w:rPr>
      </w:pPr>
      <w:r>
        <w:rPr>
          <w:rFonts w:ascii="Times New Roman" w:hint="eastAsia"/>
        </w:rPr>
        <w:t>附件：江</w:t>
      </w:r>
      <w:r>
        <w:rPr>
          <w:rFonts w:ascii="Times New Roman" w:hint="eastAsia"/>
          <w:spacing w:val="-4"/>
        </w:rPr>
        <w:t>阴市</w:t>
      </w:r>
      <w:r>
        <w:rPr>
          <w:rFonts w:ascii="Times New Roman" w:hint="eastAsia"/>
          <w:spacing w:val="-4"/>
        </w:rPr>
        <w:t>2021</w:t>
      </w:r>
      <w:r>
        <w:rPr>
          <w:rFonts w:ascii="Times New Roman" w:hint="eastAsia"/>
          <w:spacing w:val="-4"/>
        </w:rPr>
        <w:t>年国民经济和社会发展主要指标完成情况</w:t>
      </w:r>
    </w:p>
    <w:p>
      <w:pPr>
        <w:pStyle w:val="style0"/>
        <w:ind w:left="1394" w:leftChars="462" w:firstLine="144" w:firstLineChars="49"/>
        <w:rPr>
          <w:rFonts w:ascii="Times New Roman"/>
        </w:rPr>
      </w:pPr>
      <w:r>
        <w:rPr>
          <w:rFonts w:ascii="Times New Roman" w:hint="eastAsia"/>
          <w:spacing w:val="-4"/>
        </w:rPr>
        <w:t>和</w:t>
      </w:r>
      <w:r>
        <w:rPr>
          <w:rFonts w:ascii="Times New Roman" w:hint="eastAsia"/>
          <w:spacing w:val="-4"/>
        </w:rPr>
        <w:t>2022</w:t>
      </w:r>
      <w:r>
        <w:rPr>
          <w:rFonts w:ascii="Times New Roman" w:hint="eastAsia"/>
          <w:spacing w:val="-4"/>
        </w:rPr>
        <w:t>年目标建议</w:t>
      </w:r>
    </w:p>
    <w:p>
      <w:pPr>
        <w:pStyle w:val="style0"/>
        <w:spacing w:lineRule="exact" w:line="600"/>
        <w:rPr>
          <w:rFonts w:ascii="Times New Roman"/>
        </w:rPr>
      </w:pPr>
      <w:r>
        <w:rPr>
          <w:rFonts w:ascii="Times New Roman" w:eastAsia="方正黑体_GBK"/>
          <w:spacing w:val="4"/>
          <w:kern w:val="2"/>
        </w:rPr>
        <w:br w:type="page"/>
      </w:r>
      <w:r>
        <w:rPr>
          <w:rFonts w:ascii="Times New Roman" w:eastAsia="方正黑体_GBK" w:hint="eastAsia"/>
          <w:spacing w:val="4"/>
          <w:kern w:val="2"/>
        </w:rPr>
        <w:t>附件</w:t>
      </w:r>
    </w:p>
    <w:p>
      <w:pPr>
        <w:pStyle w:val="style0"/>
        <w:spacing w:beforeLines="25" w:lineRule="atLeast" w:line="0"/>
        <w:jc w:val="center"/>
        <w:rPr>
          <w:rFonts w:ascii="Times New Roman" w:eastAsia="方正小标宋_GBK"/>
          <w:kern w:val="42"/>
          <w:sz w:val="44"/>
          <w:szCs w:val="44"/>
        </w:rPr>
      </w:pPr>
      <w:r>
        <w:rPr>
          <w:rFonts w:ascii="Times New Roman" w:eastAsia="方正小标宋_GBK" w:hint="eastAsia"/>
          <w:kern w:val="42"/>
          <w:sz w:val="44"/>
          <w:szCs w:val="44"/>
        </w:rPr>
        <w:t>江阴市</w:t>
      </w:r>
      <w:r>
        <w:rPr>
          <w:rFonts w:ascii="Times New Roman" w:eastAsia="方正小标宋_GBK"/>
          <w:kern w:val="42"/>
          <w:sz w:val="44"/>
          <w:szCs w:val="44"/>
        </w:rPr>
        <w:t>202</w:t>
      </w:r>
      <w:r>
        <w:rPr>
          <w:rFonts w:ascii="Times New Roman" w:eastAsia="方正小标宋_GBK" w:hint="eastAsia"/>
          <w:kern w:val="42"/>
          <w:sz w:val="44"/>
          <w:szCs w:val="44"/>
        </w:rPr>
        <w:t>1</w:t>
      </w:r>
      <w:r>
        <w:rPr>
          <w:rFonts w:ascii="Times New Roman" w:eastAsia="方正小标宋_GBK" w:hint="eastAsia"/>
          <w:kern w:val="42"/>
          <w:sz w:val="44"/>
          <w:szCs w:val="44"/>
        </w:rPr>
        <w:t>年国民经济和社会发展</w:t>
      </w:r>
    </w:p>
    <w:p>
      <w:pPr>
        <w:pStyle w:val="style0"/>
        <w:spacing w:afterLines="13" w:lineRule="atLeast" w:line="0"/>
        <w:jc w:val="center"/>
        <w:rPr>
          <w:rFonts w:ascii="Times New Roman" w:eastAsia="方正小标宋_GBK"/>
          <w:kern w:val="42"/>
          <w:sz w:val="44"/>
          <w:szCs w:val="44"/>
        </w:rPr>
      </w:pPr>
      <w:r>
        <w:rPr>
          <w:rFonts w:ascii="Times New Roman" w:eastAsia="方正小标宋_GBK" w:hint="eastAsia"/>
          <w:kern w:val="42"/>
          <w:sz w:val="44"/>
          <w:szCs w:val="44"/>
        </w:rPr>
        <w:t>主要指标预计完成情况和</w:t>
      </w:r>
      <w:r>
        <w:rPr>
          <w:rFonts w:ascii="Times New Roman" w:eastAsia="方正小标宋_GBK"/>
          <w:kern w:val="42"/>
          <w:sz w:val="44"/>
          <w:szCs w:val="44"/>
        </w:rPr>
        <w:t>202</w:t>
      </w:r>
      <w:r>
        <w:rPr>
          <w:rFonts w:ascii="Times New Roman" w:eastAsia="方正小标宋_GBK" w:hint="eastAsia"/>
          <w:kern w:val="42"/>
          <w:sz w:val="44"/>
          <w:szCs w:val="44"/>
        </w:rPr>
        <w:t>2</w:t>
      </w:r>
      <w:r>
        <w:rPr>
          <w:rFonts w:ascii="Times New Roman" w:eastAsia="方正小标宋_GBK" w:hint="eastAsia"/>
          <w:kern w:val="42"/>
          <w:sz w:val="44"/>
          <w:szCs w:val="44"/>
        </w:rPr>
        <w:t>年目标建议</w:t>
      </w:r>
    </w:p>
    <w:p>
      <w:pPr>
        <w:pStyle w:val="style0"/>
        <w:spacing w:lineRule="exact" w:line="20"/>
        <w:ind w:firstLine="603" w:firstLineChars="200"/>
        <w:rPr>
          <w:rFonts w:ascii="Times New Roman"/>
        </w:rPr>
      </w:pPr>
    </w:p>
    <w:tbl>
      <w:tblPr>
        <w:tblW w:w="86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06"/>
        <w:gridCol w:w="2974"/>
        <w:gridCol w:w="1562"/>
        <w:gridCol w:w="1670"/>
        <w:gridCol w:w="1629"/>
      </w:tblGrid>
      <w:tr>
        <w:trPr>
          <w:trHeight w:val="510" w:hRule="atLeast"/>
          <w:jc w:val="center"/>
        </w:trPr>
        <w:tc>
          <w:tcPr>
            <w:tcW w:w="806" w:type="dxa"/>
            <w:tcBorders/>
            <w:noWrap/>
            <w:vAlign w:val="center"/>
          </w:tcPr>
          <w:p>
            <w:pPr>
              <w:pStyle w:val="style0"/>
              <w:spacing w:lineRule="exact" w:line="300"/>
              <w:jc w:val="center"/>
              <w:rPr>
                <w:rFonts w:ascii="Times New Roman" w:eastAsia="方正黑体_GBK"/>
                <w:sz w:val="24"/>
              </w:rPr>
            </w:pPr>
            <w:r>
              <w:rPr>
                <w:rFonts w:ascii="Times New Roman" w:eastAsia="方正黑体_GBK" w:hint="eastAsia"/>
                <w:sz w:val="24"/>
              </w:rPr>
              <w:t>序号</w:t>
            </w:r>
          </w:p>
        </w:tc>
        <w:tc>
          <w:tcPr>
            <w:tcW w:w="2974" w:type="dxa"/>
            <w:tcBorders/>
            <w:noWrap/>
            <w:vAlign w:val="center"/>
          </w:tcPr>
          <w:p>
            <w:pPr>
              <w:pStyle w:val="style0"/>
              <w:spacing w:lineRule="exact" w:line="300"/>
              <w:jc w:val="center"/>
              <w:rPr>
                <w:rFonts w:ascii="Times New Roman" w:eastAsia="方正黑体_GBK"/>
                <w:sz w:val="24"/>
              </w:rPr>
            </w:pPr>
            <w:r>
              <w:rPr>
                <w:rFonts w:ascii="Times New Roman" w:eastAsia="方正黑体_GBK" w:hint="eastAsia"/>
                <w:sz w:val="24"/>
              </w:rPr>
              <w:t>指</w:t>
            </w:r>
            <w:r>
              <w:rPr>
                <w:rFonts w:ascii="Times New Roman" w:eastAsia="方正黑体_GBK" w:hint="eastAsia"/>
                <w:sz w:val="24"/>
              </w:rPr>
              <w:t xml:space="preserve">    </w:t>
            </w:r>
            <w:r>
              <w:rPr>
                <w:rFonts w:ascii="Times New Roman" w:eastAsia="方正黑体_GBK" w:hint="eastAsia"/>
                <w:sz w:val="24"/>
              </w:rPr>
              <w:t>标</w:t>
            </w:r>
          </w:p>
        </w:tc>
        <w:tc>
          <w:tcPr>
            <w:tcW w:w="1562" w:type="dxa"/>
            <w:tcBorders/>
            <w:vAlign w:val="center"/>
          </w:tcPr>
          <w:p>
            <w:pPr>
              <w:pStyle w:val="style0"/>
              <w:spacing w:lineRule="exact" w:line="300"/>
              <w:jc w:val="center"/>
              <w:rPr>
                <w:rFonts w:ascii="Times New Roman" w:eastAsia="方正黑体_GBK"/>
                <w:sz w:val="24"/>
              </w:rPr>
            </w:pPr>
            <w:r>
              <w:rPr>
                <w:rFonts w:ascii="Times New Roman" w:eastAsia="方正黑体_GBK"/>
                <w:sz w:val="24"/>
              </w:rPr>
              <w:t>202</w:t>
            </w:r>
            <w:r>
              <w:rPr>
                <w:rFonts w:ascii="Times New Roman" w:eastAsia="方正黑体_GBK" w:hint="eastAsia"/>
                <w:sz w:val="24"/>
              </w:rPr>
              <w:t>1</w:t>
            </w:r>
            <w:r>
              <w:rPr>
                <w:rFonts w:ascii="Times New Roman" w:eastAsia="方正黑体_GBK" w:hint="eastAsia"/>
                <w:sz w:val="24"/>
              </w:rPr>
              <w:t>年</w:t>
            </w:r>
          </w:p>
          <w:p>
            <w:pPr>
              <w:pStyle w:val="style0"/>
              <w:spacing w:lineRule="exact" w:line="300"/>
              <w:jc w:val="center"/>
              <w:rPr>
                <w:rFonts w:ascii="Times New Roman" w:eastAsia="方正黑体_GBK"/>
                <w:sz w:val="24"/>
              </w:rPr>
            </w:pPr>
            <w:r>
              <w:rPr>
                <w:rFonts w:ascii="Times New Roman" w:eastAsia="方正黑体_GBK" w:hint="eastAsia"/>
                <w:sz w:val="24"/>
              </w:rPr>
              <w:t>计划目标</w:t>
            </w:r>
          </w:p>
        </w:tc>
        <w:tc>
          <w:tcPr>
            <w:tcW w:w="1670" w:type="dxa"/>
            <w:tcBorders/>
            <w:vAlign w:val="center"/>
          </w:tcPr>
          <w:p>
            <w:pPr>
              <w:pStyle w:val="style0"/>
              <w:spacing w:lineRule="exact" w:line="300"/>
              <w:jc w:val="center"/>
              <w:rPr>
                <w:rFonts w:ascii="Times New Roman" w:eastAsia="方正黑体_GBK"/>
                <w:sz w:val="24"/>
              </w:rPr>
            </w:pPr>
            <w:r>
              <w:rPr>
                <w:rFonts w:ascii="Times New Roman" w:eastAsia="方正黑体_GBK"/>
                <w:sz w:val="24"/>
              </w:rPr>
              <w:t>202</w:t>
            </w:r>
            <w:r>
              <w:rPr>
                <w:rFonts w:ascii="Times New Roman" w:eastAsia="方正黑体_GBK" w:hint="eastAsia"/>
                <w:sz w:val="24"/>
              </w:rPr>
              <w:t>1</w:t>
            </w:r>
            <w:r>
              <w:rPr>
                <w:rFonts w:ascii="Times New Roman" w:eastAsia="方正黑体_GBK" w:hint="eastAsia"/>
                <w:sz w:val="24"/>
              </w:rPr>
              <w:t>年</w:t>
            </w:r>
          </w:p>
          <w:p>
            <w:pPr>
              <w:pStyle w:val="style0"/>
              <w:spacing w:lineRule="exact" w:line="300"/>
              <w:jc w:val="center"/>
              <w:rPr>
                <w:rFonts w:ascii="Times New Roman" w:eastAsia="方正黑体_GBK"/>
                <w:sz w:val="24"/>
              </w:rPr>
            </w:pPr>
            <w:r>
              <w:rPr>
                <w:rFonts w:ascii="Times New Roman" w:eastAsia="方正黑体_GBK" w:hint="eastAsia"/>
                <w:sz w:val="24"/>
              </w:rPr>
              <w:t>全年预计</w:t>
            </w:r>
          </w:p>
        </w:tc>
        <w:tc>
          <w:tcPr>
            <w:tcW w:w="1629" w:type="dxa"/>
            <w:tcBorders/>
            <w:vAlign w:val="center"/>
          </w:tcPr>
          <w:p>
            <w:pPr>
              <w:pStyle w:val="style0"/>
              <w:spacing w:lineRule="exact" w:line="300"/>
              <w:jc w:val="center"/>
              <w:rPr>
                <w:rFonts w:ascii="Times New Roman" w:eastAsia="方正黑体_GBK"/>
                <w:sz w:val="24"/>
              </w:rPr>
            </w:pPr>
            <w:r>
              <w:rPr>
                <w:rFonts w:ascii="Times New Roman" w:eastAsia="方正黑体_GBK"/>
                <w:sz w:val="24"/>
              </w:rPr>
              <w:t>202</w:t>
            </w:r>
            <w:r>
              <w:rPr>
                <w:rFonts w:ascii="Times New Roman" w:eastAsia="方正黑体_GBK" w:hint="eastAsia"/>
                <w:sz w:val="24"/>
              </w:rPr>
              <w:t>2</w:t>
            </w:r>
            <w:r>
              <w:rPr>
                <w:rFonts w:ascii="Times New Roman" w:eastAsia="方正黑体_GBK" w:hint="eastAsia"/>
                <w:sz w:val="24"/>
              </w:rPr>
              <w:t>年</w:t>
            </w:r>
          </w:p>
          <w:p>
            <w:pPr>
              <w:pStyle w:val="style0"/>
              <w:spacing w:lineRule="exact" w:line="300"/>
              <w:jc w:val="center"/>
              <w:rPr>
                <w:rFonts w:ascii="Times New Roman" w:eastAsia="方正黑体_GBK"/>
                <w:sz w:val="24"/>
              </w:rPr>
            </w:pPr>
            <w:r>
              <w:rPr>
                <w:rFonts w:ascii="Times New Roman" w:eastAsia="方正黑体_GBK" w:hint="eastAsia"/>
                <w:sz w:val="24"/>
              </w:rPr>
              <w:t>目标建议</w:t>
            </w:r>
          </w:p>
        </w:tc>
      </w:tr>
      <w:tr>
        <w:tblPrEx/>
        <w:trPr>
          <w:trHeight w:val="510" w:hRule="atLeast"/>
          <w:jc w:val="center"/>
        </w:trPr>
        <w:tc>
          <w:tcPr>
            <w:tcW w:w="806"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1</w:t>
            </w:r>
          </w:p>
        </w:tc>
        <w:tc>
          <w:tcPr>
            <w:tcW w:w="2974"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地区生产总值</w:t>
            </w:r>
          </w:p>
        </w:tc>
        <w:tc>
          <w:tcPr>
            <w:tcW w:w="1562" w:type="dxa"/>
            <w:tcBorders/>
            <w:vAlign w:val="center"/>
          </w:tcPr>
          <w:p>
            <w:pPr>
              <w:pStyle w:val="style0"/>
              <w:spacing w:lineRule="exact" w:line="300"/>
              <w:jc w:val="center"/>
              <w:rPr>
                <w:rFonts w:ascii="Times New Roman" w:eastAsia="方正楷体_GBK"/>
                <w:sz w:val="24"/>
              </w:rPr>
            </w:pPr>
            <w:r>
              <w:rPr>
                <w:rFonts w:ascii="Times New Roman" w:eastAsia="方正楷体_GBK"/>
                <w:sz w:val="24"/>
              </w:rPr>
              <w:t>7%</w:t>
            </w:r>
            <w:r>
              <w:rPr>
                <w:rFonts w:ascii="Times New Roman" w:eastAsia="方正楷体_GBK" w:hint="eastAsia"/>
                <w:sz w:val="24"/>
              </w:rPr>
              <w:t>左右</w:t>
            </w:r>
          </w:p>
        </w:tc>
        <w:tc>
          <w:tcPr>
            <w:tcW w:w="1670"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7.5</w:t>
            </w:r>
            <w:r>
              <w:rPr>
                <w:rFonts w:ascii="Times New Roman" w:eastAsia="方正楷体_GBK"/>
                <w:sz w:val="24"/>
              </w:rPr>
              <w:t>%</w:t>
            </w:r>
            <w:r>
              <w:rPr>
                <w:rFonts w:ascii="Times New Roman" w:eastAsia="方正楷体_GBK" w:hint="eastAsia"/>
                <w:sz w:val="24"/>
              </w:rPr>
              <w:t>左右</w:t>
            </w:r>
          </w:p>
        </w:tc>
        <w:tc>
          <w:tcPr>
            <w:tcW w:w="1629"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6%</w:t>
            </w:r>
            <w:r>
              <w:rPr>
                <w:rFonts w:ascii="Times New Roman" w:eastAsia="方正楷体_GBK" w:hint="eastAsia"/>
                <w:sz w:val="24"/>
              </w:rPr>
              <w:t>以上</w:t>
            </w:r>
          </w:p>
        </w:tc>
      </w:tr>
      <w:tr>
        <w:tblPrEx/>
        <w:trPr>
          <w:trHeight w:val="510" w:hRule="atLeast"/>
          <w:jc w:val="center"/>
        </w:trPr>
        <w:tc>
          <w:tcPr>
            <w:tcW w:w="806"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2</w:t>
            </w:r>
          </w:p>
        </w:tc>
        <w:tc>
          <w:tcPr>
            <w:tcW w:w="2974"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一般公共预算收入</w:t>
            </w:r>
          </w:p>
        </w:tc>
        <w:tc>
          <w:tcPr>
            <w:tcW w:w="1562" w:type="dxa"/>
            <w:tcBorders/>
            <w:vAlign w:val="center"/>
          </w:tcPr>
          <w:p>
            <w:pPr>
              <w:pStyle w:val="style0"/>
              <w:spacing w:lineRule="exact" w:line="300"/>
              <w:jc w:val="center"/>
              <w:rPr>
                <w:rFonts w:ascii="Times New Roman" w:eastAsia="方正楷体_GBK"/>
                <w:sz w:val="24"/>
              </w:rPr>
            </w:pPr>
            <w:r>
              <w:rPr>
                <w:rFonts w:ascii="Times New Roman" w:eastAsia="方正楷体_GBK"/>
                <w:sz w:val="24"/>
              </w:rPr>
              <w:t>5%</w:t>
            </w:r>
            <w:r>
              <w:rPr>
                <w:rFonts w:ascii="Times New Roman" w:eastAsia="方正楷体_GBK" w:hint="eastAsia"/>
                <w:sz w:val="24"/>
              </w:rPr>
              <w:t>左右</w:t>
            </w:r>
          </w:p>
        </w:tc>
        <w:tc>
          <w:tcPr>
            <w:tcW w:w="1670"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5.5%</w:t>
            </w:r>
          </w:p>
        </w:tc>
        <w:tc>
          <w:tcPr>
            <w:tcW w:w="1629"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5%</w:t>
            </w:r>
            <w:r>
              <w:rPr>
                <w:rFonts w:ascii="Times New Roman" w:eastAsia="方正楷体_GBK" w:hint="eastAsia"/>
                <w:sz w:val="24"/>
              </w:rPr>
              <w:t>左右</w:t>
            </w:r>
          </w:p>
        </w:tc>
      </w:tr>
      <w:tr>
        <w:tblPrEx/>
        <w:trPr>
          <w:trHeight w:val="510" w:hRule="atLeast"/>
          <w:jc w:val="center"/>
        </w:trPr>
        <w:tc>
          <w:tcPr>
            <w:tcW w:w="806"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3</w:t>
            </w:r>
          </w:p>
        </w:tc>
        <w:tc>
          <w:tcPr>
            <w:tcW w:w="2974"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规模以上工业增加值</w:t>
            </w:r>
          </w:p>
        </w:tc>
        <w:tc>
          <w:tcPr>
            <w:tcW w:w="1562" w:type="dxa"/>
            <w:tcBorders/>
            <w:vAlign w:val="center"/>
          </w:tcPr>
          <w:p>
            <w:pPr>
              <w:pStyle w:val="style0"/>
              <w:spacing w:lineRule="exact" w:line="300"/>
              <w:jc w:val="center"/>
              <w:rPr>
                <w:rFonts w:ascii="Times New Roman" w:eastAsia="方正楷体_GBK"/>
                <w:sz w:val="24"/>
              </w:rPr>
            </w:pPr>
            <w:r>
              <w:rPr>
                <w:rFonts w:ascii="Times New Roman" w:eastAsia="方正楷体_GBK"/>
                <w:sz w:val="24"/>
              </w:rPr>
              <w:t>8%</w:t>
            </w:r>
            <w:r>
              <w:rPr>
                <w:rFonts w:ascii="Times New Roman" w:eastAsia="方正楷体_GBK" w:hint="eastAsia"/>
                <w:sz w:val="24"/>
              </w:rPr>
              <w:t>左右</w:t>
            </w:r>
          </w:p>
        </w:tc>
        <w:tc>
          <w:tcPr>
            <w:tcW w:w="1670"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8%</w:t>
            </w:r>
            <w:r>
              <w:rPr>
                <w:rFonts w:ascii="Times New Roman" w:eastAsia="方正楷体_GBK" w:hint="eastAsia"/>
                <w:sz w:val="24"/>
              </w:rPr>
              <w:t>以上</w:t>
            </w:r>
          </w:p>
        </w:tc>
        <w:tc>
          <w:tcPr>
            <w:tcW w:w="1629"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7.5%</w:t>
            </w:r>
            <w:r>
              <w:rPr>
                <w:rFonts w:ascii="Times New Roman" w:eastAsia="方正楷体_GBK" w:hint="eastAsia"/>
                <w:sz w:val="24"/>
              </w:rPr>
              <w:t>左右</w:t>
            </w:r>
          </w:p>
        </w:tc>
      </w:tr>
      <w:tr>
        <w:tblPrEx/>
        <w:trPr>
          <w:trHeight w:val="510" w:hRule="atLeast"/>
          <w:jc w:val="center"/>
        </w:trPr>
        <w:tc>
          <w:tcPr>
            <w:tcW w:w="806"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4</w:t>
            </w:r>
          </w:p>
        </w:tc>
        <w:tc>
          <w:tcPr>
            <w:tcW w:w="2974"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规上服务业营业收入</w:t>
            </w:r>
          </w:p>
        </w:tc>
        <w:tc>
          <w:tcPr>
            <w:tcW w:w="1562" w:type="dxa"/>
            <w:tcBorders/>
            <w:vAlign w:val="center"/>
          </w:tcPr>
          <w:p>
            <w:pPr>
              <w:pStyle w:val="style0"/>
              <w:spacing w:lineRule="exact" w:line="300"/>
              <w:jc w:val="center"/>
              <w:rPr>
                <w:rFonts w:ascii="Times New Roman" w:eastAsia="方正楷体_GBK"/>
                <w:sz w:val="24"/>
              </w:rPr>
            </w:pPr>
            <w:r>
              <w:rPr>
                <w:rFonts w:ascii="Times New Roman" w:eastAsia="方正楷体_GBK"/>
                <w:sz w:val="24"/>
              </w:rPr>
              <w:t>8%</w:t>
            </w:r>
            <w:r>
              <w:rPr>
                <w:rFonts w:ascii="Times New Roman" w:eastAsia="方正楷体_GBK" w:hint="eastAsia"/>
                <w:sz w:val="24"/>
              </w:rPr>
              <w:t>左右</w:t>
            </w:r>
          </w:p>
        </w:tc>
        <w:tc>
          <w:tcPr>
            <w:tcW w:w="1670"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15%</w:t>
            </w:r>
          </w:p>
        </w:tc>
        <w:tc>
          <w:tcPr>
            <w:tcW w:w="1629"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10%</w:t>
            </w:r>
            <w:r>
              <w:rPr>
                <w:rFonts w:ascii="Times New Roman" w:eastAsia="方正楷体_GBK" w:hint="eastAsia"/>
                <w:sz w:val="24"/>
              </w:rPr>
              <w:t>左右</w:t>
            </w:r>
          </w:p>
        </w:tc>
      </w:tr>
      <w:tr>
        <w:tblPrEx/>
        <w:trPr>
          <w:trHeight w:val="510" w:hRule="atLeast"/>
          <w:jc w:val="center"/>
        </w:trPr>
        <w:tc>
          <w:tcPr>
            <w:tcW w:w="806"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5</w:t>
            </w:r>
          </w:p>
        </w:tc>
        <w:tc>
          <w:tcPr>
            <w:tcW w:w="2974"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固定资产投资</w:t>
            </w:r>
          </w:p>
        </w:tc>
        <w:tc>
          <w:tcPr>
            <w:tcW w:w="1562" w:type="dxa"/>
            <w:tcBorders/>
            <w:vAlign w:val="center"/>
          </w:tcPr>
          <w:p>
            <w:pPr>
              <w:pStyle w:val="style0"/>
              <w:spacing w:lineRule="exact" w:line="300"/>
              <w:jc w:val="center"/>
              <w:rPr>
                <w:rFonts w:ascii="Times New Roman" w:eastAsia="方正楷体_GBK"/>
                <w:sz w:val="24"/>
              </w:rPr>
            </w:pPr>
            <w:r>
              <w:rPr>
                <w:rFonts w:ascii="Times New Roman" w:eastAsia="方正楷体_GBK"/>
                <w:sz w:val="24"/>
              </w:rPr>
              <w:t>10%</w:t>
            </w:r>
            <w:r>
              <w:rPr>
                <w:rFonts w:ascii="Times New Roman" w:eastAsia="方正楷体_GBK" w:hint="eastAsia"/>
                <w:sz w:val="24"/>
              </w:rPr>
              <w:t>左右</w:t>
            </w:r>
          </w:p>
        </w:tc>
        <w:tc>
          <w:tcPr>
            <w:tcW w:w="1670"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4.8</w:t>
            </w:r>
            <w:r>
              <w:rPr>
                <w:rFonts w:ascii="Times New Roman" w:eastAsia="方正楷体_GBK" w:hint="eastAsia"/>
                <w:sz w:val="24"/>
              </w:rPr>
              <w:t>%</w:t>
            </w:r>
          </w:p>
        </w:tc>
        <w:tc>
          <w:tcPr>
            <w:tcW w:w="1629"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980</w:t>
            </w:r>
            <w:r>
              <w:rPr>
                <w:rFonts w:ascii="Times New Roman" w:eastAsia="方正楷体_GBK" w:hint="eastAsia"/>
                <w:sz w:val="24"/>
              </w:rPr>
              <w:t>亿元</w:t>
            </w:r>
          </w:p>
        </w:tc>
      </w:tr>
      <w:tr>
        <w:tblPrEx/>
        <w:trPr>
          <w:trHeight w:val="510" w:hRule="atLeast"/>
          <w:jc w:val="center"/>
        </w:trPr>
        <w:tc>
          <w:tcPr>
            <w:tcW w:w="806"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6</w:t>
            </w:r>
          </w:p>
        </w:tc>
        <w:tc>
          <w:tcPr>
            <w:tcW w:w="2974"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社会消费品零售总额</w:t>
            </w:r>
          </w:p>
        </w:tc>
        <w:tc>
          <w:tcPr>
            <w:tcW w:w="1562" w:type="dxa"/>
            <w:tcBorders/>
            <w:vAlign w:val="center"/>
          </w:tcPr>
          <w:p>
            <w:pPr>
              <w:pStyle w:val="style0"/>
              <w:spacing w:lineRule="exact" w:line="300"/>
              <w:jc w:val="center"/>
              <w:rPr>
                <w:rFonts w:ascii="Times New Roman" w:eastAsia="方正楷体_GBK"/>
                <w:sz w:val="24"/>
              </w:rPr>
            </w:pPr>
            <w:r>
              <w:rPr>
                <w:rFonts w:ascii="Times New Roman" w:eastAsia="方正楷体_GBK"/>
                <w:sz w:val="24"/>
              </w:rPr>
              <w:t>8%</w:t>
            </w:r>
            <w:r>
              <w:rPr>
                <w:rFonts w:ascii="Times New Roman" w:eastAsia="方正楷体_GBK" w:hint="eastAsia"/>
                <w:sz w:val="24"/>
              </w:rPr>
              <w:t>左右</w:t>
            </w:r>
          </w:p>
        </w:tc>
        <w:tc>
          <w:tcPr>
            <w:tcW w:w="1670"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5%</w:t>
            </w:r>
            <w:r>
              <w:rPr>
                <w:rFonts w:ascii="Times New Roman" w:eastAsia="方正楷体_GBK" w:hint="eastAsia"/>
                <w:sz w:val="24"/>
              </w:rPr>
              <w:t>左右</w:t>
            </w:r>
          </w:p>
        </w:tc>
        <w:tc>
          <w:tcPr>
            <w:tcW w:w="1629"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8%</w:t>
            </w:r>
            <w:r>
              <w:rPr>
                <w:rFonts w:ascii="Times New Roman" w:eastAsia="方正楷体_GBK" w:hint="eastAsia"/>
                <w:sz w:val="24"/>
              </w:rPr>
              <w:t>左右</w:t>
            </w:r>
          </w:p>
        </w:tc>
      </w:tr>
      <w:tr>
        <w:tblPrEx/>
        <w:trPr>
          <w:trHeight w:val="510" w:hRule="atLeast"/>
          <w:jc w:val="center"/>
        </w:trPr>
        <w:tc>
          <w:tcPr>
            <w:tcW w:w="806"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7</w:t>
            </w:r>
          </w:p>
        </w:tc>
        <w:tc>
          <w:tcPr>
            <w:tcW w:w="2974"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进出口总额</w:t>
            </w:r>
          </w:p>
        </w:tc>
        <w:tc>
          <w:tcPr>
            <w:tcW w:w="1562" w:type="dxa"/>
            <w:tcBorders/>
            <w:vAlign w:val="center"/>
          </w:tcPr>
          <w:p>
            <w:pPr>
              <w:pStyle w:val="style0"/>
              <w:spacing w:lineRule="exact" w:line="300"/>
              <w:jc w:val="center"/>
              <w:rPr>
                <w:rFonts w:ascii="Times New Roman" w:eastAsia="方正楷体_GBK"/>
                <w:sz w:val="24"/>
              </w:rPr>
            </w:pPr>
            <w:r>
              <w:rPr>
                <w:rFonts w:ascii="Times New Roman" w:eastAsia="方正楷体_GBK" w:hint="eastAsia"/>
                <w:sz w:val="24"/>
              </w:rPr>
              <w:t>促稳提质</w:t>
            </w:r>
          </w:p>
        </w:tc>
        <w:tc>
          <w:tcPr>
            <w:tcW w:w="1670"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18%</w:t>
            </w:r>
          </w:p>
        </w:tc>
        <w:tc>
          <w:tcPr>
            <w:tcW w:w="1629"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稳中提质</w:t>
            </w:r>
          </w:p>
        </w:tc>
      </w:tr>
      <w:tr>
        <w:tblPrEx/>
        <w:trPr>
          <w:trHeight w:val="510" w:hRule="atLeast"/>
          <w:jc w:val="center"/>
        </w:trPr>
        <w:tc>
          <w:tcPr>
            <w:tcW w:w="806"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8</w:t>
            </w:r>
          </w:p>
        </w:tc>
        <w:tc>
          <w:tcPr>
            <w:tcW w:w="2974"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实际利用外资</w:t>
            </w:r>
          </w:p>
        </w:tc>
        <w:tc>
          <w:tcPr>
            <w:tcW w:w="1562" w:type="dxa"/>
            <w:tcBorders/>
            <w:vAlign w:val="center"/>
          </w:tcPr>
          <w:p>
            <w:pPr>
              <w:pStyle w:val="style0"/>
              <w:spacing w:lineRule="exact" w:line="300"/>
              <w:jc w:val="center"/>
              <w:rPr>
                <w:rFonts w:ascii="Times New Roman" w:eastAsia="方正楷体_GBK"/>
                <w:sz w:val="24"/>
              </w:rPr>
            </w:pPr>
            <w:r>
              <w:rPr>
                <w:rFonts w:ascii="Times New Roman" w:eastAsia="方正楷体_GBK"/>
                <w:sz w:val="24"/>
              </w:rPr>
              <w:t>10</w:t>
            </w:r>
            <w:r>
              <w:rPr>
                <w:rFonts w:ascii="Times New Roman" w:eastAsia="方正楷体_GBK" w:hint="eastAsia"/>
                <w:sz w:val="24"/>
              </w:rPr>
              <w:t>亿美元</w:t>
            </w:r>
          </w:p>
        </w:tc>
        <w:tc>
          <w:tcPr>
            <w:tcW w:w="1670"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9.7</w:t>
            </w:r>
            <w:r>
              <w:rPr>
                <w:rFonts w:ascii="Times New Roman" w:eastAsia="方正楷体_GBK" w:hint="eastAsia"/>
                <w:sz w:val="24"/>
              </w:rPr>
              <w:t>亿美元</w:t>
            </w:r>
          </w:p>
        </w:tc>
        <w:tc>
          <w:tcPr>
            <w:tcW w:w="1629"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8</w:t>
            </w:r>
            <w:r>
              <w:rPr>
                <w:rFonts w:ascii="Times New Roman" w:eastAsia="方正楷体_GBK" w:hint="eastAsia"/>
                <w:sz w:val="24"/>
              </w:rPr>
              <w:t>亿美元</w:t>
            </w:r>
          </w:p>
        </w:tc>
      </w:tr>
      <w:tr>
        <w:tblPrEx/>
        <w:trPr>
          <w:trHeight w:val="680" w:hRule="atLeast"/>
          <w:jc w:val="center"/>
        </w:trPr>
        <w:tc>
          <w:tcPr>
            <w:tcW w:w="806" w:type="dxa"/>
            <w:vMerge w:val="restart"/>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9</w:t>
            </w:r>
          </w:p>
        </w:tc>
        <w:tc>
          <w:tcPr>
            <w:tcW w:w="2974"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城镇居民人均可支配收入</w:t>
            </w:r>
          </w:p>
        </w:tc>
        <w:tc>
          <w:tcPr>
            <w:tcW w:w="1562" w:type="dxa"/>
            <w:tcBorders/>
            <w:vAlign w:val="center"/>
          </w:tcPr>
          <w:p>
            <w:pPr>
              <w:pStyle w:val="style0"/>
              <w:spacing w:lineRule="exact" w:line="300"/>
              <w:jc w:val="center"/>
              <w:rPr>
                <w:rFonts w:ascii="Times New Roman" w:eastAsia="方正楷体_GBK"/>
                <w:sz w:val="24"/>
              </w:rPr>
            </w:pPr>
            <w:r>
              <w:rPr>
                <w:rFonts w:ascii="Times New Roman" w:eastAsia="方正楷体_GBK" w:hint="eastAsia"/>
                <w:sz w:val="24"/>
              </w:rPr>
              <w:t>与经济增长</w:t>
            </w:r>
          </w:p>
          <w:p>
            <w:pPr>
              <w:pStyle w:val="style0"/>
              <w:spacing w:lineRule="exact" w:line="300"/>
              <w:jc w:val="center"/>
              <w:rPr>
                <w:rFonts w:ascii="Times New Roman" w:eastAsia="方正楷体_GBK"/>
                <w:sz w:val="24"/>
              </w:rPr>
            </w:pPr>
            <w:r>
              <w:rPr>
                <w:rFonts w:ascii="Times New Roman" w:eastAsia="方正楷体_GBK" w:hint="eastAsia"/>
                <w:sz w:val="24"/>
              </w:rPr>
              <w:t>保持同步</w:t>
            </w:r>
          </w:p>
        </w:tc>
        <w:tc>
          <w:tcPr>
            <w:tcW w:w="1670"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8%</w:t>
            </w:r>
          </w:p>
        </w:tc>
        <w:tc>
          <w:tcPr>
            <w:tcW w:w="1629"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与经济增长</w:t>
            </w:r>
          </w:p>
          <w:p>
            <w:pPr>
              <w:pStyle w:val="style0"/>
              <w:spacing w:lineRule="exact" w:line="300"/>
              <w:jc w:val="center"/>
              <w:rPr>
                <w:rFonts w:ascii="Times New Roman" w:eastAsia="方正楷体_GBK"/>
                <w:sz w:val="24"/>
              </w:rPr>
            </w:pPr>
            <w:r>
              <w:rPr>
                <w:rFonts w:ascii="Times New Roman" w:eastAsia="方正楷体_GBK" w:hint="eastAsia"/>
                <w:sz w:val="24"/>
              </w:rPr>
              <w:t>保持同步</w:t>
            </w:r>
          </w:p>
        </w:tc>
      </w:tr>
      <w:tr>
        <w:tblPrEx/>
        <w:trPr>
          <w:trHeight w:val="680" w:hRule="atLeast"/>
          <w:jc w:val="center"/>
        </w:trPr>
        <w:tc>
          <w:tcPr>
            <w:tcW w:w="806" w:type="dxa"/>
            <w:vMerge w:val="continue"/>
            <w:tcBorders/>
            <w:noWrap/>
            <w:vAlign w:val="center"/>
          </w:tcPr>
          <w:p>
            <w:pPr>
              <w:pStyle w:val="style0"/>
              <w:spacing w:before="340" w:after="330" w:lineRule="exact" w:line="300"/>
              <w:jc w:val="center"/>
              <w:rPr>
                <w:rFonts w:ascii="Times New Roman" w:eastAsia="方正楷体_GBK"/>
                <w:sz w:val="24"/>
              </w:rPr>
            </w:pPr>
          </w:p>
        </w:tc>
        <w:tc>
          <w:tcPr>
            <w:tcW w:w="2974"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农村居民人均可支配收入</w:t>
            </w:r>
          </w:p>
        </w:tc>
        <w:tc>
          <w:tcPr>
            <w:tcW w:w="1562" w:type="dxa"/>
            <w:tcBorders/>
            <w:vAlign w:val="center"/>
          </w:tcPr>
          <w:p>
            <w:pPr>
              <w:pStyle w:val="style0"/>
              <w:spacing w:lineRule="exact" w:line="300"/>
              <w:jc w:val="center"/>
              <w:rPr>
                <w:rFonts w:ascii="Times New Roman" w:eastAsia="方正楷体_GBK"/>
                <w:sz w:val="24"/>
              </w:rPr>
            </w:pPr>
            <w:r>
              <w:rPr>
                <w:rFonts w:ascii="Times New Roman" w:eastAsia="方正楷体_GBK" w:hint="eastAsia"/>
                <w:sz w:val="24"/>
              </w:rPr>
              <w:t>与经济增长</w:t>
            </w:r>
          </w:p>
          <w:p>
            <w:pPr>
              <w:pStyle w:val="style0"/>
              <w:spacing w:lineRule="exact" w:line="300"/>
              <w:jc w:val="center"/>
              <w:rPr>
                <w:rFonts w:ascii="Times New Roman" w:eastAsia="方正楷体_GBK"/>
                <w:sz w:val="24"/>
              </w:rPr>
            </w:pPr>
            <w:r>
              <w:rPr>
                <w:rFonts w:ascii="Times New Roman" w:eastAsia="方正楷体_GBK" w:hint="eastAsia"/>
                <w:sz w:val="24"/>
              </w:rPr>
              <w:t>保持同步</w:t>
            </w:r>
          </w:p>
        </w:tc>
        <w:tc>
          <w:tcPr>
            <w:tcW w:w="1670"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8.8%</w:t>
            </w:r>
          </w:p>
        </w:tc>
        <w:tc>
          <w:tcPr>
            <w:tcW w:w="1629"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与经济增长</w:t>
            </w:r>
          </w:p>
          <w:p>
            <w:pPr>
              <w:pStyle w:val="style0"/>
              <w:spacing w:lineRule="exact" w:line="300"/>
              <w:jc w:val="center"/>
              <w:rPr>
                <w:rFonts w:ascii="Times New Roman" w:eastAsia="方正楷体_GBK"/>
                <w:sz w:val="24"/>
              </w:rPr>
            </w:pPr>
            <w:r>
              <w:rPr>
                <w:rFonts w:ascii="Times New Roman" w:eastAsia="方正楷体_GBK" w:hint="eastAsia"/>
                <w:sz w:val="24"/>
              </w:rPr>
              <w:t>保持同步</w:t>
            </w:r>
          </w:p>
        </w:tc>
      </w:tr>
      <w:tr>
        <w:tblPrEx/>
        <w:trPr>
          <w:trHeight w:val="510" w:hRule="atLeast"/>
          <w:jc w:val="center"/>
        </w:trPr>
        <w:tc>
          <w:tcPr>
            <w:tcW w:w="806"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10</w:t>
            </w:r>
          </w:p>
        </w:tc>
        <w:tc>
          <w:tcPr>
            <w:tcW w:w="2974"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城镇登记失业率</w:t>
            </w:r>
          </w:p>
        </w:tc>
        <w:tc>
          <w:tcPr>
            <w:tcW w:w="1562" w:type="dxa"/>
            <w:tcBorders/>
            <w:vAlign w:val="center"/>
          </w:tcPr>
          <w:p>
            <w:pPr>
              <w:pStyle w:val="style0"/>
              <w:spacing w:lineRule="exact" w:line="300"/>
              <w:jc w:val="center"/>
              <w:rPr>
                <w:rFonts w:ascii="Times New Roman" w:eastAsia="方正楷体_GBK"/>
                <w:sz w:val="24"/>
              </w:rPr>
            </w:pPr>
            <w:r>
              <w:rPr>
                <w:rFonts w:ascii="Times New Roman" w:eastAsia="方正楷体_GBK"/>
                <w:sz w:val="24"/>
              </w:rPr>
              <w:t>3%</w:t>
            </w:r>
            <w:r>
              <w:rPr>
                <w:rFonts w:ascii="Times New Roman" w:eastAsia="方正楷体_GBK" w:hint="eastAsia"/>
                <w:sz w:val="24"/>
              </w:rPr>
              <w:t>以内</w:t>
            </w:r>
          </w:p>
        </w:tc>
        <w:tc>
          <w:tcPr>
            <w:tcW w:w="1670"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3%</w:t>
            </w:r>
            <w:r>
              <w:rPr>
                <w:rFonts w:ascii="Times New Roman" w:eastAsia="方正楷体_GBK" w:hint="eastAsia"/>
                <w:sz w:val="24"/>
              </w:rPr>
              <w:t>以内</w:t>
            </w:r>
          </w:p>
        </w:tc>
        <w:tc>
          <w:tcPr>
            <w:tcW w:w="1629"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3%</w:t>
            </w:r>
            <w:r>
              <w:rPr>
                <w:rFonts w:ascii="Times New Roman" w:eastAsia="方正楷体_GBK" w:hint="eastAsia"/>
                <w:sz w:val="24"/>
              </w:rPr>
              <w:t>以内</w:t>
            </w:r>
          </w:p>
        </w:tc>
      </w:tr>
      <w:tr>
        <w:tblPrEx/>
        <w:trPr>
          <w:trHeight w:val="680" w:hRule="atLeast"/>
          <w:jc w:val="center"/>
        </w:trPr>
        <w:tc>
          <w:tcPr>
            <w:tcW w:w="806"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11</w:t>
            </w:r>
          </w:p>
        </w:tc>
        <w:tc>
          <w:tcPr>
            <w:tcW w:w="2974" w:type="dxa"/>
            <w:tcBorders/>
            <w:vAlign w:val="center"/>
          </w:tcPr>
          <w:p>
            <w:pPr>
              <w:pStyle w:val="style0"/>
              <w:spacing w:lineRule="exact" w:line="300"/>
              <w:jc w:val="center"/>
              <w:rPr>
                <w:rFonts w:ascii="Times New Roman" w:eastAsia="方正楷体_GBK"/>
                <w:sz w:val="24"/>
              </w:rPr>
            </w:pPr>
            <w:r>
              <w:rPr>
                <w:rFonts w:ascii="Times New Roman" w:eastAsia="方正楷体_GBK" w:hint="eastAsia"/>
                <w:sz w:val="24"/>
              </w:rPr>
              <w:t>万元地区生产总值能耗下降</w:t>
            </w:r>
          </w:p>
        </w:tc>
        <w:tc>
          <w:tcPr>
            <w:tcW w:w="1562" w:type="dxa"/>
            <w:tcBorders/>
            <w:vAlign w:val="center"/>
          </w:tcPr>
          <w:p>
            <w:pPr>
              <w:pStyle w:val="style0"/>
              <w:spacing w:lineRule="exact" w:line="300"/>
              <w:jc w:val="center"/>
              <w:rPr>
                <w:rFonts w:ascii="Times New Roman" w:eastAsia="方正楷体_GBK"/>
                <w:sz w:val="24"/>
              </w:rPr>
            </w:pPr>
            <w:r>
              <w:rPr>
                <w:rFonts w:ascii="Times New Roman" w:eastAsia="方正楷体_GBK" w:hint="eastAsia"/>
                <w:sz w:val="24"/>
              </w:rPr>
              <w:t>完成上级下达的目标任务</w:t>
            </w:r>
          </w:p>
        </w:tc>
        <w:tc>
          <w:tcPr>
            <w:tcW w:w="1670"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完成上级下达</w:t>
            </w:r>
          </w:p>
          <w:p>
            <w:pPr>
              <w:pStyle w:val="style0"/>
              <w:spacing w:lineRule="exact" w:line="300"/>
              <w:jc w:val="center"/>
              <w:rPr>
                <w:rFonts w:ascii="Times New Roman" w:eastAsia="方正楷体_GBK"/>
                <w:sz w:val="24"/>
              </w:rPr>
            </w:pPr>
            <w:r>
              <w:rPr>
                <w:rFonts w:ascii="Times New Roman" w:eastAsia="方正楷体_GBK" w:hint="eastAsia"/>
                <w:sz w:val="24"/>
              </w:rPr>
              <w:t>的目标任务</w:t>
            </w:r>
          </w:p>
        </w:tc>
        <w:tc>
          <w:tcPr>
            <w:tcW w:w="1629" w:type="dxa"/>
            <w:tcBorders/>
            <w:noWrap/>
            <w:vAlign w:val="center"/>
          </w:tcPr>
          <w:p>
            <w:pPr>
              <w:pStyle w:val="style0"/>
              <w:spacing w:lineRule="exact" w:line="300"/>
              <w:jc w:val="center"/>
              <w:rPr>
                <w:rFonts w:ascii="Times New Roman" w:eastAsia="方正楷体_GBK"/>
                <w:sz w:val="24"/>
              </w:rPr>
            </w:pPr>
            <w:r>
              <w:rPr>
                <w:rFonts w:ascii="Times New Roman" w:eastAsia="方正楷体_GBK" w:hint="eastAsia"/>
                <w:sz w:val="24"/>
              </w:rPr>
              <w:t>完成上级下达的目标任务</w:t>
            </w:r>
          </w:p>
        </w:tc>
      </w:tr>
      <w:tr>
        <w:tblPrEx/>
        <w:trPr>
          <w:trHeight w:val="510" w:hRule="atLeast"/>
          <w:jc w:val="center"/>
        </w:trPr>
        <w:tc>
          <w:tcPr>
            <w:tcW w:w="806" w:type="dxa"/>
            <w:vMerge w:val="restart"/>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12</w:t>
            </w:r>
          </w:p>
        </w:tc>
        <w:tc>
          <w:tcPr>
            <w:tcW w:w="7835" w:type="dxa"/>
            <w:gridSpan w:val="4"/>
            <w:tcBorders/>
            <w:vAlign w:val="center"/>
          </w:tcPr>
          <w:p>
            <w:pPr>
              <w:pStyle w:val="style0"/>
              <w:spacing w:lineRule="exact" w:line="300"/>
              <w:jc w:val="center"/>
              <w:rPr>
                <w:rFonts w:ascii="Times New Roman" w:eastAsia="方正楷体_GBK"/>
                <w:sz w:val="24"/>
              </w:rPr>
            </w:pPr>
            <w:r>
              <w:rPr>
                <w:rFonts w:ascii="Times New Roman" w:eastAsia="方正楷体_GBK" w:hint="eastAsia"/>
                <w:sz w:val="24"/>
              </w:rPr>
              <w:t>主要污染物排放削减</w:t>
            </w:r>
          </w:p>
        </w:tc>
      </w:tr>
      <w:tr>
        <w:tblPrEx/>
        <w:trPr>
          <w:trHeight w:val="510" w:hRule="atLeast"/>
          <w:jc w:val="center"/>
        </w:trPr>
        <w:tc>
          <w:tcPr>
            <w:tcW w:w="806" w:type="dxa"/>
            <w:vMerge w:val="continue"/>
            <w:tcBorders/>
            <w:noWrap/>
            <w:vAlign w:val="center"/>
          </w:tcPr>
          <w:p>
            <w:pPr>
              <w:pStyle w:val="style0"/>
              <w:spacing w:before="340" w:after="330" w:lineRule="exact" w:line="300"/>
              <w:jc w:val="center"/>
              <w:rPr>
                <w:rFonts w:ascii="Times New Roman" w:eastAsia="方正楷体_GBK"/>
                <w:sz w:val="24"/>
              </w:rPr>
            </w:pPr>
          </w:p>
        </w:tc>
        <w:tc>
          <w:tcPr>
            <w:tcW w:w="2974" w:type="dxa"/>
            <w:tcBorders/>
            <w:vAlign w:val="center"/>
          </w:tcPr>
          <w:p>
            <w:pPr>
              <w:pStyle w:val="style0"/>
              <w:spacing w:lineRule="exact" w:line="300"/>
              <w:rPr>
                <w:rFonts w:ascii="Times New Roman" w:eastAsia="方正楷体_GBK"/>
                <w:sz w:val="24"/>
              </w:rPr>
            </w:pPr>
            <w:r>
              <w:rPr>
                <w:rFonts w:ascii="Times New Roman" w:eastAsia="方正楷体_GBK" w:hint="eastAsia"/>
                <w:sz w:val="24"/>
              </w:rPr>
              <w:t>（</w:t>
            </w:r>
            <w:r>
              <w:rPr>
                <w:rFonts w:ascii="Times New Roman" w:eastAsia="方正楷体_GBK"/>
                <w:sz w:val="24"/>
              </w:rPr>
              <w:t>1</w:t>
            </w:r>
            <w:r>
              <w:rPr>
                <w:rFonts w:ascii="Times New Roman" w:eastAsia="方正楷体_GBK" w:hint="eastAsia"/>
                <w:sz w:val="24"/>
              </w:rPr>
              <w:t>）化学需氧量（</w:t>
            </w:r>
            <w:r>
              <w:rPr>
                <w:rFonts w:ascii="Times New Roman" w:eastAsia="方正楷体_GBK"/>
                <w:sz w:val="24"/>
              </w:rPr>
              <w:t>COD</w:t>
            </w:r>
            <w:r>
              <w:rPr>
                <w:rFonts w:ascii="Times New Roman" w:eastAsia="方正楷体_GBK" w:hint="eastAsia"/>
                <w:sz w:val="24"/>
              </w:rPr>
              <w:t>）</w:t>
            </w:r>
          </w:p>
        </w:tc>
        <w:tc>
          <w:tcPr>
            <w:tcW w:w="1562" w:type="dxa"/>
            <w:vMerge w:val="restart"/>
            <w:tcBorders/>
            <w:vAlign w:val="center"/>
          </w:tcPr>
          <w:p>
            <w:pPr>
              <w:pStyle w:val="style0"/>
              <w:spacing w:lineRule="exact" w:line="300"/>
              <w:jc w:val="center"/>
              <w:rPr>
                <w:rFonts w:ascii="Times New Roman" w:eastAsia="方正楷体_GBK"/>
                <w:sz w:val="24"/>
              </w:rPr>
            </w:pPr>
            <w:r>
              <w:rPr>
                <w:rFonts w:ascii="Times New Roman" w:eastAsia="方正楷体_GBK" w:hint="eastAsia"/>
                <w:sz w:val="24"/>
              </w:rPr>
              <w:t>完成上级下达的目标任务</w:t>
            </w:r>
          </w:p>
        </w:tc>
        <w:tc>
          <w:tcPr>
            <w:tcW w:w="1670" w:type="dxa"/>
            <w:vMerge w:val="restart"/>
            <w:tcBorders/>
            <w:vAlign w:val="center"/>
          </w:tcPr>
          <w:p>
            <w:pPr>
              <w:pStyle w:val="style0"/>
              <w:spacing w:lineRule="exact" w:line="300"/>
              <w:jc w:val="center"/>
              <w:rPr>
                <w:rFonts w:ascii="Times New Roman" w:eastAsia="方正楷体_GBK"/>
                <w:sz w:val="24"/>
              </w:rPr>
            </w:pPr>
            <w:r>
              <w:rPr>
                <w:rFonts w:ascii="Times New Roman" w:eastAsia="方正楷体_GBK"/>
                <w:sz w:val="24"/>
              </w:rPr>
              <w:t>预计完成</w:t>
            </w:r>
          </w:p>
        </w:tc>
        <w:tc>
          <w:tcPr>
            <w:tcW w:w="1629" w:type="dxa"/>
            <w:vMerge w:val="restart"/>
            <w:tcBorders/>
            <w:vAlign w:val="center"/>
          </w:tcPr>
          <w:p>
            <w:pPr>
              <w:pStyle w:val="style0"/>
              <w:spacing w:lineRule="exact" w:line="300"/>
              <w:jc w:val="center"/>
              <w:rPr>
                <w:rFonts w:ascii="Times New Roman" w:eastAsia="方正楷体_GBK"/>
                <w:sz w:val="24"/>
              </w:rPr>
            </w:pPr>
            <w:r>
              <w:rPr>
                <w:rFonts w:ascii="Times New Roman" w:eastAsia="方正楷体_GBK" w:hint="eastAsia"/>
                <w:sz w:val="24"/>
              </w:rPr>
              <w:t>完成上级下达的目标任务</w:t>
            </w:r>
          </w:p>
        </w:tc>
      </w:tr>
      <w:tr>
        <w:tblPrEx/>
        <w:trPr>
          <w:trHeight w:val="510" w:hRule="atLeast"/>
          <w:jc w:val="center"/>
        </w:trPr>
        <w:tc>
          <w:tcPr>
            <w:tcW w:w="806" w:type="dxa"/>
            <w:vMerge w:val="continue"/>
            <w:tcBorders/>
            <w:noWrap/>
            <w:vAlign w:val="center"/>
          </w:tcPr>
          <w:p>
            <w:pPr>
              <w:pStyle w:val="style0"/>
              <w:spacing w:before="340" w:after="330" w:lineRule="exact" w:line="300"/>
              <w:jc w:val="center"/>
              <w:rPr>
                <w:rFonts w:ascii="Times New Roman" w:eastAsia="方正楷体_GBK"/>
                <w:sz w:val="24"/>
              </w:rPr>
            </w:pPr>
          </w:p>
        </w:tc>
        <w:tc>
          <w:tcPr>
            <w:tcW w:w="2974" w:type="dxa"/>
            <w:tcBorders/>
            <w:vAlign w:val="center"/>
          </w:tcPr>
          <w:p>
            <w:pPr>
              <w:pStyle w:val="style0"/>
              <w:spacing w:lineRule="exact" w:line="300"/>
              <w:rPr>
                <w:rFonts w:ascii="Times New Roman" w:eastAsia="方正楷体_GBK"/>
                <w:sz w:val="24"/>
              </w:rPr>
            </w:pPr>
            <w:r>
              <w:rPr>
                <w:rFonts w:ascii="Times New Roman" w:eastAsia="方正楷体_GBK" w:hint="eastAsia"/>
                <w:sz w:val="24"/>
              </w:rPr>
              <w:t>（</w:t>
            </w:r>
            <w:r>
              <w:rPr>
                <w:rFonts w:ascii="Times New Roman" w:eastAsia="方正楷体_GBK"/>
                <w:sz w:val="24"/>
              </w:rPr>
              <w:t>2</w:t>
            </w:r>
            <w:r>
              <w:rPr>
                <w:rFonts w:ascii="Times New Roman" w:eastAsia="方正楷体_GBK" w:hint="eastAsia"/>
                <w:sz w:val="24"/>
              </w:rPr>
              <w:t>）二氧化硫（</w:t>
            </w:r>
            <w:r>
              <w:rPr>
                <w:rFonts w:ascii="Times New Roman" w:eastAsia="方正楷体_GBK"/>
                <w:sz w:val="24"/>
              </w:rPr>
              <w:t>SO</w:t>
            </w:r>
            <w:r>
              <w:rPr>
                <w:rFonts w:ascii="Times New Roman" w:eastAsia="方正楷体_GBK"/>
                <w:sz w:val="24"/>
                <w:vertAlign w:val="subscript"/>
              </w:rPr>
              <w:t>2</w:t>
            </w:r>
            <w:r>
              <w:rPr>
                <w:rFonts w:ascii="Times New Roman" w:eastAsia="方正楷体_GBK" w:hint="eastAsia"/>
                <w:sz w:val="24"/>
              </w:rPr>
              <w:t>）</w:t>
            </w:r>
          </w:p>
        </w:tc>
        <w:tc>
          <w:tcPr>
            <w:tcW w:w="1562" w:type="dxa"/>
            <w:vMerge w:val="continue"/>
            <w:tcBorders/>
            <w:vAlign w:val="center"/>
          </w:tcPr>
          <w:p>
            <w:pPr>
              <w:pStyle w:val="style0"/>
              <w:spacing w:before="260" w:after="260" w:lineRule="exact" w:line="300"/>
              <w:jc w:val="center"/>
              <w:rPr>
                <w:rFonts w:ascii="Times New Roman" w:eastAsia="方正楷体_GBK"/>
                <w:sz w:val="24"/>
              </w:rPr>
            </w:pPr>
          </w:p>
        </w:tc>
        <w:tc>
          <w:tcPr>
            <w:tcW w:w="1670" w:type="dxa"/>
            <w:vMerge w:val="continue"/>
            <w:tcBorders/>
            <w:vAlign w:val="center"/>
          </w:tcPr>
          <w:p>
            <w:pPr>
              <w:pStyle w:val="style0"/>
              <w:spacing w:before="260" w:after="260" w:lineRule="exact" w:line="300"/>
              <w:jc w:val="center"/>
              <w:rPr>
                <w:rFonts w:ascii="Times New Roman" w:eastAsia="方正楷体_GBK"/>
                <w:sz w:val="24"/>
              </w:rPr>
            </w:pPr>
          </w:p>
        </w:tc>
        <w:tc>
          <w:tcPr>
            <w:tcW w:w="1629" w:type="dxa"/>
            <w:vMerge w:val="continue"/>
            <w:tcBorders/>
            <w:vAlign w:val="center"/>
          </w:tcPr>
          <w:p>
            <w:pPr>
              <w:pStyle w:val="style0"/>
              <w:spacing w:lineRule="exact" w:line="300"/>
              <w:jc w:val="center"/>
              <w:rPr>
                <w:rFonts w:ascii="Times New Roman" w:eastAsia="方正楷体_GBK"/>
                <w:sz w:val="24"/>
              </w:rPr>
            </w:pPr>
          </w:p>
        </w:tc>
      </w:tr>
      <w:tr>
        <w:tblPrEx/>
        <w:trPr>
          <w:trHeight w:val="510" w:hRule="atLeast"/>
          <w:jc w:val="center"/>
        </w:trPr>
        <w:tc>
          <w:tcPr>
            <w:tcW w:w="806" w:type="dxa"/>
            <w:vMerge w:val="continue"/>
            <w:tcBorders/>
            <w:noWrap/>
            <w:vAlign w:val="center"/>
          </w:tcPr>
          <w:p>
            <w:pPr>
              <w:pStyle w:val="style0"/>
              <w:spacing w:lineRule="exact" w:line="300"/>
              <w:jc w:val="center"/>
              <w:rPr>
                <w:rFonts w:ascii="Times New Roman" w:eastAsia="方正楷体_GBK"/>
                <w:sz w:val="24"/>
              </w:rPr>
            </w:pPr>
          </w:p>
        </w:tc>
        <w:tc>
          <w:tcPr>
            <w:tcW w:w="2974" w:type="dxa"/>
            <w:tcBorders/>
            <w:vAlign w:val="center"/>
          </w:tcPr>
          <w:p>
            <w:pPr>
              <w:pStyle w:val="style0"/>
              <w:spacing w:lineRule="exact" w:line="300"/>
              <w:rPr>
                <w:rFonts w:ascii="Times New Roman" w:eastAsia="方正楷体_GBK"/>
                <w:sz w:val="24"/>
              </w:rPr>
            </w:pPr>
            <w:r>
              <w:rPr>
                <w:rFonts w:ascii="Times New Roman" w:eastAsia="方正楷体_GBK" w:hint="eastAsia"/>
                <w:sz w:val="24"/>
              </w:rPr>
              <w:t>（</w:t>
            </w:r>
            <w:r>
              <w:rPr>
                <w:rFonts w:ascii="Times New Roman" w:eastAsia="方正楷体_GBK"/>
                <w:sz w:val="24"/>
              </w:rPr>
              <w:t>3</w:t>
            </w:r>
            <w:r>
              <w:rPr>
                <w:rFonts w:ascii="Times New Roman" w:eastAsia="方正楷体_GBK" w:hint="eastAsia"/>
                <w:sz w:val="24"/>
              </w:rPr>
              <w:t>）氨氮</w:t>
            </w:r>
          </w:p>
        </w:tc>
        <w:tc>
          <w:tcPr>
            <w:tcW w:w="1562" w:type="dxa"/>
            <w:vMerge w:val="continue"/>
            <w:tcBorders/>
            <w:vAlign w:val="center"/>
          </w:tcPr>
          <w:p>
            <w:pPr>
              <w:pStyle w:val="style0"/>
              <w:spacing w:before="260" w:after="260" w:lineRule="exact" w:line="300"/>
              <w:jc w:val="center"/>
              <w:rPr>
                <w:rFonts w:ascii="Times New Roman" w:eastAsia="方正楷体_GBK"/>
                <w:sz w:val="24"/>
              </w:rPr>
            </w:pPr>
          </w:p>
        </w:tc>
        <w:tc>
          <w:tcPr>
            <w:tcW w:w="1670" w:type="dxa"/>
            <w:vMerge w:val="continue"/>
            <w:tcBorders/>
            <w:vAlign w:val="center"/>
          </w:tcPr>
          <w:p>
            <w:pPr>
              <w:pStyle w:val="style0"/>
              <w:spacing w:before="260" w:after="260" w:lineRule="exact" w:line="300"/>
              <w:jc w:val="center"/>
              <w:rPr>
                <w:rFonts w:ascii="Times New Roman" w:eastAsia="方正楷体_GBK"/>
                <w:sz w:val="24"/>
              </w:rPr>
            </w:pPr>
          </w:p>
        </w:tc>
        <w:tc>
          <w:tcPr>
            <w:tcW w:w="1629" w:type="dxa"/>
            <w:vMerge w:val="continue"/>
            <w:tcBorders/>
            <w:vAlign w:val="center"/>
          </w:tcPr>
          <w:p>
            <w:pPr>
              <w:pStyle w:val="style0"/>
              <w:spacing w:before="260" w:after="260" w:lineRule="exact" w:line="300"/>
              <w:jc w:val="center"/>
              <w:rPr>
                <w:rFonts w:ascii="Times New Roman" w:eastAsia="方正楷体_GBK"/>
                <w:sz w:val="24"/>
              </w:rPr>
            </w:pPr>
          </w:p>
        </w:tc>
      </w:tr>
      <w:tr>
        <w:tblPrEx/>
        <w:trPr>
          <w:trHeight w:val="510" w:hRule="atLeast"/>
          <w:jc w:val="center"/>
        </w:trPr>
        <w:tc>
          <w:tcPr>
            <w:tcW w:w="806" w:type="dxa"/>
            <w:vMerge w:val="continue"/>
            <w:tcBorders/>
            <w:noWrap/>
            <w:vAlign w:val="center"/>
          </w:tcPr>
          <w:p>
            <w:pPr>
              <w:pStyle w:val="style0"/>
              <w:spacing w:before="260" w:after="260" w:lineRule="exact" w:line="300"/>
              <w:jc w:val="center"/>
              <w:rPr>
                <w:rFonts w:ascii="Times New Roman" w:eastAsia="方正楷体_GBK"/>
                <w:sz w:val="24"/>
              </w:rPr>
            </w:pPr>
          </w:p>
        </w:tc>
        <w:tc>
          <w:tcPr>
            <w:tcW w:w="2974" w:type="dxa"/>
            <w:tcBorders/>
            <w:vAlign w:val="center"/>
          </w:tcPr>
          <w:p>
            <w:pPr>
              <w:pStyle w:val="style0"/>
              <w:spacing w:lineRule="exact" w:line="300"/>
              <w:rPr>
                <w:rFonts w:ascii="Times New Roman" w:eastAsia="方正楷体_GBK"/>
                <w:sz w:val="24"/>
              </w:rPr>
            </w:pPr>
            <w:r>
              <w:rPr>
                <w:rFonts w:ascii="Times New Roman" w:eastAsia="方正楷体_GBK" w:hint="eastAsia"/>
                <w:sz w:val="24"/>
              </w:rPr>
              <w:t>（</w:t>
            </w:r>
            <w:r>
              <w:rPr>
                <w:rFonts w:ascii="Times New Roman" w:eastAsia="方正楷体_GBK"/>
                <w:sz w:val="24"/>
              </w:rPr>
              <w:t>4</w:t>
            </w:r>
            <w:r>
              <w:rPr>
                <w:rFonts w:ascii="Times New Roman" w:eastAsia="方正楷体_GBK" w:hint="eastAsia"/>
                <w:sz w:val="24"/>
              </w:rPr>
              <w:t>）氮氧化物</w:t>
            </w:r>
          </w:p>
        </w:tc>
        <w:tc>
          <w:tcPr>
            <w:tcW w:w="1562" w:type="dxa"/>
            <w:vMerge w:val="continue"/>
            <w:tcBorders/>
            <w:vAlign w:val="center"/>
          </w:tcPr>
          <w:p>
            <w:pPr>
              <w:pStyle w:val="style0"/>
              <w:spacing w:before="260" w:after="260" w:lineRule="exact" w:line="300"/>
              <w:jc w:val="center"/>
              <w:rPr>
                <w:rFonts w:ascii="Times New Roman" w:eastAsia="方正楷体_GBK"/>
                <w:sz w:val="24"/>
              </w:rPr>
            </w:pPr>
          </w:p>
        </w:tc>
        <w:tc>
          <w:tcPr>
            <w:tcW w:w="1670" w:type="dxa"/>
            <w:vMerge w:val="continue"/>
            <w:tcBorders/>
            <w:vAlign w:val="center"/>
          </w:tcPr>
          <w:p>
            <w:pPr>
              <w:pStyle w:val="style0"/>
              <w:spacing w:before="260" w:after="260" w:lineRule="exact" w:line="300"/>
              <w:jc w:val="center"/>
              <w:rPr>
                <w:rFonts w:ascii="Times New Roman" w:eastAsia="方正楷体_GBK"/>
                <w:sz w:val="24"/>
              </w:rPr>
            </w:pPr>
          </w:p>
        </w:tc>
        <w:tc>
          <w:tcPr>
            <w:tcW w:w="1629" w:type="dxa"/>
            <w:vMerge w:val="continue"/>
            <w:tcBorders/>
            <w:vAlign w:val="center"/>
          </w:tcPr>
          <w:p>
            <w:pPr>
              <w:pStyle w:val="style0"/>
              <w:spacing w:before="260" w:after="260" w:lineRule="exact" w:line="300"/>
              <w:jc w:val="center"/>
              <w:rPr>
                <w:rFonts w:ascii="Times New Roman" w:eastAsia="方正楷体_GBK"/>
                <w:sz w:val="24"/>
              </w:rPr>
            </w:pPr>
          </w:p>
        </w:tc>
      </w:tr>
      <w:tr>
        <w:tblPrEx/>
        <w:trPr>
          <w:trHeight w:val="510" w:hRule="atLeast"/>
          <w:jc w:val="center"/>
        </w:trPr>
        <w:tc>
          <w:tcPr>
            <w:tcW w:w="806" w:type="dxa"/>
            <w:tcBorders/>
            <w:noWrap/>
            <w:vAlign w:val="center"/>
          </w:tcPr>
          <w:p>
            <w:pPr>
              <w:pStyle w:val="style0"/>
              <w:spacing w:lineRule="exact" w:line="300"/>
              <w:jc w:val="center"/>
              <w:rPr>
                <w:rFonts w:ascii="Times New Roman" w:eastAsia="方正楷体_GBK"/>
                <w:sz w:val="24"/>
              </w:rPr>
            </w:pPr>
            <w:r>
              <w:rPr>
                <w:rFonts w:ascii="Times New Roman" w:eastAsia="方正楷体_GBK"/>
                <w:sz w:val="24"/>
              </w:rPr>
              <w:t>13</w:t>
            </w:r>
          </w:p>
        </w:tc>
        <w:tc>
          <w:tcPr>
            <w:tcW w:w="2974" w:type="dxa"/>
            <w:tcBorders/>
            <w:vAlign w:val="center"/>
          </w:tcPr>
          <w:p>
            <w:pPr>
              <w:pStyle w:val="style0"/>
              <w:spacing w:lineRule="exact" w:line="300"/>
              <w:jc w:val="center"/>
              <w:rPr>
                <w:rFonts w:ascii="Times New Roman" w:eastAsia="方正楷体_GBK"/>
                <w:sz w:val="24"/>
              </w:rPr>
            </w:pPr>
            <w:r>
              <w:rPr>
                <w:rFonts w:ascii="Times New Roman" w:eastAsia="方正楷体_GBK" w:hint="eastAsia"/>
                <w:sz w:val="24"/>
              </w:rPr>
              <w:t>空气质量优良天数比率</w:t>
            </w:r>
          </w:p>
        </w:tc>
        <w:tc>
          <w:tcPr>
            <w:tcW w:w="1562" w:type="dxa"/>
            <w:tcBorders/>
            <w:vAlign w:val="center"/>
          </w:tcPr>
          <w:p>
            <w:pPr>
              <w:pStyle w:val="style0"/>
              <w:spacing w:lineRule="exact" w:line="300"/>
              <w:jc w:val="center"/>
              <w:rPr>
                <w:rFonts w:ascii="Times New Roman" w:eastAsia="方正楷体_GBK"/>
                <w:sz w:val="24"/>
              </w:rPr>
            </w:pPr>
            <w:r>
              <w:rPr>
                <w:rFonts w:ascii="Times New Roman" w:eastAsia="方正楷体_GBK"/>
                <w:sz w:val="24"/>
              </w:rPr>
              <w:t>80%</w:t>
            </w:r>
          </w:p>
        </w:tc>
        <w:tc>
          <w:tcPr>
            <w:tcW w:w="1670" w:type="dxa"/>
            <w:tcBorders/>
            <w:vAlign w:val="center"/>
          </w:tcPr>
          <w:p>
            <w:pPr>
              <w:pStyle w:val="style0"/>
              <w:spacing w:lineRule="exact" w:line="300"/>
              <w:jc w:val="center"/>
              <w:rPr>
                <w:rFonts w:ascii="Times New Roman" w:eastAsia="方正楷体_GBK"/>
                <w:sz w:val="20"/>
              </w:rPr>
            </w:pPr>
            <w:r>
              <w:rPr>
                <w:rFonts w:ascii="Times New Roman" w:eastAsia="方正楷体_GBK" w:hint="eastAsia"/>
                <w:sz w:val="24"/>
              </w:rPr>
              <w:t>79.2%</w:t>
            </w:r>
          </w:p>
        </w:tc>
        <w:tc>
          <w:tcPr>
            <w:tcW w:w="1629" w:type="dxa"/>
            <w:tcBorders/>
            <w:vAlign w:val="center"/>
          </w:tcPr>
          <w:p>
            <w:pPr>
              <w:pStyle w:val="style0"/>
              <w:spacing w:lineRule="exact" w:line="300"/>
              <w:jc w:val="center"/>
              <w:rPr>
                <w:rFonts w:ascii="Times New Roman" w:eastAsia="方正楷体_GBK"/>
                <w:sz w:val="24"/>
              </w:rPr>
            </w:pPr>
            <w:r>
              <w:rPr>
                <w:rFonts w:ascii="Times New Roman" w:eastAsia="方正楷体_GBK" w:hint="eastAsia"/>
                <w:sz w:val="24"/>
              </w:rPr>
              <w:t>81.1%</w:t>
            </w:r>
          </w:p>
        </w:tc>
      </w:tr>
    </w:tbl>
    <w:p>
      <w:pPr>
        <w:pStyle w:val="style0"/>
        <w:spacing w:lineRule="exact" w:line="20"/>
        <w:rPr>
          <w:rFonts w:ascii="Times New Roman"/>
          <w:sz w:val="2"/>
          <w:szCs w:val="2"/>
        </w:rPr>
      </w:pPr>
    </w:p>
    <w:sectPr>
      <w:footerReference w:type="default" r:id="rId2"/>
      <w:pgSz w:w="11906" w:h="16838" w:orient="portrait" w:code="9"/>
      <w:pgMar w:top="2041" w:right="1644" w:bottom="1418" w:left="1814" w:header="1134" w:footer="1418" w:gutter="0"/>
      <w:cols w:space="425"/>
      <w:docGrid w:type="linesAndChars" w:linePitch="581"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方正仿宋_GBK">
    <w:altName w:val="方正仿宋_GBK"/>
    <w:panose1 w:val="03000509000000000000"/>
    <w:charset w:val="86"/>
    <w:family w:val="script"/>
    <w:pitch w:val="fixed"/>
    <w:sig w:usb0="00000001" w:usb1="080E0000" w:usb2="00000010" w:usb3="00000000" w:csb0="00040000" w:csb1="00000000"/>
  </w:font>
  <w:font w:name="方正小标宋_GBK">
    <w:altName w:val="方正小标宋_GBK"/>
    <w:panose1 w:val="03000509000000000000"/>
    <w:charset w:val="86"/>
    <w:family w:val="script"/>
    <w:pitch w:val="fixed"/>
    <w:sig w:usb0="00000001" w:usb1="080E0000" w:usb2="00000010" w:usb3="00000000" w:csb0="00040000" w:csb1="00000000"/>
  </w:font>
  <w:font w:name="方正楷体_GBK">
    <w:altName w:val="方正楷体_GBK"/>
    <w:panose1 w:val="03000509000000000000"/>
    <w:charset w:val="86"/>
    <w:family w:val="script"/>
    <w:pitch w:val="fixed"/>
    <w:sig w:usb0="00000001" w:usb1="080E0000" w:usb2="00000010" w:usb3="00000000" w:csb0="00040000" w:csb1="00000000"/>
  </w:font>
  <w:font w:name="方正黑体_GBK">
    <w:altName w:val="方正黑体_GBK"/>
    <w:panose1 w:val="03000509000000000000"/>
    <w:charset w:val="86"/>
    <w:family w:val="script"/>
    <w:pitch w:val="fixed"/>
    <w:sig w:usb0="00000001" w:usb1="080E0000" w:usb2="00000010" w:usb3="00000000" w:csb0="00040000" w:csb1="00000000"/>
  </w:font>
  <w:font w:name="方正仿宋">
    <w:altName w:val="仿宋"/>
    <w:panose1 w:val="00000000000000000000"/>
    <w:charset w:val="00"/>
    <w:family w:val="auto"/>
    <w:pitch w:val="default"/>
    <w:sig w:usb0="00000000" w:usb1="00000000" w:usb2="00000000" w:usb3="00000000" w:csb0="00040001" w:csb1="00000000"/>
  </w:font>
  <w:font w:name="仿宋">
    <w:altName w:val="仿宋"/>
    <w:panose1 w:val="02010609060001010101"/>
    <w:charset w:val="86"/>
    <w:family w:val="modern"/>
    <w:pitch w:val="fixed"/>
    <w:sig w:usb0="800002BF" w:usb1="38CF7CFA" w:usb2="00000016" w:usb3="00000000" w:csb0="00040001" w:csb1="00000000"/>
  </w:font>
  <w:font w:name="仿宋_GB2312">
    <w:altName w:val="仿宋_GB2312"/>
    <w:panose1 w:val="02010609030001010101"/>
    <w:charset w:val="86"/>
    <w:family w:val="modern"/>
    <w:pitch w:val="fixed"/>
    <w:sig w:usb0="00000001" w:usb1="080E0000" w:usb2="00000010" w:usb3="00000000" w:csb0="00040000"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snapToGrid/>
      <w:jc w:val="center"/>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Times New Roman" w:eastAsia="宋体"/>
        <w:sz w:val="28"/>
        <w:szCs w:val="28"/>
      </w:rPr>
      <w:fldChar w:fldCharType="begin"/>
    </w:r>
    <w:r>
      <w:rPr>
        <w:rFonts w:ascii="Times New Roman" w:eastAsia="宋体"/>
        <w:sz w:val="28"/>
        <w:szCs w:val="28"/>
      </w:rPr>
      <w:instrText xml:space="preserve"> PAGE   \* MERGEFORMAT </w:instrText>
    </w:r>
    <w:r>
      <w:rPr>
        <w:rFonts w:ascii="Times New Roman" w:eastAsia="宋体"/>
        <w:sz w:val="28"/>
        <w:szCs w:val="28"/>
      </w:rPr>
      <w:fldChar w:fldCharType="separate"/>
    </w:r>
    <w:r>
      <w:rPr>
        <w:rFonts w:ascii="Times New Roman" w:eastAsia="宋体"/>
        <w:noProof/>
        <w:sz w:val="28"/>
        <w:szCs w:val="28"/>
        <w:lang w:val="zh-CN"/>
      </w:rPr>
      <w:t>15</w:t>
    </w:r>
    <w:r>
      <w:rPr>
        <w:rFonts w:ascii="Times New Roman" w:eastAsia="宋体"/>
        <w:sz w:val="28"/>
        <w:szCs w:val="28"/>
      </w:rPr>
      <w:fldChar w:fldCharType="end"/>
    </w:r>
    <w:r>
      <w:rPr>
        <w:rFonts w:ascii="Times New Roman" w:eastAsia="宋体" w:hint="eastAsia"/>
        <w:sz w:val="28"/>
        <w:szCs w:val="28"/>
      </w:rPr>
      <w:t xml:space="preserve"> </w:t>
    </w:r>
    <w:r>
      <w:rPr>
        <w:rFonts w:ascii="宋体" w:eastAsia="宋体" w:hAnsi="宋体" w:hint="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mirrorMargins/>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51"/>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widowControl w:val="false"/>
      <w:jc w:val="both"/>
    </w:pPr>
    <w:rPr>
      <w:rFonts w:ascii="方正仿宋_GBK" w:eastAsia="方正仿宋_GBK" w:hAnsi="Times New Roman"/>
      <w:kern w:val="32"/>
      <w:sz w:val="32"/>
      <w:szCs w:val="3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 w:type="character" w:customStyle="1" w:styleId="style4099">
    <w:name w:val="UserStyle_0"/>
    <w:next w:val="style4099"/>
    <w:qFormat/>
    <w:uiPriority w:val="99"/>
  </w:style>
  <w:style w:type="character" w:customStyle="1" w:styleId="style4100">
    <w:name w:val="NormalCharacter"/>
    <w:next w:val="style4100"/>
    <w:qFormat/>
  </w:style>
  <w:style w:type="paragraph" w:styleId="style153">
    <w:name w:val="Balloon Text"/>
    <w:basedOn w:val="style0"/>
    <w:next w:val="style153"/>
    <w:link w:val="style4101"/>
    <w:pPr/>
    <w:rPr>
      <w:sz w:val="18"/>
      <w:szCs w:val="18"/>
    </w:rPr>
  </w:style>
  <w:style w:type="character" w:customStyle="1" w:styleId="style4101">
    <w:name w:val="批注框文本 Char"/>
    <w:basedOn w:val="style65"/>
    <w:next w:val="style4101"/>
    <w:link w:val="style153"/>
    <w:rPr>
      <w:rFonts w:ascii="方正仿宋_GBK" w:eastAsia="方正仿宋_GBK" w:hAnsi="Times New Roman"/>
      <w:kern w:val="32"/>
      <w:sz w:val="18"/>
      <w:szCs w:val="18"/>
    </w:rPr>
  </w:style>
  <w:style w:type="character" w:styleId="style88">
    <w:name w:val="Emphasis"/>
    <w:basedOn w:val="style65"/>
    <w:next w:val="style88"/>
    <w:qFormat/>
    <w:uiPriority w:val="20"/>
    <w:rPr>
      <w:i w:val="false"/>
      <w:iCs w:val="false"/>
      <w:color w:val="f73131"/>
    </w:rPr>
  </w:style>
  <w:style w:type="character" w:styleId="style39">
    <w:name w:val="annotation reference"/>
    <w:basedOn w:val="style65"/>
    <w:next w:val="style39"/>
    <w:rPr>
      <w:sz w:val="21"/>
      <w:szCs w:val="21"/>
    </w:rPr>
  </w:style>
  <w:style w:type="paragraph" w:styleId="style30">
    <w:name w:val="annotation text"/>
    <w:basedOn w:val="style0"/>
    <w:next w:val="style30"/>
    <w:link w:val="style4102"/>
    <w:pPr>
      <w:jc w:val="left"/>
    </w:pPr>
    <w:rPr/>
  </w:style>
  <w:style w:type="character" w:customStyle="1" w:styleId="style4102">
    <w:name w:val="批注文字 Char"/>
    <w:basedOn w:val="style65"/>
    <w:next w:val="style4102"/>
    <w:link w:val="style30"/>
    <w:rPr>
      <w:rFonts w:ascii="方正仿宋_GBK" w:eastAsia="方正仿宋_GBK" w:hAnsi="Times New Roman"/>
      <w:kern w:val="32"/>
      <w:sz w:val="32"/>
      <w:szCs w:val="32"/>
    </w:rPr>
  </w:style>
  <w:style w:type="paragraph" w:styleId="style106">
    <w:name w:val="annotation subject"/>
    <w:basedOn w:val="style30"/>
    <w:next w:val="style30"/>
    <w:link w:val="style4103"/>
    <w:pPr/>
    <w:rPr>
      <w:b/>
      <w:bCs/>
    </w:rPr>
  </w:style>
  <w:style w:type="character" w:customStyle="1" w:styleId="style4103">
    <w:name w:val="批注主题 Char"/>
    <w:basedOn w:val="style4102"/>
    <w:next w:val="style4103"/>
    <w:link w:val="style106"/>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098861B-F91E-4DE4-94DF-1DFCE0B2DE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757</TotalTime>
  <Words>8884</Words>
  <Pages>16</Pages>
  <Characters>9359</Characters>
  <Application>WPS Office</Application>
  <DocSecurity>0</DocSecurity>
  <Paragraphs>185</Paragraphs>
  <ScaleCrop>false</ScaleCrop>
  <Company>Micorosoft</Company>
  <LinksUpToDate>false</LinksUpToDate>
  <CharactersWithSpaces>9366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2021-12-27T04:06:00Z</dcterms:created>
  <dc:creator>Lenovo</dc:creator>
  <lastModifiedBy>NOH-AN01</lastModifiedBy>
  <lastPrinted>2021-12-22T09:54:00Z</lastPrinted>
  <dcterms:modified xsi:type="dcterms:W3CDTF">2022-01-09T07:32:57Z</dcterms:modified>
  <revision>269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be736cf5860a44cd8ffe29421ac93cee</vt:lpwstr>
  </property>
</Properties>
</file>