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8533"/>
          <w:tab w:val="clear" w:pos="8465"/>
        </w:tabs>
        <w:spacing w:line="240" w:lineRule="auto"/>
        <w:ind w:left="316" w:leftChars="100" w:right="316" w:rightChars="100"/>
        <w:jc w:val="both"/>
        <w:rPr>
          <w:rFonts w:eastAsia="方正仿宋_GBK"/>
          <w:sz w:val="21"/>
          <w:szCs w:val="21"/>
        </w:rPr>
      </w:pPr>
    </w:p>
    <w:p>
      <w:pPr>
        <w:pStyle w:val="25"/>
        <w:tabs>
          <w:tab w:val="right" w:pos="8533"/>
          <w:tab w:val="clear" w:pos="8465"/>
        </w:tabs>
        <w:spacing w:line="240" w:lineRule="auto"/>
        <w:ind w:left="316" w:leftChars="100" w:right="316" w:rightChars="100"/>
        <w:jc w:val="both"/>
        <w:rPr>
          <w:rFonts w:eastAsia="方正仿宋_GBK"/>
          <w:sz w:val="21"/>
          <w:szCs w:val="21"/>
        </w:rPr>
      </w:pPr>
    </w:p>
    <w:p>
      <w:pPr>
        <w:spacing w:line="360" w:lineRule="exact"/>
        <w:ind w:right="-3" w:rightChars="-1"/>
        <w:jc w:val="center"/>
        <w:rPr>
          <w:rFonts w:eastAsia="华文中宋"/>
          <w:sz w:val="44"/>
        </w:rPr>
      </w:pPr>
    </w:p>
    <w:p>
      <w:pPr>
        <w:spacing w:beforeLines="80" w:line="0" w:lineRule="atLeast"/>
        <w:jc w:val="center"/>
        <w:rPr>
          <w:rFonts w:eastAsia="方正小标宋_GBK"/>
          <w:sz w:val="44"/>
          <w:szCs w:val="44"/>
        </w:rPr>
      </w:pPr>
      <w:r>
        <w:rPr>
          <w:rFonts w:hint="eastAsia" w:eastAsia="方正小标宋_GBK"/>
          <w:sz w:val="44"/>
          <w:szCs w:val="44"/>
        </w:rPr>
        <w:t>中共江阴市委  江阴市人民政府</w:t>
      </w:r>
    </w:p>
    <w:p>
      <w:pPr>
        <w:spacing w:line="0" w:lineRule="atLeast"/>
        <w:jc w:val="center"/>
        <w:rPr>
          <w:rStyle w:val="10"/>
          <w:rFonts w:eastAsia="方正小标宋_GBK"/>
          <w:color w:val="000000" w:themeColor="text1"/>
          <w:sz w:val="44"/>
          <w:szCs w:val="44"/>
        </w:rPr>
      </w:pPr>
      <w:r>
        <w:rPr>
          <w:rFonts w:hint="eastAsia" w:eastAsia="方正小标宋_GBK"/>
          <w:color w:val="000000"/>
          <w:sz w:val="44"/>
          <w:szCs w:val="44"/>
        </w:rPr>
        <w:t>关于</w:t>
      </w:r>
      <w:r>
        <w:rPr>
          <w:rFonts w:hint="eastAsia" w:eastAsia="方正小标宋_GBK"/>
          <w:sz w:val="44"/>
          <w:szCs w:val="44"/>
        </w:rPr>
        <w:t>印发《</w:t>
      </w:r>
      <w:r>
        <w:rPr>
          <w:rStyle w:val="10"/>
          <w:rFonts w:hint="eastAsia" w:eastAsia="方正小标宋_GBK"/>
          <w:color w:val="000000" w:themeColor="text1"/>
          <w:sz w:val="44"/>
          <w:szCs w:val="44"/>
        </w:rPr>
        <w:t>“创新江阴”三年行动计划</w:t>
      </w:r>
    </w:p>
    <w:p>
      <w:pPr>
        <w:spacing w:line="0" w:lineRule="atLeast"/>
        <w:jc w:val="center"/>
        <w:rPr>
          <w:rFonts w:eastAsia="方正小标宋_GBK"/>
          <w:sz w:val="44"/>
          <w:szCs w:val="44"/>
        </w:rPr>
      </w:pPr>
      <w:r>
        <w:rPr>
          <w:rStyle w:val="10"/>
          <w:rFonts w:hint="eastAsia" w:eastAsia="方正小标宋_GBK"/>
          <w:color w:val="000000" w:themeColor="text1"/>
          <w:sz w:val="44"/>
          <w:szCs w:val="44"/>
        </w:rPr>
        <w:t>（2020</w:t>
      </w:r>
      <w:r>
        <w:rPr>
          <w:rStyle w:val="10"/>
          <w:rFonts w:hint="eastAsia" w:hAnsiTheme="minorEastAsia" w:eastAsiaTheme="minorEastAsia"/>
          <w:color w:val="000000" w:themeColor="text1"/>
          <w:sz w:val="44"/>
          <w:szCs w:val="44"/>
        </w:rPr>
        <w:t>－</w:t>
      </w:r>
      <w:r>
        <w:rPr>
          <w:rStyle w:val="10"/>
          <w:rFonts w:hint="eastAsia" w:eastAsia="方正小标宋_GBK"/>
          <w:color w:val="000000" w:themeColor="text1"/>
          <w:sz w:val="44"/>
          <w:szCs w:val="44"/>
        </w:rPr>
        <w:t>2022年）</w:t>
      </w:r>
      <w:r>
        <w:rPr>
          <w:rFonts w:hint="eastAsia" w:eastAsia="方正小标宋_GBK"/>
          <w:sz w:val="44"/>
          <w:szCs w:val="44"/>
        </w:rPr>
        <w:t>》的通知</w:t>
      </w:r>
    </w:p>
    <w:p>
      <w:pPr>
        <w:adjustRightInd w:val="0"/>
        <w:jc w:val="left"/>
        <w:rPr>
          <w:rFonts w:eastAsia="方正楷体_GBK"/>
        </w:rPr>
      </w:pPr>
    </w:p>
    <w:p>
      <w:pPr>
        <w:rPr>
          <w:rFonts w:eastAsia="方正楷体_GBK"/>
        </w:rPr>
      </w:pPr>
      <w:r>
        <w:rPr>
          <w:rFonts w:hint="eastAsia" w:eastAsia="方正楷体_GBK"/>
        </w:rPr>
        <w:t>各开发区党（工）委、管委会，各镇（街道）党（工）委、人民政府（办事处），市机关各部门，市各直属企业党委，市各直属单位，各驻澄单位：</w:t>
      </w:r>
    </w:p>
    <w:p>
      <w:pPr>
        <w:ind w:firstLine="640"/>
        <w:rPr>
          <w:rFonts w:eastAsia="方正仿宋_GBK"/>
          <w:spacing w:val="3"/>
        </w:rPr>
      </w:pPr>
      <w:r>
        <w:rPr>
          <w:rFonts w:hint="eastAsia" w:eastAsia="方正仿宋_GBK"/>
        </w:rPr>
        <w:t>《</w:t>
      </w:r>
      <w:r>
        <w:rPr>
          <w:rFonts w:hint="eastAsia" w:eastAsia="方正仿宋_GBK"/>
          <w:spacing w:val="3"/>
        </w:rPr>
        <w:t>“创新江阴”三年行动计划（2020</w:t>
      </w:r>
      <w:r>
        <w:rPr>
          <w:rFonts w:hint="eastAsia" w:hAnsiTheme="minorEastAsia" w:eastAsiaTheme="minorEastAsia"/>
          <w:spacing w:val="3"/>
        </w:rPr>
        <w:t>－</w:t>
      </w:r>
      <w:r>
        <w:rPr>
          <w:rFonts w:hint="eastAsia" w:eastAsia="方正仿宋_GBK"/>
          <w:spacing w:val="3"/>
        </w:rPr>
        <w:t>2022年）》已经市委常委会会议讨论通过，现印发给你们，请结合实际认真抓好贯彻落实。</w:t>
      </w:r>
    </w:p>
    <w:p>
      <w:pPr>
        <w:ind w:firstLine="652"/>
        <w:rPr>
          <w:rFonts w:eastAsia="方正仿宋_GBK"/>
          <w:spacing w:val="3"/>
        </w:rPr>
      </w:pPr>
    </w:p>
    <w:p>
      <w:pPr>
        <w:spacing w:line="600" w:lineRule="exact"/>
        <w:ind w:firstLine="640"/>
        <w:rPr>
          <w:rFonts w:eastAsia="方正仿宋_GBK"/>
        </w:rPr>
      </w:pPr>
    </w:p>
    <w:p>
      <w:pPr>
        <w:spacing w:line="600" w:lineRule="exact"/>
        <w:jc w:val="right"/>
        <w:rPr>
          <w:rFonts w:eastAsia="方正仿宋_GBK"/>
        </w:rPr>
      </w:pPr>
    </w:p>
    <w:p>
      <w:pPr>
        <w:spacing w:line="600" w:lineRule="exact"/>
        <w:ind w:right="1352" w:rightChars="428" w:firstLine="5094" w:firstLineChars="1612"/>
        <w:jc w:val="distribute"/>
        <w:rPr>
          <w:rFonts w:eastAsia="方正仿宋_GBK"/>
        </w:rPr>
      </w:pPr>
      <w:r>
        <w:rPr>
          <w:rFonts w:hint="eastAsia" w:eastAsia="方正仿宋_GBK"/>
        </w:rPr>
        <w:t>中共江阴市委</w:t>
      </w:r>
    </w:p>
    <w:p>
      <w:pPr>
        <w:tabs>
          <w:tab w:val="left" w:pos="5812"/>
        </w:tabs>
        <w:spacing w:line="600" w:lineRule="exact"/>
        <w:ind w:right="1352" w:rightChars="428" w:firstLine="5094" w:firstLineChars="1612"/>
        <w:jc w:val="distribute"/>
        <w:rPr>
          <w:rFonts w:eastAsia="方正仿宋_GBK"/>
        </w:rPr>
      </w:pPr>
      <w:r>
        <w:rPr>
          <w:rFonts w:hint="eastAsia" w:eastAsia="方正仿宋_GBK"/>
        </w:rPr>
        <w:t>江阴市人民政府</w:t>
      </w:r>
    </w:p>
    <w:p>
      <w:pPr>
        <w:tabs>
          <w:tab w:val="left" w:pos="5739"/>
          <w:tab w:val="left" w:pos="7426"/>
        </w:tabs>
        <w:spacing w:line="600" w:lineRule="exact"/>
        <w:ind w:left="5786" w:leftChars="1685" w:hanging="462" w:hangingChars="146"/>
        <w:jc w:val="center"/>
        <w:rPr>
          <w:rFonts w:eastAsia="方正仿宋_GBK"/>
        </w:rPr>
      </w:pPr>
      <w:r>
        <w:rPr>
          <w:rFonts w:hint="eastAsia" w:eastAsia="方正仿宋_GBK"/>
        </w:rPr>
        <w:t>2020年3月15日</w:t>
      </w:r>
    </w:p>
    <w:p>
      <w:pPr>
        <w:tabs>
          <w:tab w:val="left" w:pos="5739"/>
          <w:tab w:val="left" w:pos="7426"/>
        </w:tabs>
        <w:jc w:val="center"/>
        <w:rPr>
          <w:rStyle w:val="10"/>
          <w:rFonts w:hint="eastAsia" w:eastAsia="方正小标宋_GBK"/>
          <w:color w:val="000000" w:themeColor="text1"/>
          <w:sz w:val="44"/>
          <w:szCs w:val="44"/>
        </w:rPr>
      </w:pPr>
    </w:p>
    <w:p>
      <w:pPr>
        <w:tabs>
          <w:tab w:val="left" w:pos="5739"/>
          <w:tab w:val="left" w:pos="7426"/>
        </w:tabs>
        <w:jc w:val="center"/>
        <w:rPr>
          <w:rStyle w:val="10"/>
          <w:rFonts w:eastAsia="方正小标宋_GBK"/>
          <w:color w:val="000000" w:themeColor="text1"/>
          <w:sz w:val="44"/>
          <w:szCs w:val="44"/>
        </w:rPr>
      </w:pPr>
      <w:r>
        <w:rPr>
          <w:rStyle w:val="10"/>
          <w:rFonts w:hint="eastAsia" w:eastAsia="方正小标宋_GBK"/>
          <w:color w:val="000000" w:themeColor="text1"/>
          <w:sz w:val="44"/>
          <w:szCs w:val="44"/>
        </w:rPr>
        <w:t>“创新江阴”三年行动计划（2020</w:t>
      </w:r>
      <w:r>
        <w:rPr>
          <w:rStyle w:val="10"/>
          <w:rFonts w:hint="eastAsia" w:hAnsiTheme="minorEastAsia" w:eastAsiaTheme="minorEastAsia"/>
          <w:color w:val="000000" w:themeColor="text1"/>
          <w:sz w:val="44"/>
          <w:szCs w:val="44"/>
        </w:rPr>
        <w:t>－</w:t>
      </w:r>
      <w:r>
        <w:rPr>
          <w:rStyle w:val="10"/>
          <w:rFonts w:hint="eastAsia" w:eastAsia="方正小标宋_GBK"/>
          <w:color w:val="000000" w:themeColor="text1"/>
          <w:sz w:val="44"/>
          <w:szCs w:val="44"/>
        </w:rPr>
        <w:t>2022年）</w:t>
      </w:r>
    </w:p>
    <w:p>
      <w:pPr>
        <w:ind w:firstLine="585"/>
        <w:rPr>
          <w:rStyle w:val="10"/>
          <w:rFonts w:eastAsia="仿宋"/>
          <w:color w:val="000000" w:themeColor="text1"/>
          <w:szCs w:val="32"/>
        </w:rPr>
      </w:pPr>
    </w:p>
    <w:p>
      <w:pPr>
        <w:widowControl w:val="0"/>
        <w:ind w:firstLine="632" w:firstLineChars="200"/>
        <w:rPr>
          <w:rStyle w:val="10"/>
          <w:color w:val="000000" w:themeColor="text1"/>
          <w:szCs w:val="32"/>
        </w:rPr>
      </w:pPr>
      <w:r>
        <w:rPr>
          <w:rStyle w:val="10"/>
          <w:rFonts w:hint="eastAsia"/>
          <w:color w:val="000000" w:themeColor="text1"/>
          <w:szCs w:val="32"/>
        </w:rPr>
        <w:t>为全面实施创新驱动发展战略，强化创新作为第一动力在发展大局中的引领和支撑作用，加快创新型经济发展，促进新旧动能加快转换，推动经济规模优势转化为创新发展优势，制订本行动计划。</w:t>
      </w:r>
    </w:p>
    <w:p>
      <w:pPr>
        <w:widowControl w:val="0"/>
        <w:ind w:firstLine="632" w:firstLineChars="200"/>
        <w:rPr>
          <w:rStyle w:val="10"/>
          <w:rFonts w:eastAsia="方正黑体_GBK"/>
          <w:color w:val="000000" w:themeColor="text1"/>
          <w:szCs w:val="32"/>
        </w:rPr>
      </w:pPr>
      <w:r>
        <w:rPr>
          <w:rStyle w:val="10"/>
          <w:rFonts w:hint="eastAsia" w:eastAsia="方正黑体_GBK"/>
          <w:color w:val="000000" w:themeColor="text1"/>
          <w:szCs w:val="32"/>
        </w:rPr>
        <w:t>一、指导思想</w:t>
      </w:r>
    </w:p>
    <w:p>
      <w:pPr>
        <w:widowControl w:val="0"/>
        <w:ind w:firstLine="632" w:firstLineChars="200"/>
        <w:rPr>
          <w:rStyle w:val="10"/>
          <w:color w:val="000000" w:themeColor="text1"/>
          <w:szCs w:val="32"/>
        </w:rPr>
      </w:pPr>
      <w:r>
        <w:rPr>
          <w:rStyle w:val="10"/>
          <w:rFonts w:hint="eastAsia"/>
          <w:color w:val="000000" w:themeColor="text1"/>
          <w:szCs w:val="32"/>
        </w:rPr>
        <w:t>深入贯彻党的十九大精神，以习近平新时代中国特色社会主义思想为指导，全面贯彻落实国家创新驱动发展战略，聚焦实体经济、产业发展和民生期盼，坚持以企业为主体、产业为导向、人才为支撑、生态为依托，调整创新资源配置结构，构建具有强劲活力的企业创新主体、贴近产业的创新载体平台和随方逐圆的创新发展生态，努力建设长三角地区乃至全国具有影响力的先进制造业科创中心。</w:t>
      </w:r>
    </w:p>
    <w:p>
      <w:pPr>
        <w:widowControl w:val="0"/>
        <w:ind w:firstLine="632" w:firstLineChars="200"/>
        <w:rPr>
          <w:rStyle w:val="10"/>
          <w:rFonts w:eastAsia="方正黑体_GBK"/>
          <w:color w:val="000000" w:themeColor="text1"/>
          <w:szCs w:val="32"/>
        </w:rPr>
      </w:pPr>
      <w:r>
        <w:rPr>
          <w:rStyle w:val="10"/>
          <w:rFonts w:hint="eastAsia" w:eastAsia="方正黑体_GBK"/>
          <w:color w:val="000000" w:themeColor="text1"/>
          <w:szCs w:val="32"/>
        </w:rPr>
        <w:t>二、主要目标</w:t>
      </w:r>
    </w:p>
    <w:p>
      <w:pPr>
        <w:widowControl w:val="0"/>
        <w:ind w:firstLine="640" w:firstLineChars="200"/>
        <w:rPr>
          <w:rStyle w:val="10"/>
          <w:color w:val="000000" w:themeColor="text1"/>
          <w:spacing w:val="2"/>
          <w:szCs w:val="32"/>
        </w:rPr>
      </w:pPr>
      <w:r>
        <w:rPr>
          <w:rStyle w:val="10"/>
          <w:rFonts w:hint="eastAsia"/>
          <w:color w:val="000000" w:themeColor="text1"/>
          <w:spacing w:val="2"/>
          <w:szCs w:val="32"/>
        </w:rPr>
        <w:t>坚守实体经济，推进创新发展。通过三年努力，建立比较完善的区域创新体系，创新资源有效集聚，创新能力显著增强，创新效益大幅提升，创新型县（市）建设任务全面完成，战略性新兴产业、高技术制造业成为实体经济转型升级过程中最具活力、最有潜力的关键力量，创新驱动发展格局初步形成。到2022年，全社会研发投入占GDP的比重保持在3.3%以上，企业研发投入占主营业务收入的比重达2.2%；战略性新兴产业占规上工业产值比重提高到30%，高新技术产业产值占比达40%；有效高新技术企业数实现倍增，突破1000家；全市人才总数达到44万人，其中高层次人才1.5万人；规上工业企业中有研发活动企业数占比50%以上；建成新型研发机构2</w:t>
      </w:r>
      <w:r>
        <w:rPr>
          <w:rFonts w:hint="eastAsia" w:hAnsiTheme="minorEastAsia" w:eastAsiaTheme="minorEastAsia"/>
          <w:spacing w:val="2"/>
        </w:rPr>
        <w:t>－</w:t>
      </w:r>
      <w:r>
        <w:rPr>
          <w:rStyle w:val="10"/>
          <w:rFonts w:hint="eastAsia"/>
          <w:color w:val="000000" w:themeColor="text1"/>
          <w:spacing w:val="2"/>
          <w:szCs w:val="32"/>
        </w:rPr>
        <w:t>3家。三年内，引进科技人才项目100个，新建科技企业孵化器、加速器、产业园等创新载体5家；每年完成技术合同成交额50亿元。</w:t>
      </w:r>
    </w:p>
    <w:p>
      <w:pPr>
        <w:widowControl w:val="0"/>
        <w:ind w:firstLine="632" w:firstLineChars="200"/>
        <w:rPr>
          <w:rStyle w:val="10"/>
          <w:rFonts w:eastAsia="方正黑体_GBK"/>
          <w:color w:val="000000" w:themeColor="text1"/>
          <w:szCs w:val="32"/>
        </w:rPr>
      </w:pPr>
      <w:r>
        <w:rPr>
          <w:rStyle w:val="10"/>
          <w:rFonts w:hint="eastAsia" w:eastAsia="方正黑体_GBK"/>
          <w:color w:val="000000" w:themeColor="text1"/>
          <w:szCs w:val="32"/>
        </w:rPr>
        <w:t>三、重点任务</w:t>
      </w:r>
    </w:p>
    <w:p>
      <w:pPr>
        <w:widowControl w:val="0"/>
        <w:ind w:firstLine="632" w:firstLineChars="200"/>
        <w:rPr>
          <w:rStyle w:val="10"/>
          <w:color w:val="000000" w:themeColor="text1"/>
          <w:szCs w:val="32"/>
        </w:rPr>
      </w:pPr>
      <w:r>
        <w:rPr>
          <w:rStyle w:val="10"/>
          <w:rFonts w:hint="eastAsia"/>
          <w:color w:val="000000" w:themeColor="text1"/>
          <w:szCs w:val="32"/>
        </w:rPr>
        <w:t>全面落实新发展理念，实施六大行动，促进动能转换，支撑和引领经济高质量发展。</w:t>
      </w:r>
    </w:p>
    <w:p>
      <w:pPr>
        <w:widowControl w:val="0"/>
        <w:ind w:firstLine="632" w:firstLineChars="200"/>
        <w:rPr>
          <w:rStyle w:val="10"/>
          <w:rFonts w:eastAsia="方正楷体_GBK"/>
          <w:b/>
          <w:color w:val="000000" w:themeColor="text1"/>
          <w:szCs w:val="32"/>
        </w:rPr>
      </w:pPr>
      <w:r>
        <w:rPr>
          <w:rStyle w:val="10"/>
          <w:rFonts w:hint="eastAsia" w:eastAsia="方正楷体_GBK"/>
          <w:b/>
          <w:color w:val="000000" w:themeColor="text1"/>
          <w:szCs w:val="32"/>
        </w:rPr>
        <w:t>（一）实施制造业转型升级行动，创造实体经济新优势</w:t>
      </w:r>
    </w:p>
    <w:p>
      <w:pPr>
        <w:widowControl w:val="0"/>
        <w:ind w:firstLine="640" w:firstLineChars="200"/>
        <w:rPr>
          <w:rStyle w:val="10"/>
          <w:rFonts w:eastAsia="方正楷体_GBK"/>
          <w:color w:val="000000" w:themeColor="text1"/>
          <w:spacing w:val="2"/>
          <w:szCs w:val="32"/>
        </w:rPr>
      </w:pPr>
      <w:r>
        <w:rPr>
          <w:rStyle w:val="10"/>
          <w:rFonts w:hint="eastAsia" w:eastAsia="方正楷体_GBK"/>
          <w:color w:val="000000" w:themeColor="text1"/>
          <w:spacing w:val="2"/>
          <w:szCs w:val="32"/>
        </w:rPr>
        <w:t>1．以核心技术提升主导产业。</w:t>
      </w:r>
      <w:r>
        <w:rPr>
          <w:rStyle w:val="10"/>
          <w:rFonts w:hint="eastAsia"/>
          <w:color w:val="000000" w:themeColor="text1"/>
          <w:spacing w:val="2"/>
          <w:szCs w:val="32"/>
        </w:rPr>
        <w:t>增强规划引领功能，放大主导产业优势，深入完善特钢新材料、石化新材料、纺织服装、车船及装备制造、新能源、生物医药、新一代信息技术等1000亿级、500亿级产业的规划。以数字化、网络化、智能化、绿色化为提升主导产业竞争力的技术基点，着力关键核心技术攻坚研发。坚持技术创新和产业链条紧密衔接，贴近主导产业需求，加大尖端人才引进，加速成果转移转化，构建重大科技成果转化项目群。围绕主导产业方向，建设具备科技研究、产业孵化、生产制造、检测服务、人才和资本支撑能力的产业公地，打造具有较强竞争力的先进制造业集群。扩大投资与优化结构并重，引导资金投入主导产业，促进高新技术产业、高技术制造业总量扩大和质量提升，提高主导产业的创新、发展能力和综合竞争力。到2022年，战略性新兴产业产值占规模以上工业产值的比重达30%，高新技术产业产值占规模以上工业产值的比重达40%。</w:t>
      </w:r>
      <w:r>
        <w:rPr>
          <w:rStyle w:val="10"/>
          <w:rFonts w:hint="eastAsia" w:eastAsia="方正楷体_GBK"/>
          <w:color w:val="000000" w:themeColor="text1"/>
          <w:spacing w:val="2"/>
          <w:szCs w:val="32"/>
        </w:rPr>
        <w:t>（责任单位：市工信局、市发改委、市科技局、市市场监管局，各镇街园区）</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2．以成果转化支撑新兴产业。</w:t>
      </w:r>
      <w:r>
        <w:rPr>
          <w:rStyle w:val="10"/>
          <w:rFonts w:hint="eastAsia"/>
          <w:color w:val="000000" w:themeColor="text1"/>
          <w:szCs w:val="32"/>
        </w:rPr>
        <w:t>编制战略性新兴产业规划，引领项目招引和产业布局。提升产业素质，提高创新浓度，持续优化产业结构，营造重点战略性新兴产业良好増势。抢先布局未来产业，在5G通信、生物技术、能源储存、大数据决策、人工智能等前沿技术领域力争形成数字经济、生物经济、绿色经济、体验经济等先行优势。掌握运用关键技术，全面梳理未来产业和产业前沿领域的创新技术，本着有限目标、重点突破的原则，滚动实施一批重点科技研发计划项目，引导企业突破一批产业前瞻性关键技术。增强我市产业对境外资本的吸引力，围绕新材料、新一代信息技术、新能源等科技含量高、创新能力强的战略性新兴产业领域，积极招引创新型企业、创业投资机构。坚持公平公正，扩大开放创新，推动生产要素合理配置，促进各类投资包容共生，合力打造“先进制造业第一县”。到2022年，全市高技术制造业投资占工业投资比重达30%，战略性新兴产业利用外资占比保持在67.2%。</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发改委、</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招商局、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商务局、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市场监管局，各镇街园区）</w:t>
      </w:r>
    </w:p>
    <w:p>
      <w:pPr>
        <w:widowControl w:val="0"/>
        <w:ind w:firstLine="640" w:firstLineChars="200"/>
        <w:rPr>
          <w:rStyle w:val="10"/>
          <w:color w:val="000000" w:themeColor="text1"/>
          <w:spacing w:val="2"/>
          <w:szCs w:val="32"/>
        </w:rPr>
      </w:pPr>
      <w:r>
        <w:rPr>
          <w:rStyle w:val="10"/>
          <w:rFonts w:hint="eastAsia" w:eastAsia="方正楷体_GBK"/>
          <w:color w:val="000000" w:themeColor="text1"/>
          <w:spacing w:val="2"/>
          <w:szCs w:val="32"/>
        </w:rPr>
        <w:t>3．以双招双引壮大优势产业。</w:t>
      </w:r>
      <w:r>
        <w:rPr>
          <w:rStyle w:val="10"/>
          <w:rFonts w:hint="eastAsia"/>
          <w:color w:val="000000" w:themeColor="text1"/>
          <w:spacing w:val="2"/>
          <w:szCs w:val="32"/>
        </w:rPr>
        <w:t>发挥比较优势，争抢优质项目，完善产业链条，增强利用外资的技术溢出效应和产业升级效应，吸收国际投资搭载的技术创新能力、先进管理理念，逐步向产业链价值链高端发展。招商引资、招才引智一体推进，引资、引智、引技并举，注重产业、科技和人才项目集成招商。以市场导向为原则，统筹技术、人才、产业、政策、资本等要素和营商环境、配套、承接载体等支撑能力，引进海外重大项目、先进技术、尖端人才和研发机构。围绕国际国内产业战略变化，紧盯产业转移趋势，锁住重点，强化特色，推出产业链招商项目（2020</w:t>
      </w:r>
      <w:r>
        <w:rPr>
          <w:rFonts w:hint="eastAsia" w:hAnsiTheme="minorEastAsia" w:eastAsiaTheme="minorEastAsia"/>
          <w:spacing w:val="2"/>
        </w:rPr>
        <w:t>－</w:t>
      </w:r>
      <w:r>
        <w:rPr>
          <w:rStyle w:val="10"/>
          <w:rFonts w:hint="eastAsia"/>
          <w:color w:val="000000" w:themeColor="text1"/>
          <w:spacing w:val="2"/>
          <w:szCs w:val="32"/>
        </w:rPr>
        <w:t>2022），加速现有产业链化延伸和补缺，提升产业集聚度。瞄准全球生产体系高端，以龙头企业、配套企业相辅相成、利益均享为原则，围绕高端制造、特钢材料运用、精密和超精密加工、新一代信息技术、纺织服装、石化新材料等领域，引进技术、知识密集，科技含量高、附加值高，产业控制力强、带动能力强的产业项目和企业，步入强链补链“快车道”。继续做好企业增资扩股、技改扩能、上市融资的同时，注重新项目的招引落户，发挥重点重大项目作为转型升级“转向器”、创新发展“推动器”的作用，各类资源同频共振竞相发展。2020年，在签约新项目上取得突破，新签10亿元以上产业项目30个、30亿元以上项目6个、50亿元以上项目4个、超百亿元项目1个。</w:t>
      </w:r>
      <w:r>
        <w:rPr>
          <w:rStyle w:val="10"/>
          <w:rFonts w:hint="eastAsia" w:eastAsia="方正楷体_GBK"/>
          <w:color w:val="000000" w:themeColor="text1"/>
          <w:spacing w:val="2"/>
          <w:szCs w:val="32"/>
        </w:rPr>
        <w:t>（责任单位：市招商局、市商务局、市发改委、市委组织部、市科技局，各镇街园区）</w:t>
      </w:r>
    </w:p>
    <w:p>
      <w:pPr>
        <w:widowControl w:val="0"/>
        <w:ind w:firstLine="624" w:firstLineChars="200"/>
        <w:rPr>
          <w:rStyle w:val="10"/>
          <w:color w:val="000000" w:themeColor="text1"/>
          <w:spacing w:val="-2"/>
          <w:szCs w:val="32"/>
        </w:rPr>
      </w:pPr>
      <w:r>
        <w:rPr>
          <w:rStyle w:val="10"/>
          <w:rFonts w:hint="eastAsia" w:eastAsia="方正楷体_GBK"/>
          <w:color w:val="000000" w:themeColor="text1"/>
          <w:spacing w:val="-2"/>
          <w:szCs w:val="32"/>
        </w:rPr>
        <w:t>4．以高新技术改造传统产业。</w:t>
      </w:r>
      <w:r>
        <w:rPr>
          <w:rStyle w:val="10"/>
          <w:rFonts w:hint="eastAsia"/>
          <w:color w:val="000000" w:themeColor="text1"/>
          <w:spacing w:val="-2"/>
          <w:szCs w:val="32"/>
        </w:rPr>
        <w:t>优化投资结构，狠抓有效投入，以增量引领、带动存量提升，促进传统产业与高新技术产业协调发展。加快传统产业吸纳高新技术，鼓励采用国际标准和国外先进标准，推进企业产品标准化。推动信息化和工业化深入融合，优化传统企业生产、决策和管理流程，提高创新力，以信息化驱动现代化。发挥龙头企业示范作用，支持传统企业以高新技术企业为目标，成为创新主体、研发主体，通过技术创新、技术转移等途径改良产品、改进工艺、提高质量、降低成本，推动传统产业向中高端迈进。科技赋能，加强以传统产业升级为使命的相关关键技术攻关，形成一批具有自主知识产权的新技术、新产品。加快传统产业生产设备智能化改造，在相关领域开展智能制造示范，强化智能制造服务支撑体系，推动企业制造装备升级。大力发展与传统产业紧密相关的研发设计、检验检测等生产性服务业，促进先进制造业与现代服务业深度融合，帮助传统产业开拓新业态，激发新需求。利用生命科学推动传统农业向现代高效农业转变，努力提高农产品的产量和质量。加快推进农业新技术示范园区、星创天地、农村服务超市等农业创新载体建设，加快农业物联网、农产品电子商务、农产品精深加工等智慧农业技术的开发和应用推广。</w:t>
      </w:r>
      <w:r>
        <w:rPr>
          <w:rFonts w:eastAsia="方正仿宋_GBK"/>
          <w:color w:val="000000" w:themeColor="text1"/>
          <w:spacing w:val="-2"/>
          <w:szCs w:val="32"/>
        </w:rPr>
        <w:t>到2022年，实施智能化建设重点示范项目</w:t>
      </w:r>
      <w:r>
        <w:rPr>
          <w:rFonts w:hint="eastAsia" w:eastAsia="方正仿宋_GBK"/>
          <w:color w:val="000000" w:themeColor="text1"/>
          <w:spacing w:val="-2"/>
          <w:szCs w:val="32"/>
        </w:rPr>
        <w:t>50</w:t>
      </w:r>
      <w:r>
        <w:rPr>
          <w:rFonts w:eastAsia="方正仿宋_GBK"/>
          <w:color w:val="000000" w:themeColor="text1"/>
          <w:spacing w:val="-2"/>
          <w:szCs w:val="32"/>
        </w:rPr>
        <w:t>个，新增</w:t>
      </w:r>
      <w:r>
        <w:rPr>
          <w:rFonts w:hint="eastAsia" w:eastAsia="方正仿宋_GBK"/>
          <w:color w:val="000000" w:themeColor="text1"/>
          <w:spacing w:val="-2"/>
          <w:szCs w:val="32"/>
        </w:rPr>
        <w:t>国家级智能制造综合标准化与新模式应用项目1个、</w:t>
      </w:r>
      <w:r>
        <w:rPr>
          <w:rFonts w:eastAsia="方正仿宋_GBK"/>
          <w:color w:val="000000" w:themeColor="text1"/>
          <w:spacing w:val="-2"/>
          <w:szCs w:val="32"/>
        </w:rPr>
        <w:t>省级示范智能车间10家、省级智能示范工厂</w:t>
      </w:r>
      <w:r>
        <w:rPr>
          <w:rFonts w:hint="eastAsia" w:eastAsia="方正仿宋_GBK"/>
          <w:color w:val="000000" w:themeColor="text1"/>
          <w:spacing w:val="-2"/>
          <w:szCs w:val="32"/>
        </w:rPr>
        <w:t>3</w:t>
      </w:r>
      <w:r>
        <w:rPr>
          <w:rFonts w:eastAsia="方正仿宋_GBK"/>
          <w:color w:val="000000" w:themeColor="text1"/>
          <w:spacing w:val="-2"/>
          <w:szCs w:val="32"/>
        </w:rPr>
        <w:t>家。</w:t>
      </w:r>
      <w:r>
        <w:rPr>
          <w:rStyle w:val="10"/>
          <w:rFonts w:hint="eastAsia" w:eastAsia="方正楷体_GBK"/>
          <w:color w:val="000000" w:themeColor="text1"/>
          <w:spacing w:val="-2"/>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pacing w:val="-2"/>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pacing w:val="-2"/>
          <w:szCs w:val="32"/>
        </w:rPr>
        <w:t>发改委、</w:t>
      </w:r>
      <w:r>
        <w:rPr>
          <w:rStyle w:val="10"/>
          <w:rFonts w:hint="eastAsia" w:eastAsia="方正楷体_GBK"/>
          <w:color w:val="000000" w:themeColor="text1"/>
          <w:spacing w:val="2"/>
          <w:szCs w:val="32"/>
        </w:rPr>
        <w:t>市</w:t>
      </w:r>
      <w:r>
        <w:rPr>
          <w:rStyle w:val="10"/>
          <w:rFonts w:hint="eastAsia" w:eastAsia="方正楷体_GBK"/>
          <w:color w:val="000000" w:themeColor="text1"/>
          <w:spacing w:val="-2"/>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pacing w:val="-2"/>
          <w:szCs w:val="32"/>
        </w:rPr>
        <w:t>市场监管局、</w:t>
      </w:r>
      <w:r>
        <w:rPr>
          <w:rStyle w:val="10"/>
          <w:rFonts w:hint="eastAsia" w:eastAsia="方正楷体_GBK"/>
          <w:color w:val="000000" w:themeColor="text1"/>
          <w:spacing w:val="2"/>
          <w:szCs w:val="32"/>
        </w:rPr>
        <w:t>市</w:t>
      </w:r>
      <w:r>
        <w:rPr>
          <w:rStyle w:val="10"/>
          <w:rFonts w:hint="eastAsia" w:eastAsia="方正楷体_GBK"/>
          <w:color w:val="000000" w:themeColor="text1"/>
          <w:spacing w:val="-2"/>
          <w:szCs w:val="32"/>
        </w:rPr>
        <w:t>商务局、</w:t>
      </w:r>
      <w:r>
        <w:rPr>
          <w:rStyle w:val="10"/>
          <w:rFonts w:hint="eastAsia" w:eastAsia="方正楷体_GBK"/>
          <w:color w:val="000000" w:themeColor="text1"/>
          <w:spacing w:val="2"/>
          <w:szCs w:val="32"/>
        </w:rPr>
        <w:t>市</w:t>
      </w:r>
      <w:r>
        <w:rPr>
          <w:rStyle w:val="10"/>
          <w:rFonts w:hint="eastAsia" w:eastAsia="方正楷体_GBK"/>
          <w:color w:val="000000" w:themeColor="text1"/>
          <w:spacing w:val="-2"/>
          <w:szCs w:val="32"/>
        </w:rPr>
        <w:t>农业农村局）</w:t>
      </w:r>
    </w:p>
    <w:p>
      <w:pPr>
        <w:widowControl w:val="0"/>
        <w:ind w:firstLine="632" w:firstLineChars="200"/>
        <w:rPr>
          <w:rStyle w:val="10"/>
          <w:rFonts w:eastAsia="方正楷体_GBK"/>
          <w:b/>
          <w:color w:val="000000" w:themeColor="text1"/>
          <w:spacing w:val="-8"/>
          <w:szCs w:val="32"/>
        </w:rPr>
      </w:pPr>
      <w:r>
        <w:rPr>
          <w:rStyle w:val="10"/>
          <w:rFonts w:hint="eastAsia" w:eastAsia="方正楷体_GBK"/>
          <w:b/>
          <w:color w:val="000000" w:themeColor="text1"/>
          <w:szCs w:val="32"/>
        </w:rPr>
        <w:t>（二</w:t>
      </w:r>
      <w:r>
        <w:rPr>
          <w:rStyle w:val="10"/>
          <w:rFonts w:hint="eastAsia" w:eastAsia="方正楷体_GBK"/>
          <w:b/>
          <w:color w:val="000000" w:themeColor="text1"/>
          <w:spacing w:val="-8"/>
          <w:szCs w:val="32"/>
        </w:rPr>
        <w:t>）实施创新主体扩容行动，构建创新型企业新梯队</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5．打好高企引育攻坚战。</w:t>
      </w:r>
      <w:r>
        <w:rPr>
          <w:rStyle w:val="10"/>
          <w:rFonts w:hint="eastAsia"/>
          <w:color w:val="000000" w:themeColor="text1"/>
          <w:szCs w:val="32"/>
        </w:rPr>
        <w:t>落实创新型企业倍增计划（2018</w:t>
      </w:r>
      <w:r>
        <w:rPr>
          <w:rFonts w:hint="eastAsia" w:hAnsiTheme="minorEastAsia" w:eastAsiaTheme="minorEastAsia"/>
          <w:spacing w:val="3"/>
        </w:rPr>
        <w:t>－</w:t>
      </w:r>
      <w:r>
        <w:rPr>
          <w:rStyle w:val="10"/>
          <w:rFonts w:hint="eastAsia"/>
          <w:color w:val="000000" w:themeColor="text1"/>
          <w:szCs w:val="32"/>
        </w:rPr>
        <w:t>2022年），培育以高新技术企业、“准独角兽企业”、“瞪羚企业”、“雏鹰企业”为引领的大中小企业梯次并进的创新矩阵。突出抓好高新技术企业培育工作，强化高新技术企业申报、认定工作的前瞻性、计划性、系统性研究，建立起认定一批、申报一批、储备一批、引育一批的良性成长机制。认真落实创新型企业税收优惠政策，扩大研发经费奖补惠及面，在政策扶持、科技金融、科技项目、创新典型培育、先进褒扬激励等方面进一步向“高新技术企业”聚焦。对标最佳服务、最优生态，负责高新技术企业认定管理的三个部门协同发力，加强对企业专利、研发费归集等业务的指导服务，建立会商机制，对列入高新技术企业培育库的企业开辟“绿色通道”，加快申报进程。坚持内部培育、外部招引并举，以国家级、省级科技企业孵化器、加速器、产业园和有关镇街为依托，每年招引一批科创载体项目。到2022年，全市高新技术企业数净增500家。</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财政局、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税务局）</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6．壮大创新型企业队伍。</w:t>
      </w:r>
      <w:r>
        <w:rPr>
          <w:rStyle w:val="10"/>
          <w:rFonts w:hint="eastAsia"/>
          <w:color w:val="000000" w:themeColor="text1"/>
          <w:szCs w:val="32"/>
        </w:rPr>
        <w:t>深入实施“小升高”计划，强化科技型中小企业评价工作，建立科技型企业税收、营业额、专利、研发投入、研发人员数据库，全面摸排挖掘优质企业资源，扎实推进“三类”企业入库培育工作，通过靶向培育、精准扶持，加速打造一批具有行业引领力、国际竞争力的创新型龙头企业。瞄准世界主要科技创新强国、国内外科创中心城市，积极招引科创企业、科技项目和创新团队。三年内，每年引进科技人才项目30个，其中30%为海外高层次人才项目。到2022年，培育20家企业成为主导产品市场占有率在国内位居前列的省级专精特新小巨人企业，争创2家国家制造业“单项冠军”和专精特新“小巨人”企业；培育科技型中小企业1200家，雏鹰企业600家、瞪羚企业200家、准独角兽企业30家。</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招商局、</w:t>
      </w:r>
      <w:r>
        <w:rPr>
          <w:rStyle w:val="10"/>
          <w:rFonts w:hint="eastAsia" w:eastAsia="方正楷体_GBK"/>
          <w:color w:val="000000" w:themeColor="text1"/>
          <w:spacing w:val="2"/>
          <w:szCs w:val="32"/>
        </w:rPr>
        <w:t>市委</w:t>
      </w:r>
      <w:r>
        <w:rPr>
          <w:rStyle w:val="10"/>
          <w:rFonts w:hint="eastAsia" w:eastAsia="方正楷体_GBK"/>
          <w:color w:val="000000" w:themeColor="text1"/>
          <w:szCs w:val="32"/>
        </w:rPr>
        <w:t>组织部，各镇街园区）</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7．打造企业创新强磁场。</w:t>
      </w:r>
      <w:r>
        <w:rPr>
          <w:rStyle w:val="10"/>
          <w:rFonts w:hint="eastAsia"/>
          <w:color w:val="000000" w:themeColor="text1"/>
          <w:szCs w:val="32"/>
        </w:rPr>
        <w:t>鼓励企业牵头实施重大科技项目，联合中小企业共享平台资源优势，开展技术攻关，形成更多原创性技术和标志性成果，打造一批高价值专利组合和知名品牌。深度融入长三角区域一体化创新网络，支持企业以“研发中心+制造基地”模式，在上海等城市设立研发中心，集聚高端创新资源。加快建设高水平企业研发机构，支持境内外企业联合知名高校院所在我市共建企业技术中心、院士工作站、博士后工作站、联合创新中心、新型研发机构等创新平台。推动企业参与融入国家“一带一路”科技创新合作行动计划，鼓励并支持企业加强与国际一流研发机构开展研发合作。支持有条件的企业到境外设立、并购研发机构，“走出去”引进国际先进技术等创新资源。三年内，每年新建省级以上企业研发机构12家，市级企业研发机构80家。</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r>
        <w:rPr>
          <w:rStyle w:val="10"/>
          <w:rFonts w:hint="eastAsia" w:eastAsia="方正楷体_GBK"/>
          <w:color w:val="000000" w:themeColor="text1"/>
          <w:spacing w:val="2"/>
          <w:szCs w:val="32"/>
        </w:rPr>
        <w:t>市委</w:t>
      </w:r>
      <w:r>
        <w:rPr>
          <w:rStyle w:val="10"/>
          <w:rFonts w:hint="eastAsia" w:eastAsia="方正楷体_GBK"/>
          <w:color w:val="000000" w:themeColor="text1"/>
          <w:szCs w:val="32"/>
        </w:rPr>
        <w:t>组织部、</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发改委、</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人社局、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市场监管局，各镇街园区）</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8．构建协同创新新格局。</w:t>
      </w:r>
      <w:r>
        <w:rPr>
          <w:rStyle w:val="10"/>
          <w:rFonts w:hint="eastAsia"/>
          <w:color w:val="000000" w:themeColor="text1"/>
          <w:szCs w:val="32"/>
        </w:rPr>
        <w:t>“自主化、引进来、走出去”相结合，增强自主创新，强化开放创新，加强协同创新，让更多的创新资源、高端人才为我所用。抓住长三角地区建设世界级制造业集群的重大机遇，主动对接上海高校院所、科研机构和企业创新主体，积极融入区域创新共同体，以产业创新一体化激活发展新动能。认真学习借鉴上海、苏州、杭州等地先进理念和发展经验，全方位开展项目招引、要素对接、科技合作等交流活动。招商环节前移，在北京、上海、深圳等科创中心拓展离岸研发孵化基地，找项目、孵项目、招项目，实现“异地研发、远程孵化，全球要素、本地配置，项目成果、江阴落户”，补齐我市科教资源不足、研发能力不强、创新要素不全的“短板”。坚持“以市场为导向、企业为主体、政府作引导、院校为依托、各方要素联动”的政产学研合作原则，积极实施名校名院名所名企“四名工程”，深入推进政产学研协同创新体系建设。依托南京理工大学江阴校区的科研优势、专业优势，拓展产教合作平台，为创新型企业快速成长提供肥沃土壤，让更多创新种子破土发芽。探索实施“校地对接行动计划”（2020</w:t>
      </w:r>
      <w:r>
        <w:rPr>
          <w:rFonts w:hint="eastAsia" w:hAnsiTheme="minorEastAsia" w:eastAsiaTheme="minorEastAsia"/>
          <w:spacing w:val="3"/>
        </w:rPr>
        <w:t>－</w:t>
      </w:r>
      <w:r>
        <w:rPr>
          <w:rStyle w:val="10"/>
          <w:rFonts w:hint="eastAsia"/>
          <w:color w:val="000000" w:themeColor="text1"/>
          <w:szCs w:val="32"/>
        </w:rPr>
        <w:t>2022年），根据我市产业科创需求，三年内选择100名科技人才专员，定向对接全国100所重点高校院所，深化密切政产学研合作关系。实施金桥工程、企会协作等科技服务活动项目30项。深入实施“江阴市产学研双百行动计划”，推动百家企业进高校、百项成果进企业，每年实施重点产学研合作项目60项。</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发改委、</w:t>
      </w:r>
      <w:r>
        <w:rPr>
          <w:rStyle w:val="10"/>
          <w:rFonts w:hint="eastAsia" w:eastAsia="方正楷体_GBK"/>
          <w:color w:val="000000" w:themeColor="text1"/>
          <w:spacing w:val="2"/>
          <w:szCs w:val="32"/>
        </w:rPr>
        <w:t>市委</w:t>
      </w:r>
      <w:r>
        <w:rPr>
          <w:rStyle w:val="10"/>
          <w:rFonts w:hint="eastAsia" w:eastAsia="方正楷体_GBK"/>
          <w:color w:val="000000" w:themeColor="text1"/>
          <w:szCs w:val="32"/>
        </w:rPr>
        <w:t>组织部、</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科协、</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工商联，各镇街园区）</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9．增强标准质量品牌优势。</w:t>
      </w:r>
      <w:r>
        <w:rPr>
          <w:rStyle w:val="10"/>
          <w:rFonts w:hint="eastAsia"/>
          <w:color w:val="000000" w:themeColor="text1"/>
          <w:szCs w:val="32"/>
        </w:rPr>
        <w:t>健全技术创新、专利保护与标准化互动支撑机制，大力实施标准、质量、品牌“三位一体”工程。鼓励并支持龙头企业参与国际标准、国内标准和行业标准的制（修）订，掌握产业技术标准话语权。支持企业做强现有知名品牌，培育自主创新品牌，拓展国际品牌，提升江阴制造的知名度和影响力。到2022年，制（修）订国内外标准累计超过528项，建成国家、省级标准化专业技术组织15个以上。</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市场监管局、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商务局，各镇街园区）</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10．强化知识产权创造、运用和保护。</w:t>
      </w:r>
      <w:r>
        <w:rPr>
          <w:rStyle w:val="10"/>
          <w:rFonts w:hint="eastAsia"/>
          <w:bCs/>
          <w:iCs/>
          <w:color w:val="000000" w:themeColor="text1"/>
          <w:szCs w:val="32"/>
        </w:rPr>
        <w:t>积极实施知识产权强市战略，围绕我市重点发展的战略性新兴产业和主导优势产业，开展知识产权布局、分析预警、导航工作，推动知识产权从数量驱动型向质量效益型转变。完善知识产权公共服务平台建设，推动服务机构高端化、规模化、多元化、集聚化发展。深入贯彻落实党中央、国务院关于推进知识产权“严保护、大保护、快保护、同保护”的各项决策部署，完善多方联动机制，实行严格的知识产权保护制度，形成公平竞争的市场秩序，打造法治化的创新环境。到2022年，力争万人有效发明专利拥有量达25件。</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市场监管局、市法院）</w:t>
      </w:r>
    </w:p>
    <w:p>
      <w:pPr>
        <w:widowControl w:val="0"/>
        <w:ind w:firstLine="632" w:firstLineChars="200"/>
        <w:rPr>
          <w:rStyle w:val="10"/>
          <w:rFonts w:eastAsia="方正楷体_GBK"/>
          <w:b/>
          <w:color w:val="000000" w:themeColor="text1"/>
          <w:szCs w:val="32"/>
        </w:rPr>
      </w:pPr>
      <w:r>
        <w:rPr>
          <w:rStyle w:val="10"/>
          <w:rFonts w:hint="eastAsia" w:eastAsia="方正楷体_GBK"/>
          <w:b/>
          <w:color w:val="000000" w:themeColor="text1"/>
          <w:szCs w:val="32"/>
        </w:rPr>
        <w:t>（三）实施重点平台优化行动，打造创新驱动新引擎</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11．高标准推进苏南自主创新示范区核心区建设，强化高新区创新发展引领地位。</w:t>
      </w:r>
      <w:r>
        <w:rPr>
          <w:rStyle w:val="10"/>
          <w:rFonts w:hint="eastAsia"/>
          <w:bCs/>
          <w:iCs/>
          <w:color w:val="000000" w:themeColor="text1"/>
          <w:szCs w:val="32"/>
        </w:rPr>
        <w:t>践行新发展理念，领跑高质量发展，坚守初衷使命，发展高新产业，加快高质量产业建设、高效益科技创新、高层次对外开放、高水平产城融合，全力打造产业层次高、发展动能新、改革开放水平高、生态建设成效新、民生福祉高、园区形象新的高新产业集聚区、创新驱动示范区、美丽和谐幸福区。做优优势特色产业，做强支撑产业，做实战略产业，做大现代服务业，实施高端产业培育工程、创新型企业倍增工程、创新载体升级工程、一流人才集聚工程和创新生态优化工程。贯彻落实高新技术产业发展战略部署，不断优化有利于创新发展的环境，大力引育企业创新主体，引领我市战略性新兴产业加快发展。加大创新载体和研发平台投入，提升科创项目承接功能，启动建设滨江科技创新走廊，完善科技创新创业生态链条，改善从服务初创企业到培育新兴产业源头的全过程服务。到2022年，高新区</w:t>
      </w:r>
      <w:r>
        <w:rPr>
          <w:rStyle w:val="10"/>
          <w:rFonts w:hint="eastAsia"/>
          <w:color w:val="000000" w:themeColor="text1"/>
          <w:spacing w:val="4"/>
          <w:szCs w:val="32"/>
        </w:rPr>
        <w:t>全社会研发经费支出占GDP比重达到5.5%以上</w:t>
      </w:r>
      <w:r>
        <w:rPr>
          <w:rStyle w:val="10"/>
          <w:rFonts w:hint="eastAsia"/>
          <w:bCs/>
          <w:iCs/>
          <w:color w:val="000000" w:themeColor="text1"/>
          <w:szCs w:val="32"/>
        </w:rPr>
        <w:t>，</w:t>
      </w:r>
      <w:r>
        <w:rPr>
          <w:rStyle w:val="10"/>
          <w:rFonts w:hint="eastAsia"/>
          <w:color w:val="000000" w:themeColor="text1"/>
          <w:spacing w:val="4"/>
          <w:szCs w:val="32"/>
        </w:rPr>
        <w:t>高新技术产业产值占规模以上工业总产值的比重达到55%以上，万人有效发明专利拥有量达到70件以上；有效高新技术企业数量超过250家，科技型中小企业评价入库超500家；培育无锡市雏鹰企业150家、瞪羚企业60家、准独角兽企业10家；新建各类科技创新创业载体10万平方米。三年内，整体竞争力显著提升，在全国高新区排名每年上升5位，</w:t>
      </w:r>
      <w:r>
        <w:rPr>
          <w:rStyle w:val="10"/>
          <w:rFonts w:hint="eastAsia"/>
          <w:bCs/>
          <w:iCs/>
          <w:color w:val="000000" w:themeColor="text1"/>
          <w:szCs w:val="32"/>
        </w:rPr>
        <w:t>全国高新区年度综合评价排名进入前50名。</w:t>
      </w:r>
      <w:r>
        <w:rPr>
          <w:rStyle w:val="10"/>
          <w:rFonts w:hint="eastAsia" w:eastAsia="方正楷体_GBK"/>
          <w:color w:val="000000" w:themeColor="text1"/>
          <w:szCs w:val="32"/>
        </w:rPr>
        <w:t>（责任单位：高新区、</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发改委、</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商务局、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招商局）</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12．以国家级经开区为目标，全面提升临港开发区创新能级。</w:t>
      </w:r>
      <w:r>
        <w:rPr>
          <w:rStyle w:val="10"/>
          <w:rFonts w:hint="eastAsia"/>
          <w:bCs/>
          <w:iCs/>
          <w:color w:val="000000" w:themeColor="text1"/>
          <w:szCs w:val="32"/>
        </w:rPr>
        <w:t>发挥产业集群特色优势，打造具有临港特色的产业链创新链。通过打好加快产业技术创新、培育科技创新主体、完善平台载体建设、强化科创人才引育、优化创新发展环境五大攻坚战，持续提升产业发展水平。</w:t>
      </w:r>
      <w:r>
        <w:rPr>
          <w:rFonts w:hint="eastAsia" w:eastAsia="方正仿宋_GBK"/>
          <w:color w:val="000000" w:themeColor="text1"/>
          <w:szCs w:val="32"/>
        </w:rPr>
        <w:t>依托石化新材料、金属新材料、新能源、机械装备产业园和国家软件园、临港科创园，引进一批科技前沿、产业高端、带动力强的重大科技成果转化项目。</w:t>
      </w:r>
      <w:r>
        <w:rPr>
          <w:rStyle w:val="10"/>
          <w:rFonts w:hint="eastAsia"/>
          <w:bCs/>
          <w:iCs/>
          <w:color w:val="000000" w:themeColor="text1"/>
          <w:szCs w:val="32"/>
        </w:rPr>
        <w:t>加快中国工业互联网研究院长三角分院和南京理工大学江阴校区建设，提升创新平台层次。坚持开放引领，创新驱动，围绕五大中心推进综保区建设，培育新业态，集聚新动能，打造“保税特色小镇”。到2022年，全社会研发投入占比达4.4%以上，高新技术产业产值占比达45%以上，</w:t>
      </w:r>
      <w:r>
        <w:rPr>
          <w:rStyle w:val="10"/>
          <w:rFonts w:hint="eastAsia"/>
          <w:color w:val="000000" w:themeColor="text1"/>
          <w:szCs w:val="32"/>
        </w:rPr>
        <w:t>规模以上工业企业的研发机构覆盖率达到85%</w:t>
      </w:r>
      <w:r>
        <w:rPr>
          <w:rStyle w:val="10"/>
          <w:rFonts w:hint="eastAsia"/>
          <w:bCs/>
          <w:iCs/>
          <w:color w:val="000000" w:themeColor="text1"/>
          <w:szCs w:val="32"/>
        </w:rPr>
        <w:t>；有效高新技术企业数量超250家，</w:t>
      </w:r>
      <w:r>
        <w:rPr>
          <w:rStyle w:val="10"/>
          <w:rFonts w:hint="eastAsia"/>
          <w:color w:val="000000" w:themeColor="text1"/>
          <w:szCs w:val="32"/>
        </w:rPr>
        <w:t>科技型中小企业评价入库数超500家，新培育雏鹰企业150家、瞪羚企业60家、准独角兽企业10家；万人有效发明专利拥有量超40件以上；新建聚集孵化科技型创业企业、促进科技成果转移转化、扶持中小型科技企业快速发展壮大的各类科技创新载体18万平方米，累计达到25万平方米。</w:t>
      </w:r>
      <w:r>
        <w:rPr>
          <w:rStyle w:val="10"/>
          <w:rFonts w:hint="eastAsia"/>
          <w:bCs/>
          <w:iCs/>
          <w:color w:val="000000" w:themeColor="text1"/>
          <w:szCs w:val="32"/>
        </w:rPr>
        <w:t>区域创新能力得到显著提升，在国家级、省级经开区排名实现争先进位，三年内，创成国家级经开区。</w:t>
      </w:r>
      <w:r>
        <w:rPr>
          <w:rStyle w:val="10"/>
          <w:rFonts w:hint="eastAsia" w:eastAsia="方正楷体_GBK"/>
          <w:color w:val="000000" w:themeColor="text1"/>
          <w:szCs w:val="32"/>
        </w:rPr>
        <w:t>（责任单位：临港开发区、</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商务局、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发改委、</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交通运输局、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招商局）</w:t>
      </w:r>
    </w:p>
    <w:p>
      <w:pPr>
        <w:widowControl w:val="0"/>
        <w:ind w:firstLine="640" w:firstLineChars="200"/>
        <w:rPr>
          <w:rStyle w:val="10"/>
          <w:rFonts w:eastAsia="方正楷体_GBK"/>
          <w:color w:val="000000" w:themeColor="text1"/>
          <w:spacing w:val="2"/>
          <w:szCs w:val="32"/>
        </w:rPr>
      </w:pPr>
      <w:r>
        <w:rPr>
          <w:rStyle w:val="10"/>
          <w:rFonts w:hint="eastAsia" w:eastAsia="方正楷体_GBK"/>
          <w:color w:val="000000" w:themeColor="text1"/>
          <w:spacing w:val="2"/>
          <w:szCs w:val="32"/>
        </w:rPr>
        <w:t>13．发挥区域叠加优势，创建高质量跨江融合发展实验区。</w:t>
      </w:r>
      <w:r>
        <w:rPr>
          <w:rStyle w:val="10"/>
          <w:rFonts w:hint="eastAsia"/>
          <w:color w:val="000000" w:themeColor="text1"/>
          <w:spacing w:val="2"/>
          <w:szCs w:val="32"/>
        </w:rPr>
        <w:t>大胆探索，</w:t>
      </w:r>
      <w:r>
        <w:rPr>
          <w:rStyle w:val="10"/>
          <w:rFonts w:hint="eastAsia"/>
          <w:bCs/>
          <w:iCs/>
          <w:color w:val="000000" w:themeColor="text1"/>
          <w:spacing w:val="2"/>
          <w:szCs w:val="32"/>
        </w:rPr>
        <w:t>积极争取</w:t>
      </w:r>
      <w:r>
        <w:rPr>
          <w:rStyle w:val="10"/>
          <w:rFonts w:hint="eastAsia"/>
          <w:color w:val="000000" w:themeColor="text1"/>
          <w:spacing w:val="2"/>
          <w:szCs w:val="32"/>
        </w:rPr>
        <w:t>，在</w:t>
      </w:r>
      <w:r>
        <w:rPr>
          <w:rStyle w:val="10"/>
          <w:rFonts w:hint="eastAsia"/>
          <w:bCs/>
          <w:iCs/>
          <w:color w:val="000000" w:themeColor="text1"/>
          <w:spacing w:val="2"/>
          <w:szCs w:val="32"/>
        </w:rPr>
        <w:t>产业导入、</w:t>
      </w:r>
      <w:r>
        <w:rPr>
          <w:rStyle w:val="10"/>
          <w:rFonts w:hint="eastAsia"/>
          <w:color w:val="000000" w:themeColor="text1"/>
          <w:spacing w:val="2"/>
          <w:szCs w:val="32"/>
        </w:rPr>
        <w:t>管理体制、</w:t>
      </w:r>
      <w:r>
        <w:rPr>
          <w:rStyle w:val="10"/>
          <w:rFonts w:hint="eastAsia"/>
          <w:bCs/>
          <w:iCs/>
          <w:color w:val="000000" w:themeColor="text1"/>
          <w:spacing w:val="2"/>
          <w:szCs w:val="32"/>
        </w:rPr>
        <w:t>市场机制、区域联动等方面</w:t>
      </w:r>
      <w:r>
        <w:rPr>
          <w:rStyle w:val="10"/>
          <w:rFonts w:hint="eastAsia"/>
          <w:color w:val="000000" w:themeColor="text1"/>
          <w:spacing w:val="2"/>
          <w:szCs w:val="32"/>
        </w:rPr>
        <w:t>创新思维先行先试，加快推进靖江工业园区联动发展、融合发展、创新发展，力争形成跨江融合发展实验区标志性成果。聚焦特色优势产业，瞄准千亿园区目标，持续打造金属新材料、机械装备、汽车零部件、船舶及配件、高精钢构和现代服务业等六大百亿级产业群。完善基础设施，</w:t>
      </w:r>
      <w:r>
        <w:rPr>
          <w:rStyle w:val="10"/>
          <w:rFonts w:hint="eastAsia"/>
          <w:bCs/>
          <w:iCs/>
          <w:color w:val="000000" w:themeColor="text1"/>
          <w:spacing w:val="2"/>
          <w:szCs w:val="32"/>
        </w:rPr>
        <w:t>提升港口功能，</w:t>
      </w:r>
      <w:r>
        <w:rPr>
          <w:rStyle w:val="10"/>
          <w:rFonts w:hint="eastAsia"/>
          <w:color w:val="000000" w:themeColor="text1"/>
          <w:spacing w:val="2"/>
          <w:szCs w:val="32"/>
        </w:rPr>
        <w:t>加快形成临江先进制造业和现代港口物流业基地。</w:t>
      </w:r>
      <w:r>
        <w:rPr>
          <w:rStyle w:val="10"/>
          <w:rFonts w:hint="eastAsia" w:eastAsia="方正楷体_GBK"/>
          <w:color w:val="000000" w:themeColor="text1"/>
          <w:spacing w:val="2"/>
          <w:szCs w:val="32"/>
        </w:rPr>
        <w:t>（责任部门：靖江园区、市发改委、市商务局、市工信局、市招商局、市科技局）</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14．优化镇街产业空间布局。</w:t>
      </w:r>
      <w:r>
        <w:rPr>
          <w:rStyle w:val="10"/>
          <w:rFonts w:hint="eastAsia"/>
          <w:color w:val="000000" w:themeColor="text1"/>
          <w:szCs w:val="32"/>
        </w:rPr>
        <w:t>加大统筹，完善规划，整合要素，完善工业集中区规划。以园区为载体，以特色产业为抓手，</w:t>
      </w:r>
      <w:r>
        <w:rPr>
          <w:rStyle w:val="10"/>
          <w:rFonts w:hint="eastAsia"/>
          <w:bCs/>
          <w:iCs/>
          <w:color w:val="000000" w:themeColor="text1"/>
          <w:szCs w:val="32"/>
        </w:rPr>
        <w:t>以高新技术企业引育为重点，推动</w:t>
      </w:r>
      <w:r>
        <w:rPr>
          <w:rStyle w:val="10"/>
          <w:rFonts w:hint="eastAsia"/>
          <w:color w:val="000000" w:themeColor="text1"/>
          <w:szCs w:val="32"/>
        </w:rPr>
        <w:t>镇街经济创新发展。结合散乱污企业整治，盘活低效用地资源，实现土地功能转换，推动实体经济空间合理布局。鼓励特色小镇、城市综合体等新型载体开展灵活适用的集成创新和非研发创新，形成一批应用普适技术。到2022年，镇街板块每年净增高新技术企业80家。</w:t>
      </w:r>
      <w:r>
        <w:rPr>
          <w:rStyle w:val="10"/>
          <w:rFonts w:hint="eastAsia" w:eastAsia="方正楷体_GBK"/>
          <w:color w:val="000000" w:themeColor="text1"/>
          <w:szCs w:val="32"/>
        </w:rPr>
        <w:t>（责任单位：各镇街、</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发改委、</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财政局、市自然资源规划局、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招商局、市税务局、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p>
    <w:p>
      <w:pPr>
        <w:widowControl w:val="0"/>
        <w:ind w:firstLine="632" w:firstLineChars="200"/>
        <w:rPr>
          <w:rStyle w:val="10"/>
          <w:rFonts w:eastAsia="方正楷体_GBK"/>
          <w:b/>
          <w:color w:val="000000" w:themeColor="text1"/>
          <w:spacing w:val="-6"/>
          <w:szCs w:val="32"/>
        </w:rPr>
      </w:pPr>
      <w:r>
        <w:rPr>
          <w:rStyle w:val="10"/>
          <w:rFonts w:hint="eastAsia" w:eastAsia="方正楷体_GBK"/>
          <w:b/>
          <w:color w:val="000000" w:themeColor="text1"/>
          <w:szCs w:val="32"/>
        </w:rPr>
        <w:t>（</w:t>
      </w:r>
      <w:r>
        <w:rPr>
          <w:rStyle w:val="10"/>
          <w:rFonts w:hint="eastAsia" w:eastAsia="方正楷体_GBK"/>
          <w:b/>
          <w:color w:val="000000" w:themeColor="text1"/>
          <w:spacing w:val="-6"/>
          <w:szCs w:val="32"/>
        </w:rPr>
        <w:t>四）实施高端人才引育行动，开创创新发展新局面</w:t>
      </w:r>
    </w:p>
    <w:p>
      <w:pPr>
        <w:widowControl w:val="0"/>
        <w:ind w:firstLine="640" w:firstLineChars="200"/>
        <w:rPr>
          <w:rStyle w:val="10"/>
          <w:rFonts w:eastAsia="方正楷体_GBK"/>
          <w:color w:val="000000" w:themeColor="text1"/>
          <w:spacing w:val="2"/>
          <w:szCs w:val="32"/>
        </w:rPr>
      </w:pPr>
      <w:r>
        <w:rPr>
          <w:rStyle w:val="10"/>
          <w:rFonts w:hint="eastAsia" w:eastAsia="方正楷体_GBK"/>
          <w:color w:val="000000" w:themeColor="text1"/>
          <w:spacing w:val="2"/>
          <w:szCs w:val="32"/>
        </w:rPr>
        <w:t>15．</w:t>
      </w:r>
      <w:r>
        <w:rPr>
          <w:rStyle w:val="10"/>
          <w:rFonts w:hint="eastAsia" w:eastAsia="方正楷体_GBK"/>
          <w:color w:val="000000" w:themeColor="text1"/>
          <w:spacing w:val="-2"/>
          <w:szCs w:val="32"/>
        </w:rPr>
        <w:t>集聚高层次创新创业人才。</w:t>
      </w:r>
      <w:r>
        <w:rPr>
          <w:rStyle w:val="10"/>
          <w:rFonts w:hint="eastAsia"/>
          <w:bCs/>
          <w:iCs/>
          <w:color w:val="000000" w:themeColor="text1"/>
          <w:spacing w:val="-2"/>
          <w:szCs w:val="32"/>
        </w:rPr>
        <w:t>以政策引才、项目聚才、环境留才，建设人才齐聚、活力迸发的人才湿地。深入实施暨阳英才计划升级版，设立长三角人才工作站，合理布局，完善海外引才引智工作站。围绕重点产业发展方向及企业发展需求，以一事一议、特事特办方式引进若干具有前瞻性、引领性和跨领域融合能力的创新团队，重点引进和培养一批懂技术、懂市场、具有较强资源整合能力的创新创业领军人才，持续打造“金字塔式”人才梯队。编制主导产业人才地图，加大海外柔性引才用才力度，鼓励创新型企业在全球建设“人才飞地”。支持创新型企业以创新需求为导向，大力引进诺奖得主、“两院”院士、国家特聘专家、省“双创”人才等高端科技人才。深入开展“两院”院士江阴行、海外博士江阴行、教授博士柔性进企业等活动，以兼职兼薪、特聘顾问、成果转化等多种方式吸引高层次人才来我市开展人才智力服务。三年内，每年引育国家特聘专家5人，引育海外高端人才、省“双创计划”、无锡“太湖人才计划”等各类科技人才50人。</w:t>
      </w:r>
      <w:r>
        <w:rPr>
          <w:rStyle w:val="10"/>
          <w:rFonts w:hint="eastAsia" w:eastAsia="方正楷体_GBK"/>
          <w:color w:val="000000" w:themeColor="text1"/>
          <w:spacing w:val="-2"/>
          <w:szCs w:val="32"/>
        </w:rPr>
        <w:t>（责任单位：</w:t>
      </w:r>
      <w:r>
        <w:rPr>
          <w:rStyle w:val="10"/>
          <w:rFonts w:hint="eastAsia" w:eastAsia="方正楷体_GBK"/>
          <w:color w:val="000000" w:themeColor="text1"/>
          <w:spacing w:val="2"/>
          <w:szCs w:val="32"/>
        </w:rPr>
        <w:t>市委</w:t>
      </w:r>
      <w:r>
        <w:rPr>
          <w:rStyle w:val="10"/>
          <w:rFonts w:hint="eastAsia" w:eastAsia="方正楷体_GBK"/>
          <w:color w:val="000000" w:themeColor="text1"/>
          <w:spacing w:val="-2"/>
          <w:szCs w:val="32"/>
        </w:rPr>
        <w:t>组织部、</w:t>
      </w:r>
      <w:r>
        <w:rPr>
          <w:rStyle w:val="10"/>
          <w:rFonts w:hint="eastAsia" w:eastAsia="方正楷体_GBK"/>
          <w:color w:val="000000" w:themeColor="text1"/>
          <w:spacing w:val="2"/>
          <w:szCs w:val="32"/>
        </w:rPr>
        <w:t>市</w:t>
      </w:r>
      <w:r>
        <w:rPr>
          <w:rStyle w:val="10"/>
          <w:rFonts w:hint="eastAsia" w:eastAsia="方正楷体_GBK"/>
          <w:color w:val="000000" w:themeColor="text1"/>
          <w:spacing w:val="-2"/>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pacing w:val="-2"/>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pacing w:val="-2"/>
          <w:szCs w:val="32"/>
        </w:rPr>
        <w:t>人社局）</w:t>
      </w:r>
    </w:p>
    <w:p>
      <w:pPr>
        <w:widowControl w:val="0"/>
        <w:ind w:firstLine="624" w:firstLineChars="200"/>
        <w:rPr>
          <w:rStyle w:val="10"/>
          <w:rFonts w:eastAsia="方正楷体_GBK"/>
          <w:color w:val="000000" w:themeColor="text1"/>
          <w:spacing w:val="-2"/>
          <w:szCs w:val="32"/>
        </w:rPr>
      </w:pPr>
      <w:r>
        <w:rPr>
          <w:rStyle w:val="10"/>
          <w:rFonts w:hint="eastAsia" w:eastAsia="方正楷体_GBK"/>
          <w:color w:val="000000" w:themeColor="text1"/>
          <w:spacing w:val="-2"/>
          <w:szCs w:val="32"/>
        </w:rPr>
        <w:t>16．培育产业经济急需技术人才。</w:t>
      </w:r>
      <w:r>
        <w:rPr>
          <w:rStyle w:val="10"/>
          <w:rFonts w:hint="eastAsia"/>
          <w:bCs/>
          <w:iCs/>
          <w:color w:val="000000" w:themeColor="text1"/>
          <w:spacing w:val="-2"/>
          <w:szCs w:val="32"/>
        </w:rPr>
        <w:t>贴近产业需求，探索建立专业技术人才培养基地，加强企业高技能人才培养。鼓励企业与国内高校院所联合培养技术人才，开展以专业冠名等形式的“订单式”培训，加快推进江阴技师学院建设，</w:t>
      </w:r>
      <w:r>
        <w:rPr>
          <w:rStyle w:val="10"/>
          <w:rFonts w:hint="eastAsia"/>
          <w:color w:val="000000" w:themeColor="text1"/>
          <w:spacing w:val="-2"/>
          <w:szCs w:val="32"/>
        </w:rPr>
        <w:t>打造创新人才培养基地</w:t>
      </w:r>
      <w:r>
        <w:rPr>
          <w:rStyle w:val="10"/>
          <w:rFonts w:hint="eastAsia"/>
          <w:bCs/>
          <w:iCs/>
          <w:color w:val="000000" w:themeColor="text1"/>
          <w:spacing w:val="-2"/>
          <w:szCs w:val="32"/>
        </w:rPr>
        <w:t>。深度融入长三角区域一体化，大力创建长三角区域“双一流”高校学生实习基地。充分发挥南京理工大学江阴校区、职业技术学院等院校作用，建立产教融合、工学一体的技能人才培养模式，为企业提供分层次、菜单式的人才培育服务。</w:t>
      </w:r>
      <w:r>
        <w:rPr>
          <w:rStyle w:val="10"/>
          <w:rFonts w:hint="eastAsia" w:eastAsia="方正楷体_GBK"/>
          <w:color w:val="000000" w:themeColor="text1"/>
          <w:spacing w:val="-2"/>
          <w:szCs w:val="32"/>
        </w:rPr>
        <w:t>（责任单位：市人社局、市委组织部、市工信局、市教育局、市科技局）</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17．造就一批优秀科技型企业家。</w:t>
      </w:r>
      <w:r>
        <w:rPr>
          <w:rStyle w:val="10"/>
          <w:rFonts w:hint="eastAsia"/>
          <w:bCs/>
          <w:iCs/>
          <w:color w:val="000000" w:themeColor="text1"/>
          <w:szCs w:val="32"/>
        </w:rPr>
        <w:t>大力弘扬工匠精神，切实担当创新使命，全面提升企业家科学素养，强化企业对科学知识和技术传播的载体功能，推动创新成果有效转化。启动实施企业家国际化素质提升工程、中生代企业家基业长青工程、新生代企业家“常青藤”工程。对“省科技企业家”开展创新素质和创新能力再提升培训，培育形成一支具有全球视野、战略思维和持续创新能力的科技企业家队伍，引领我市创新型、开放型经济加快发展。优化企业发展环境，弘扬企业家精神。聘请一批优秀科技型企业家担任“江阴市创新发展顾问”。</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市委</w:t>
      </w:r>
      <w:r>
        <w:rPr>
          <w:rStyle w:val="10"/>
          <w:rFonts w:hint="eastAsia" w:eastAsia="方正楷体_GBK"/>
          <w:color w:val="000000" w:themeColor="text1"/>
          <w:szCs w:val="32"/>
        </w:rPr>
        <w:t>组织部、</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工商联、</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p>
    <w:p>
      <w:pPr>
        <w:widowControl w:val="0"/>
        <w:ind w:firstLine="632" w:firstLineChars="200"/>
        <w:rPr>
          <w:rStyle w:val="10"/>
          <w:rFonts w:eastAsia="方正楷体_GBK"/>
          <w:b/>
          <w:color w:val="000000" w:themeColor="text1"/>
          <w:spacing w:val="-6"/>
          <w:szCs w:val="32"/>
        </w:rPr>
      </w:pPr>
      <w:r>
        <w:rPr>
          <w:rStyle w:val="10"/>
          <w:rFonts w:hint="eastAsia" w:eastAsia="方正楷体_GBK"/>
          <w:b/>
          <w:color w:val="000000" w:themeColor="text1"/>
          <w:szCs w:val="32"/>
        </w:rPr>
        <w:t>（</w:t>
      </w:r>
      <w:r>
        <w:rPr>
          <w:rStyle w:val="10"/>
          <w:rFonts w:hint="eastAsia" w:eastAsia="方正楷体_GBK"/>
          <w:b/>
          <w:color w:val="000000" w:themeColor="text1"/>
          <w:spacing w:val="-6"/>
          <w:szCs w:val="32"/>
        </w:rPr>
        <w:t>五）实施创新生态系统改善行动，激发高质量发展新动能</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18．新建一批重大创新载体。</w:t>
      </w:r>
      <w:r>
        <w:rPr>
          <w:rStyle w:val="10"/>
          <w:rFonts w:hint="eastAsia"/>
          <w:color w:val="000000" w:themeColor="text1"/>
          <w:szCs w:val="32"/>
        </w:rPr>
        <w:t>围绕先导产业发展需求和新兴产业培育方向，</w:t>
      </w:r>
      <w:r>
        <w:rPr>
          <w:rStyle w:val="10"/>
          <w:rFonts w:hint="eastAsia"/>
          <w:bCs/>
          <w:iCs/>
          <w:color w:val="000000" w:themeColor="text1"/>
          <w:szCs w:val="32"/>
        </w:rPr>
        <w:t>加快建设一批国家级、省级产业创新中心、制造业创新中心等重大创新载体。</w:t>
      </w:r>
      <w:r>
        <w:rPr>
          <w:rStyle w:val="10"/>
          <w:rFonts w:hint="eastAsia"/>
          <w:color w:val="000000" w:themeColor="text1"/>
          <w:szCs w:val="32"/>
        </w:rPr>
        <w:t>瞄准国际产业创新资源集聚区，在全球智力密集地区设立离岸科技创新中心，在澄建设对接海外离岸项目的在岸创业基地，积极融入全球科技创新版图。推动建设一批面向社会和中小企业开放的</w:t>
      </w:r>
      <w:r>
        <w:rPr>
          <w:rStyle w:val="10"/>
          <w:rFonts w:hint="eastAsia"/>
          <w:bCs/>
          <w:iCs/>
          <w:color w:val="000000" w:themeColor="text1"/>
          <w:szCs w:val="32"/>
        </w:rPr>
        <w:t>技术交易、测试中心、数据中心、科技金融等</w:t>
      </w:r>
      <w:r>
        <w:rPr>
          <w:rStyle w:val="10"/>
          <w:rFonts w:hint="eastAsia"/>
          <w:color w:val="000000" w:themeColor="text1"/>
          <w:szCs w:val="32"/>
        </w:rPr>
        <w:t>技术创新公共服务平台。</w:t>
      </w:r>
      <w:r>
        <w:rPr>
          <w:rStyle w:val="10"/>
          <w:rFonts w:hint="eastAsia"/>
          <w:bCs/>
          <w:iCs/>
          <w:color w:val="000000" w:themeColor="text1"/>
          <w:szCs w:val="32"/>
        </w:rPr>
        <w:t>改造提升百桥生物孵化园，优化完善启星智造产业园，加速建设星河科创园。依托南京理工大学江阴校区，整合开发区现有存量载体资源，推动南理工科技园、科技小镇建设成为战略性新兴产业和特色产业规模化发展的重要支撑，最终建成具备一流科技创新环境、具有开放共享自主创新成果、“政校企社、产学研创”为一体的南理工江阴创新港。</w:t>
      </w:r>
      <w:r>
        <w:rPr>
          <w:rStyle w:val="10"/>
          <w:rFonts w:hint="eastAsia"/>
          <w:color w:val="000000" w:themeColor="text1"/>
          <w:szCs w:val="32"/>
        </w:rPr>
        <w:t>三年内，全市新建科技企业孵化器、加速器、产业园等科技创新创业载体5</w:t>
      </w:r>
      <w:r>
        <w:rPr>
          <w:rFonts w:hint="eastAsia" w:hAnsiTheme="minorEastAsia" w:eastAsiaTheme="minorEastAsia"/>
          <w:spacing w:val="3"/>
        </w:rPr>
        <w:t>－</w:t>
      </w:r>
      <w:r>
        <w:rPr>
          <w:rStyle w:val="10"/>
          <w:rFonts w:hint="eastAsia"/>
          <w:color w:val="000000" w:themeColor="text1"/>
          <w:szCs w:val="32"/>
        </w:rPr>
        <w:t>6家，累计达到12家。</w:t>
      </w:r>
      <w:r>
        <w:rPr>
          <w:rStyle w:val="10"/>
          <w:rFonts w:hint="eastAsia" w:eastAsia="方正楷体_GBK"/>
          <w:color w:val="000000" w:themeColor="text1"/>
          <w:szCs w:val="32"/>
        </w:rPr>
        <w:t>（责任单位：高新区、临港开发区，</w:t>
      </w:r>
      <w:r>
        <w:rPr>
          <w:rStyle w:val="10"/>
          <w:rFonts w:hint="eastAsia" w:eastAsia="方正楷体_GBK"/>
          <w:color w:val="000000" w:themeColor="text1"/>
          <w:spacing w:val="2"/>
          <w:szCs w:val="32"/>
        </w:rPr>
        <w:t>市委</w:t>
      </w:r>
      <w:r>
        <w:rPr>
          <w:rStyle w:val="10"/>
          <w:rFonts w:hint="eastAsia" w:eastAsia="方正楷体_GBK"/>
          <w:color w:val="000000" w:themeColor="text1"/>
          <w:szCs w:val="32"/>
        </w:rPr>
        <w:t>组织部、</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人社局、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科协）</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19．大力发展公共研发平台。</w:t>
      </w:r>
      <w:r>
        <w:rPr>
          <w:rStyle w:val="10"/>
          <w:rFonts w:hint="eastAsia"/>
          <w:bCs/>
          <w:iCs/>
          <w:color w:val="000000" w:themeColor="text1"/>
          <w:szCs w:val="32"/>
        </w:rPr>
        <w:t>以我市主导产业的技术需求、成果转化为目标，以市场化为导向，以企业化运作、公益性与经营性相结合的模式，合作共建技术创新平台，解决我市新型研发机构匮乏问题。加大财政科技投入，落实新型研发机构“一事一议”扶持政策，重点支持高新区、临港开发区引进新建以重点科研院所和著名高校为依托、以海内外顶尖科学家团队为支撑、以技术服务、研发活动为主业、以科技成果为产品的新型研发机构。鼓励行业龙头企业平台化发展，面向新兴产业成立新型研发机构，支持外资企业在我市建设开放式创新平台，</w:t>
      </w:r>
      <w:r>
        <w:rPr>
          <w:rStyle w:val="10"/>
          <w:rFonts w:hint="eastAsia"/>
          <w:color w:val="000000" w:themeColor="text1"/>
          <w:szCs w:val="32"/>
        </w:rPr>
        <w:t>支持国内外高层次人才和团队发起设立专业性、开放性新型研发机构。提升联合创新中心等企业研发平台，通过运行绩效评价，给予差别化扶持，加快科技成果产业化步伐，带动企业技术创新、产品创新、模式创新和区域产业创新。加强阳光集团、法尔胜泓昇集团国家级工程技术研究中心的研发条件和能力建设，提高研发产出和运行成效，扩大对外开放和合作交流。</w:t>
      </w:r>
      <w:r>
        <w:rPr>
          <w:rStyle w:val="10"/>
          <w:rFonts w:hint="eastAsia"/>
          <w:bCs/>
          <w:iCs/>
          <w:color w:val="000000" w:themeColor="text1"/>
          <w:szCs w:val="32"/>
        </w:rPr>
        <w:t>三年内，高新区、临港开发区分别新建投运1家新型研发机构。</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科技局、高新区、临港开发区、</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发改委、</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财政局，有关镇街）</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20．</w:t>
      </w:r>
      <w:r>
        <w:rPr>
          <w:rStyle w:val="10"/>
          <w:rFonts w:hint="eastAsia" w:eastAsia="方正楷体_GBK"/>
          <w:color w:val="000000" w:themeColor="text1"/>
          <w:spacing w:val="-2"/>
          <w:szCs w:val="32"/>
        </w:rPr>
        <w:t>促进科技金融紧密结合。</w:t>
      </w:r>
      <w:r>
        <w:rPr>
          <w:rStyle w:val="10"/>
          <w:rFonts w:hint="eastAsia"/>
          <w:color w:val="000000" w:themeColor="text1"/>
          <w:spacing w:val="-2"/>
          <w:szCs w:val="32"/>
        </w:rPr>
        <w:t>大力开展科技企业普惠信贷工作，降低企业创新成本，启动“苏科贷”，健全“澄科贷”“锡科贷”两级风险补偿资金贷款体系，充分发挥省科技企业融资路演服务中心江阴分中心作用，丰富科技金融产品，大力发展科技保险、政银保、贷款贴息等新型金融工具，降低企业创新风险和融资成本，最大力度支持中小企业创新发展。每年为150家工业科技企业融资超20亿元，为15家农业企业联系贷款1000万元，帮助科技企业分摊科技创新风险超10亿元。推动科技、金融与产业深度融合，鼓励创业投资类机构投资我市企业的科技成果转化、产业化项目，根据创业投资的到位额，探索给予后补助支持政策。积极推进科创板上市工作，支持技术含量高、市场前景好的高成长性科技型企业在多层次资本市场上市，发掘和培育上市后备资源，推动有条件的企业在境内外上市。</w:t>
      </w:r>
      <w:r>
        <w:rPr>
          <w:rStyle w:val="10"/>
          <w:rFonts w:hint="eastAsia" w:eastAsia="方正楷体_GBK"/>
          <w:color w:val="000000" w:themeColor="text1"/>
          <w:spacing w:val="-2"/>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pacing w:val="-2"/>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pacing w:val="-2"/>
          <w:szCs w:val="32"/>
        </w:rPr>
        <w:t>财政局、</w:t>
      </w:r>
      <w:r>
        <w:rPr>
          <w:rStyle w:val="10"/>
          <w:rFonts w:hint="eastAsia" w:eastAsia="方正楷体_GBK"/>
          <w:color w:val="000000" w:themeColor="text1"/>
          <w:spacing w:val="2"/>
          <w:szCs w:val="32"/>
        </w:rPr>
        <w:t>市</w:t>
      </w:r>
      <w:r>
        <w:rPr>
          <w:rStyle w:val="10"/>
          <w:rFonts w:hint="eastAsia" w:eastAsia="方正楷体_GBK"/>
          <w:color w:val="000000" w:themeColor="text1"/>
          <w:spacing w:val="-2"/>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pacing w:val="-2"/>
          <w:szCs w:val="32"/>
        </w:rPr>
        <w:t>农业农村局、人行江阴市支行、有关金融保险机构）</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21．提升科技文化软实力。</w:t>
      </w:r>
      <w:r>
        <w:rPr>
          <w:rStyle w:val="10"/>
          <w:rFonts w:hint="eastAsia"/>
          <w:color w:val="000000" w:themeColor="text1"/>
          <w:szCs w:val="32"/>
        </w:rPr>
        <w:t>加强策划研究，提升内涵实效，精心办好市科技节、市科技创新创业大赛等活动，进一步激发全社会创新动力、创业活力、创造潜力。</w:t>
      </w:r>
      <w:r>
        <w:rPr>
          <w:rStyle w:val="10"/>
          <w:rFonts w:hint="eastAsia"/>
          <w:bCs/>
          <w:iCs/>
          <w:color w:val="000000" w:themeColor="text1"/>
          <w:szCs w:val="32"/>
        </w:rPr>
        <w:t>加强对重大科技创新成果、典型创新创业人才和优秀创新型企业的宣传，加大对创新创业者的褒扬奖励力度，</w:t>
      </w:r>
      <w:r>
        <w:rPr>
          <w:rStyle w:val="10"/>
          <w:rFonts w:hint="eastAsia"/>
          <w:color w:val="000000" w:themeColor="text1"/>
          <w:szCs w:val="32"/>
        </w:rPr>
        <w:t>激励更多社会主体投身创新创业，</w:t>
      </w:r>
      <w:r>
        <w:rPr>
          <w:rStyle w:val="10"/>
          <w:rFonts w:hint="eastAsia"/>
          <w:bCs/>
          <w:iCs/>
          <w:color w:val="000000" w:themeColor="text1"/>
          <w:szCs w:val="32"/>
        </w:rPr>
        <w:t>大力倡导勇于探索、鼓励创新、宽容失败的社会导向，培育创新的意识、激发创新的潜能、激励创新的行为，在全社会营造尊重科学、尊重创造、尊重科技人员的创新文化氛围。加强“科技工作者之家”实体阵地建设，竭诚为科技工作者创新创业服务。</w:t>
      </w:r>
      <w:r>
        <w:rPr>
          <w:rStyle w:val="10"/>
          <w:rFonts w:hint="eastAsia"/>
          <w:color w:val="000000" w:themeColor="text1"/>
          <w:szCs w:val="32"/>
        </w:rPr>
        <w:t>大力开展科普教育，推动科技进机关、进企业、进学校、进村（社区），不断提升社会公众的科学素养和创新意识。</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市委</w:t>
      </w:r>
      <w:r>
        <w:rPr>
          <w:rStyle w:val="10"/>
          <w:rFonts w:hint="eastAsia" w:eastAsia="方正楷体_GBK"/>
          <w:color w:val="000000" w:themeColor="text1"/>
          <w:szCs w:val="32"/>
        </w:rPr>
        <w:t>宣传部、</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科协、</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教育局、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人社局）</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22．实施科技惠民富民工程。</w:t>
      </w:r>
      <w:r>
        <w:rPr>
          <w:rStyle w:val="10"/>
          <w:rFonts w:hint="eastAsia"/>
          <w:bCs/>
          <w:iCs/>
          <w:color w:val="000000" w:themeColor="text1"/>
          <w:szCs w:val="32"/>
        </w:rPr>
        <w:t>进一步</w:t>
      </w:r>
      <w:r>
        <w:rPr>
          <w:rStyle w:val="10"/>
          <w:rFonts w:hint="eastAsia"/>
          <w:color w:val="000000" w:themeColor="text1"/>
          <w:szCs w:val="32"/>
        </w:rPr>
        <w:t>发挥科技创新在改善民生和促进社会发展中的支撑引领作用，构建以市场为导向的绿色技术创新体系，重点围绕公共安全、食品安全、安全生产、生命健康、慢性病防治、可持续发展、长江大保护、生态环境、水气土治理、教育、文化等领域，组织实施一批民生科技示范项目、科技兴农富民工程项目、社会发展重点项目和软科学研究项目，提高人民群众科技获得感、生活幸福感。</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农业农村局、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科协，各有关部门）</w:t>
      </w:r>
    </w:p>
    <w:p>
      <w:pPr>
        <w:widowControl w:val="0"/>
        <w:ind w:firstLine="632" w:firstLineChars="200"/>
        <w:rPr>
          <w:rStyle w:val="10"/>
          <w:rFonts w:eastAsia="方正楷体_GBK"/>
          <w:b/>
          <w:color w:val="000000" w:themeColor="text1"/>
          <w:szCs w:val="32"/>
        </w:rPr>
      </w:pPr>
      <w:r>
        <w:rPr>
          <w:rStyle w:val="10"/>
          <w:rFonts w:hint="eastAsia" w:eastAsia="方正楷体_GBK"/>
          <w:b/>
          <w:color w:val="000000" w:themeColor="text1"/>
          <w:szCs w:val="32"/>
        </w:rPr>
        <w:t>（六）实施创新治理能力提升行动，增强创新创业新活力</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23．提高科技运行整体效能。</w:t>
      </w:r>
      <w:r>
        <w:rPr>
          <w:rStyle w:val="10"/>
          <w:rFonts w:hint="eastAsia"/>
          <w:bCs/>
          <w:iCs/>
          <w:color w:val="000000" w:themeColor="text1"/>
          <w:szCs w:val="32"/>
        </w:rPr>
        <w:t>深入推进科技体制改革，遵循科技创新规律，尊重科研管理规律，优化科技创新治理体系。调整完善本级科技计划项目管理，加强创新资源统筹协调和优化配置，建立健全主要由市场决定技术创新项目和经费分配、成果评价的机制。深化科技创新“放管服”改革，优化科技计划项目管理和绩效评价机制。落实企业研发费相关政策，</w:t>
      </w:r>
      <w:r>
        <w:rPr>
          <w:rStyle w:val="10"/>
          <w:rFonts w:hint="eastAsia"/>
          <w:bCs/>
          <w:color w:val="000000" w:themeColor="text1"/>
          <w:szCs w:val="32"/>
        </w:rPr>
        <w:t>完善研发投入后补助机制，推动以企业为主体的研发投入持续增长，</w:t>
      </w:r>
      <w:r>
        <w:rPr>
          <w:rStyle w:val="10"/>
          <w:rFonts w:hint="eastAsia"/>
          <w:bCs/>
          <w:iCs/>
          <w:color w:val="000000" w:themeColor="text1"/>
          <w:szCs w:val="32"/>
        </w:rPr>
        <w:t>撬动金融资本、社会资本投向科技研发、成果转化，逐步形成以财政投入为引导、企业投入为主体、社会投入为补充，多元化、多渠道的科技投入体系。全面加强镇街科技管理力量，完善基层科技服务网络，</w:t>
      </w:r>
      <w:r>
        <w:rPr>
          <w:rStyle w:val="10"/>
          <w:rFonts w:hint="eastAsia"/>
          <w:color w:val="000000" w:themeColor="text1"/>
          <w:szCs w:val="32"/>
        </w:rPr>
        <w:t>构建上下联动、协同推进的科技创新服务体系。</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财政局、市税务局，各镇街园区）</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24．有序发展科技服务业。</w:t>
      </w:r>
      <w:r>
        <w:rPr>
          <w:rStyle w:val="10"/>
          <w:rFonts w:hint="eastAsia"/>
          <w:bCs/>
          <w:iCs/>
          <w:color w:val="000000" w:themeColor="text1"/>
          <w:szCs w:val="32"/>
        </w:rPr>
        <w:t>支持开展研发设计、技术转移、知识产权、检验检测认证、科技咨询、创业孵化等专业化和综合性科技服务，初步形成覆盖科技创新全链条的服务体系。规范科技服务机构健康发展，培育技术经纪人队伍，繁荣科技成果交易市场。强化绩效评价，提升园区科技企业孵化载体的运行质效，推进镇街科技创新孵化载体合理布局。进一步增强江阴国际人才市场活力，充实内涵、激发活力、提升品质，重点面向长三角区域高端创新资源，集成海外人才、技术转移、科技金融等服务功能，努力建设综合性“创新要素大市场”，推动科技服务集成化、科技信息共享化、科技交易市场化和项目对接精准化。</w:t>
      </w:r>
      <w:r>
        <w:rPr>
          <w:rStyle w:val="10"/>
          <w:rFonts w:hint="eastAsia"/>
          <w:color w:val="000000" w:themeColor="text1"/>
          <w:szCs w:val="32"/>
        </w:rPr>
        <w:t>发挥市科技创新服务联盟功能，</w:t>
      </w:r>
      <w:r>
        <w:rPr>
          <w:rStyle w:val="10"/>
          <w:rFonts w:hint="eastAsia"/>
          <w:bCs/>
          <w:iCs/>
          <w:color w:val="000000" w:themeColor="text1"/>
          <w:szCs w:val="32"/>
        </w:rPr>
        <w:t>探索建立线上线下融合的市科技创新云服务平台，整合企业技术需求库、项目储备库、专家库及高校、科研院所等各类科技数据库，实现科技资源、科技数据、科技服务和科技管理的互联互通、开放共享。</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市场监管局、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商务局、</w:t>
      </w:r>
      <w:r>
        <w:rPr>
          <w:rStyle w:val="10"/>
          <w:rFonts w:hint="eastAsia" w:eastAsia="方正楷体_GBK"/>
          <w:color w:val="000000" w:themeColor="text1"/>
          <w:spacing w:val="2"/>
          <w:szCs w:val="32"/>
        </w:rPr>
        <w:t>市委</w:t>
      </w:r>
      <w:r>
        <w:rPr>
          <w:rStyle w:val="10"/>
          <w:rFonts w:hint="eastAsia" w:eastAsia="方正楷体_GBK"/>
          <w:color w:val="000000" w:themeColor="text1"/>
          <w:szCs w:val="32"/>
        </w:rPr>
        <w:t>组织部，各镇街园区）</w:t>
      </w:r>
    </w:p>
    <w:p>
      <w:pPr>
        <w:widowControl w:val="0"/>
        <w:ind w:firstLine="632" w:firstLineChars="200"/>
        <w:rPr>
          <w:rStyle w:val="10"/>
          <w:rFonts w:eastAsia="方正楷体_GBK"/>
          <w:color w:val="000000" w:themeColor="text1"/>
          <w:szCs w:val="32"/>
        </w:rPr>
      </w:pPr>
      <w:r>
        <w:rPr>
          <w:rStyle w:val="10"/>
          <w:rFonts w:hint="eastAsia" w:eastAsia="方正楷体_GBK"/>
          <w:color w:val="000000" w:themeColor="text1"/>
          <w:szCs w:val="32"/>
        </w:rPr>
        <w:t>25．建立创新驱动导向评价机制。</w:t>
      </w:r>
      <w:r>
        <w:rPr>
          <w:rStyle w:val="10"/>
          <w:rFonts w:hint="eastAsia"/>
          <w:bCs/>
          <w:iCs/>
          <w:color w:val="000000" w:themeColor="text1"/>
          <w:szCs w:val="32"/>
        </w:rPr>
        <w:t>注重创新驱动核心战略导向，在用地规划、要素供给、工程建设、生态环境等方面工作中引入创新发展评价机制。在重大项目引进扶持上强化科学技术层次、产业链引领带动能力等科技门槛。建立多部门联动决策咨询机制，依托第三方智库平台，开展创新战略、产业图谱、行业分析、政策评估等专题研究，强化科技创新在经济社会发展相关工作中的评价导向作用，提升创新治理效能。</w:t>
      </w:r>
      <w:r>
        <w:rPr>
          <w:rStyle w:val="10"/>
          <w:rFonts w:hint="eastAsia" w:eastAsia="方正楷体_GBK"/>
          <w:color w:val="000000" w:themeColor="text1"/>
          <w:szCs w:val="32"/>
        </w:rPr>
        <w:t>（责任单位：</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科技局、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发改委、</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商务局、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统计局、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工信局、</w:t>
      </w:r>
      <w:r>
        <w:rPr>
          <w:rStyle w:val="10"/>
          <w:rFonts w:hint="eastAsia" w:eastAsia="方正楷体_GBK"/>
          <w:color w:val="000000" w:themeColor="text1"/>
          <w:spacing w:val="2"/>
          <w:szCs w:val="32"/>
        </w:rPr>
        <w:t>市</w:t>
      </w:r>
      <w:r>
        <w:rPr>
          <w:rStyle w:val="10"/>
          <w:rFonts w:hint="eastAsia" w:eastAsia="方正楷体_GBK"/>
          <w:color w:val="000000" w:themeColor="text1"/>
          <w:szCs w:val="32"/>
        </w:rPr>
        <w:t>招商局，各有关部门）</w:t>
      </w:r>
    </w:p>
    <w:p>
      <w:pPr>
        <w:widowControl w:val="0"/>
        <w:ind w:firstLine="632" w:firstLineChars="200"/>
        <w:rPr>
          <w:rStyle w:val="10"/>
          <w:rFonts w:eastAsia="方正黑体_GBK"/>
          <w:color w:val="000000" w:themeColor="text1"/>
          <w:szCs w:val="32"/>
        </w:rPr>
      </w:pPr>
      <w:r>
        <w:rPr>
          <w:rStyle w:val="10"/>
          <w:rFonts w:hint="eastAsia" w:eastAsia="方正黑体_GBK"/>
          <w:color w:val="000000" w:themeColor="text1"/>
          <w:szCs w:val="32"/>
        </w:rPr>
        <w:t>四、保障措施</w:t>
      </w:r>
    </w:p>
    <w:p>
      <w:pPr>
        <w:widowControl w:val="0"/>
        <w:ind w:firstLine="632" w:firstLineChars="200"/>
        <w:rPr>
          <w:rStyle w:val="10"/>
          <w:bCs/>
          <w:iCs/>
          <w:color w:val="000000" w:themeColor="text1"/>
          <w:szCs w:val="32"/>
        </w:rPr>
      </w:pPr>
      <w:r>
        <w:rPr>
          <w:rStyle w:val="10"/>
          <w:rFonts w:hint="eastAsia" w:eastAsia="方正楷体_GBK"/>
          <w:b/>
          <w:color w:val="000000" w:themeColor="text1"/>
          <w:szCs w:val="32"/>
        </w:rPr>
        <w:t>（一）加强组织领导。</w:t>
      </w:r>
      <w:r>
        <w:rPr>
          <w:rStyle w:val="10"/>
          <w:rFonts w:hint="eastAsia"/>
          <w:color w:val="000000" w:themeColor="text1"/>
          <w:szCs w:val="32"/>
        </w:rPr>
        <w:t>坚持和</w:t>
      </w:r>
      <w:r>
        <w:rPr>
          <w:rStyle w:val="10"/>
          <w:rFonts w:hint="eastAsia"/>
          <w:bCs/>
          <w:iCs/>
          <w:color w:val="000000" w:themeColor="text1"/>
          <w:szCs w:val="32"/>
        </w:rPr>
        <w:t>加强党对科技事业的领导，深化对创新发展规律、科技管理规律、人才成长规律的认识，为“创新江阴”建设提供坚强保证。各镇街园区和有关部门成立相关组织，统筹负责本计划的组织实施，指导协调重大战略研究、重大政策安排和重大工作部署，确保完成三年行动计划。</w:t>
      </w:r>
    </w:p>
    <w:p>
      <w:pPr>
        <w:widowControl w:val="0"/>
        <w:ind w:firstLine="632" w:firstLineChars="200"/>
        <w:rPr>
          <w:rStyle w:val="10"/>
          <w:bCs/>
          <w:iCs/>
          <w:color w:val="000000" w:themeColor="text1"/>
          <w:szCs w:val="32"/>
        </w:rPr>
      </w:pPr>
      <w:r>
        <w:rPr>
          <w:rStyle w:val="10"/>
          <w:rFonts w:hint="eastAsia" w:eastAsia="方正楷体_GBK"/>
          <w:b/>
          <w:color w:val="000000" w:themeColor="text1"/>
          <w:szCs w:val="32"/>
        </w:rPr>
        <w:t>（二）加大创新投入。</w:t>
      </w:r>
      <w:r>
        <w:rPr>
          <w:rStyle w:val="10"/>
          <w:rFonts w:hint="eastAsia"/>
          <w:bCs/>
          <w:iCs/>
          <w:color w:val="000000" w:themeColor="text1"/>
          <w:szCs w:val="32"/>
        </w:rPr>
        <w:t>落实省委省政府《关于深化科技体制机制改革推动高质量发展若干政策》（苏发〔2018〕18号）关于市县财政投入的指导意见，建立财政科技投入增长机制，持续加大财政科技投入力度，攻薄弱、补短板，重点支持创新型企业培育、新型研发机构建设、重大创新载体建设、带动性强的重点研发计划、科技成果转化项目等。大力营造鼓励创新、宽容失败的文化和社会氛围，优化科技资金使用管理机制和绩效评价办法，尊重创新型企业成长规律，科技人才资金不与企业税收贡献挂钩。</w:t>
      </w:r>
    </w:p>
    <w:p>
      <w:pPr>
        <w:widowControl w:val="0"/>
        <w:ind w:firstLine="632" w:firstLineChars="200"/>
        <w:rPr>
          <w:rStyle w:val="10"/>
          <w:bCs/>
          <w:iCs/>
          <w:color w:val="000000" w:themeColor="text1"/>
          <w:szCs w:val="32"/>
        </w:rPr>
      </w:pPr>
      <w:r>
        <w:rPr>
          <w:rStyle w:val="10"/>
          <w:rFonts w:hint="eastAsia" w:eastAsia="方正楷体_GBK"/>
          <w:b/>
          <w:color w:val="000000" w:themeColor="text1"/>
          <w:szCs w:val="32"/>
        </w:rPr>
        <w:t>（三）强化政策落实。</w:t>
      </w:r>
      <w:r>
        <w:rPr>
          <w:rStyle w:val="10"/>
          <w:rFonts w:hint="eastAsia"/>
          <w:bCs/>
          <w:iCs/>
          <w:color w:val="000000" w:themeColor="text1"/>
          <w:szCs w:val="32"/>
        </w:rPr>
        <w:t>深入贯彻落实国家、省市关于鼓励和促进科技创新创业的一系列政策措施，重点落实好省、市关于高新技术企业等创新型企业培育的奖补兑现、税收优惠以及企业研发费用加计扣除等政策措施，营造创新发展的良好氛围。及时完善创新发展相关政策，精准、有效导向、鼓励、扶持企业创新发展。</w:t>
      </w:r>
    </w:p>
    <w:p>
      <w:pPr>
        <w:widowControl w:val="0"/>
        <w:ind w:firstLine="632" w:firstLineChars="200"/>
        <w:rPr>
          <w:rStyle w:val="10"/>
          <w:bCs/>
          <w:iCs/>
          <w:color w:val="000000" w:themeColor="text1"/>
          <w:szCs w:val="32"/>
        </w:rPr>
      </w:pPr>
      <w:r>
        <w:rPr>
          <w:rStyle w:val="10"/>
          <w:rFonts w:hint="eastAsia" w:eastAsia="方正楷体_GBK"/>
          <w:b/>
          <w:color w:val="000000" w:themeColor="text1"/>
          <w:szCs w:val="32"/>
        </w:rPr>
        <w:t>（四）注重统计监测。</w:t>
      </w:r>
      <w:r>
        <w:rPr>
          <w:rStyle w:val="10"/>
          <w:rFonts w:hint="eastAsia"/>
          <w:bCs/>
          <w:iCs/>
          <w:color w:val="000000" w:themeColor="text1"/>
          <w:szCs w:val="32"/>
        </w:rPr>
        <w:t>深入开展对我市高新技术企业、科技型中小企业、高新技术产业等调查摸底工作，实时、准确、全面掌握全市创新资源投入、产出，及时评价效率、提示风险，探索我市实施创新驱动战略的科学路径、模式和方法。</w:t>
      </w:r>
    </w:p>
    <w:p>
      <w:pPr>
        <w:widowControl w:val="0"/>
        <w:ind w:firstLine="632" w:firstLineChars="200"/>
        <w:rPr>
          <w:rStyle w:val="10"/>
          <w:color w:val="000000" w:themeColor="text1"/>
          <w:szCs w:val="32"/>
        </w:rPr>
      </w:pPr>
      <w:r>
        <w:rPr>
          <w:rStyle w:val="10"/>
          <w:rFonts w:hint="eastAsia" w:eastAsia="方正楷体_GBK"/>
          <w:b/>
          <w:color w:val="000000" w:themeColor="text1"/>
          <w:szCs w:val="32"/>
        </w:rPr>
        <w:t>（五）强化督查考核。</w:t>
      </w:r>
      <w:r>
        <w:rPr>
          <w:rStyle w:val="10"/>
          <w:rFonts w:hint="eastAsia"/>
          <w:bCs/>
          <w:iCs/>
          <w:color w:val="000000" w:themeColor="text1"/>
          <w:szCs w:val="32"/>
        </w:rPr>
        <w:t>定期进行督导检查，加强对重点工作任务的跟踪督查和</w:t>
      </w:r>
      <w:r>
        <w:rPr>
          <w:rStyle w:val="10"/>
          <w:rFonts w:hint="eastAsia"/>
          <w:color w:val="000000" w:themeColor="text1"/>
          <w:szCs w:val="32"/>
        </w:rPr>
        <w:t>镇街园区、相关部门的创新工作考核，将科技知识产权、创新型企业培育、全社会研发投入强度、技术合同交易、创新人才引育、镇街园区财政科技投入等工作纳入高质量发展监测和考核体系。</w:t>
      </w:r>
    </w:p>
    <w:p>
      <w:pPr>
        <w:widowControl w:val="0"/>
        <w:ind w:firstLine="632" w:firstLineChars="200"/>
        <w:rPr>
          <w:rStyle w:val="10"/>
          <w:color w:val="000000" w:themeColor="text1"/>
          <w:szCs w:val="32"/>
        </w:rPr>
      </w:pPr>
    </w:p>
    <w:p>
      <w:pPr>
        <w:widowControl w:val="0"/>
        <w:ind w:firstLine="632" w:firstLineChars="200"/>
        <w:rPr>
          <w:rStyle w:val="10"/>
          <w:color w:val="000000" w:themeColor="text1"/>
          <w:szCs w:val="32"/>
        </w:rPr>
      </w:pPr>
      <w:r>
        <w:rPr>
          <w:rStyle w:val="10"/>
          <w:rFonts w:hint="eastAsia"/>
          <w:color w:val="000000" w:themeColor="text1"/>
          <w:szCs w:val="32"/>
        </w:rPr>
        <w:t>附件：“创新江阴”三年行动计划2020年重点工作目标</w:t>
      </w:r>
    </w:p>
    <w:p>
      <w:pPr>
        <w:widowControl w:val="0"/>
        <w:ind w:firstLine="632" w:firstLineChars="200"/>
        <w:rPr>
          <w:rStyle w:val="10"/>
          <w:color w:val="000000" w:themeColor="text1"/>
          <w:szCs w:val="32"/>
        </w:rPr>
      </w:pPr>
    </w:p>
    <w:p>
      <w:pPr>
        <w:ind w:firstLine="632" w:firstLineChars="200"/>
        <w:rPr>
          <w:rStyle w:val="10"/>
          <w:color w:val="000000" w:themeColor="text1"/>
          <w:szCs w:val="32"/>
        </w:rPr>
        <w:sectPr>
          <w:headerReference r:id="rId3" w:type="default"/>
          <w:footerReference r:id="rId4" w:type="default"/>
          <w:footerReference r:id="rId5" w:type="even"/>
          <w:pgSz w:w="11906" w:h="16838"/>
          <w:pgMar w:top="2098" w:right="1474" w:bottom="1985" w:left="1588" w:header="851" w:footer="1474" w:gutter="0"/>
          <w:cols w:space="425" w:num="1"/>
          <w:docGrid w:type="linesAndChars" w:linePitch="579" w:charSpace="-849"/>
        </w:sectPr>
      </w:pPr>
    </w:p>
    <w:p>
      <w:pPr>
        <w:tabs>
          <w:tab w:val="left" w:pos="632"/>
        </w:tabs>
        <w:jc w:val="left"/>
        <w:rPr>
          <w:rStyle w:val="10"/>
          <w:rFonts w:eastAsia="方正黑体_GBK"/>
          <w:color w:val="000000" w:themeColor="text1"/>
          <w:szCs w:val="24"/>
        </w:rPr>
      </w:pPr>
      <w:r>
        <w:rPr>
          <w:rStyle w:val="10"/>
          <w:rFonts w:eastAsia="方正黑体_GBK"/>
          <w:color w:val="000000" w:themeColor="text1"/>
          <w:szCs w:val="24"/>
        </w:rPr>
        <w:t>附件</w:t>
      </w:r>
    </w:p>
    <w:p>
      <w:pPr>
        <w:widowControl w:val="0"/>
        <w:tabs>
          <w:tab w:val="left" w:pos="632"/>
        </w:tabs>
        <w:jc w:val="center"/>
        <w:rPr>
          <w:rStyle w:val="10"/>
          <w:rFonts w:eastAsia="方正小标宋_GBK"/>
          <w:color w:val="000000" w:themeColor="text1"/>
          <w:sz w:val="44"/>
          <w:szCs w:val="44"/>
        </w:rPr>
      </w:pPr>
      <w:r>
        <w:rPr>
          <w:rStyle w:val="10"/>
          <w:rFonts w:hint="eastAsia" w:eastAsia="方正小标宋_GBK"/>
          <w:color w:val="000000" w:themeColor="text1"/>
          <w:sz w:val="44"/>
          <w:szCs w:val="44"/>
        </w:rPr>
        <w:t>“创新江阴”三年行动计划2020年重点工作目标</w:t>
      </w:r>
    </w:p>
    <w:tbl>
      <w:tblPr>
        <w:tblStyle w:val="6"/>
        <w:tblW w:w="148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411"/>
        <w:gridCol w:w="808"/>
        <w:gridCol w:w="6803"/>
        <w:gridCol w:w="1507"/>
        <w:gridCol w:w="28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438" w:type="dxa"/>
            <w:vAlign w:val="center"/>
          </w:tcPr>
          <w:p>
            <w:pPr>
              <w:spacing w:line="300" w:lineRule="exact"/>
              <w:jc w:val="center"/>
              <w:rPr>
                <w:rStyle w:val="10"/>
                <w:rFonts w:eastAsia="方正黑体_GBK"/>
                <w:color w:val="000000" w:themeColor="text1"/>
                <w:sz w:val="24"/>
                <w:szCs w:val="24"/>
              </w:rPr>
            </w:pPr>
            <w:r>
              <w:rPr>
                <w:rStyle w:val="10"/>
                <w:rFonts w:eastAsia="方正黑体_GBK"/>
                <w:color w:val="000000" w:themeColor="text1"/>
                <w:sz w:val="24"/>
                <w:szCs w:val="24"/>
              </w:rPr>
              <w:t>类别</w:t>
            </w:r>
          </w:p>
        </w:tc>
        <w:tc>
          <w:tcPr>
            <w:tcW w:w="1411" w:type="dxa"/>
            <w:vAlign w:val="center"/>
          </w:tcPr>
          <w:p>
            <w:pPr>
              <w:spacing w:line="300" w:lineRule="exact"/>
              <w:jc w:val="center"/>
              <w:rPr>
                <w:rStyle w:val="10"/>
                <w:rFonts w:eastAsia="方正黑体_GBK"/>
                <w:color w:val="000000" w:themeColor="text1"/>
                <w:sz w:val="24"/>
                <w:szCs w:val="24"/>
              </w:rPr>
            </w:pPr>
            <w:r>
              <w:rPr>
                <w:rStyle w:val="10"/>
                <w:rFonts w:eastAsia="方正黑体_GBK"/>
                <w:color w:val="000000" w:themeColor="text1"/>
                <w:sz w:val="24"/>
                <w:szCs w:val="24"/>
              </w:rPr>
              <w:t>重点任务</w:t>
            </w:r>
          </w:p>
        </w:tc>
        <w:tc>
          <w:tcPr>
            <w:tcW w:w="808" w:type="dxa"/>
            <w:vAlign w:val="center"/>
          </w:tcPr>
          <w:p>
            <w:pPr>
              <w:spacing w:line="300" w:lineRule="exact"/>
              <w:jc w:val="center"/>
              <w:rPr>
                <w:rStyle w:val="10"/>
                <w:rFonts w:eastAsia="方正黑体_GBK"/>
                <w:color w:val="000000" w:themeColor="text1"/>
                <w:sz w:val="24"/>
                <w:szCs w:val="24"/>
              </w:rPr>
            </w:pPr>
            <w:r>
              <w:rPr>
                <w:rStyle w:val="10"/>
                <w:rFonts w:eastAsia="方正黑体_GBK"/>
                <w:color w:val="000000" w:themeColor="text1"/>
                <w:sz w:val="24"/>
                <w:szCs w:val="24"/>
              </w:rPr>
              <w:t>序号</w:t>
            </w:r>
          </w:p>
        </w:tc>
        <w:tc>
          <w:tcPr>
            <w:tcW w:w="6803" w:type="dxa"/>
            <w:vAlign w:val="center"/>
          </w:tcPr>
          <w:p>
            <w:pPr>
              <w:spacing w:line="300" w:lineRule="exact"/>
              <w:jc w:val="center"/>
              <w:rPr>
                <w:rStyle w:val="10"/>
                <w:rFonts w:eastAsia="方正黑体_GBK"/>
                <w:color w:val="000000" w:themeColor="text1"/>
                <w:sz w:val="24"/>
                <w:szCs w:val="24"/>
              </w:rPr>
            </w:pPr>
            <w:r>
              <w:rPr>
                <w:rStyle w:val="10"/>
                <w:rFonts w:eastAsia="方正黑体_GBK"/>
                <w:color w:val="000000" w:themeColor="text1"/>
                <w:sz w:val="24"/>
                <w:szCs w:val="24"/>
              </w:rPr>
              <w:t>主要目标</w:t>
            </w:r>
          </w:p>
        </w:tc>
        <w:tc>
          <w:tcPr>
            <w:tcW w:w="1507" w:type="dxa"/>
            <w:vAlign w:val="center"/>
          </w:tcPr>
          <w:p>
            <w:pPr>
              <w:spacing w:line="300" w:lineRule="exact"/>
              <w:jc w:val="center"/>
              <w:rPr>
                <w:rStyle w:val="10"/>
                <w:rFonts w:eastAsia="方正黑体_GBK"/>
                <w:color w:val="000000" w:themeColor="text1"/>
                <w:sz w:val="24"/>
                <w:szCs w:val="24"/>
              </w:rPr>
            </w:pPr>
            <w:r>
              <w:rPr>
                <w:rStyle w:val="10"/>
                <w:rFonts w:eastAsia="方正黑体_GBK"/>
                <w:color w:val="000000" w:themeColor="text1"/>
                <w:sz w:val="24"/>
                <w:szCs w:val="24"/>
              </w:rPr>
              <w:t>牵头单位</w:t>
            </w:r>
          </w:p>
        </w:tc>
        <w:tc>
          <w:tcPr>
            <w:tcW w:w="2867" w:type="dxa"/>
            <w:vAlign w:val="center"/>
          </w:tcPr>
          <w:p>
            <w:pPr>
              <w:spacing w:line="300" w:lineRule="exact"/>
              <w:jc w:val="center"/>
              <w:rPr>
                <w:rStyle w:val="10"/>
                <w:rFonts w:eastAsia="方正黑体_GBK"/>
                <w:color w:val="000000" w:themeColor="text1"/>
                <w:sz w:val="24"/>
                <w:szCs w:val="24"/>
              </w:rPr>
            </w:pPr>
            <w:r>
              <w:rPr>
                <w:rStyle w:val="10"/>
                <w:rFonts w:eastAsia="方正黑体_GBK"/>
                <w:color w:val="000000" w:themeColor="text1"/>
                <w:sz w:val="24"/>
                <w:szCs w:val="24"/>
              </w:rPr>
              <w:t>参与部门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restart"/>
            <w:vAlign w:val="center"/>
          </w:tcPr>
          <w:p>
            <w:pPr>
              <w:spacing w:line="0" w:lineRule="atLeast"/>
              <w:rPr>
                <w:rStyle w:val="10"/>
                <w:rFonts w:eastAsia="方正楷体_GBK"/>
                <w:color w:val="000000" w:themeColor="text1"/>
                <w:spacing w:val="-2"/>
                <w:sz w:val="24"/>
                <w:szCs w:val="24"/>
              </w:rPr>
            </w:pPr>
            <w:r>
              <w:rPr>
                <w:rStyle w:val="10"/>
                <w:rFonts w:hint="eastAsia" w:eastAsia="方正楷体_GBK"/>
                <w:color w:val="000000" w:themeColor="text1"/>
                <w:sz w:val="24"/>
                <w:szCs w:val="24"/>
              </w:rPr>
              <w:t>一、实施制造业转型升级行动，创造实体经济新优势</w:t>
            </w:r>
          </w:p>
        </w:tc>
        <w:tc>
          <w:tcPr>
            <w:tcW w:w="1411" w:type="dxa"/>
            <w:vMerge w:val="restart"/>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rPr>
              <w:t>1.以核心技术提升主导产业</w:t>
            </w: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编制战略性新兴产业规划。</w:t>
            </w:r>
          </w:p>
        </w:tc>
        <w:tc>
          <w:tcPr>
            <w:tcW w:w="150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市发改委</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市科技局、市工信局、</w:t>
            </w:r>
          </w:p>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市市场监管局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lang w:val="zh-CN"/>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战略性新兴产业产值占规模以上工业产值的比重比上年提高0.5个百分点。</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发改委</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市工信局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lang w:val="zh-CN"/>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3</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高新技术产业产值占规模以上工业产值比重达38%。</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市统计局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restart"/>
            <w:vAlign w:val="center"/>
          </w:tcPr>
          <w:p>
            <w:pPr>
              <w:spacing w:line="0" w:lineRule="atLeast"/>
              <w:rPr>
                <w:rStyle w:val="10"/>
                <w:rFonts w:eastAsia="方正楷体_GBK"/>
                <w:color w:val="000000" w:themeColor="text1"/>
                <w:sz w:val="24"/>
                <w:szCs w:val="24"/>
              </w:rPr>
            </w:pPr>
            <w:r>
              <w:rPr>
                <w:rStyle w:val="10"/>
                <w:rFonts w:hint="eastAsia" w:eastAsia="方正楷体_GBK"/>
                <w:color w:val="000000" w:themeColor="text1"/>
                <w:sz w:val="24"/>
                <w:szCs w:val="24"/>
              </w:rPr>
              <w:t>2.以成果转化支撑新兴产业</w:t>
            </w: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高技术制造业投资占工业投资比重比上年提高0.5个百分点。</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工信局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市统计局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战略性新兴产业实际利用外资占比超65%。</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招商局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商务局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restart"/>
            <w:vAlign w:val="center"/>
          </w:tcPr>
          <w:p>
            <w:pPr>
              <w:spacing w:line="0" w:lineRule="atLeast"/>
              <w:rPr>
                <w:rStyle w:val="10"/>
                <w:rFonts w:eastAsia="方正楷体_GBK"/>
                <w:color w:val="000000" w:themeColor="text1"/>
                <w:sz w:val="24"/>
                <w:szCs w:val="24"/>
              </w:rPr>
            </w:pPr>
            <w:r>
              <w:rPr>
                <w:rStyle w:val="10"/>
                <w:rFonts w:hint="eastAsia" w:eastAsia="方正楷体_GBK"/>
                <w:color w:val="000000" w:themeColor="text1"/>
                <w:sz w:val="24"/>
                <w:szCs w:val="24"/>
              </w:rPr>
              <w:t>3.以双招双引壮大优势产业</w:t>
            </w: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新签约10亿元以上项目30个、30亿元以上项目6个、50亿元以上项目4个、超百亿元项目1个。</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招商局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市商务局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牵头编制产业链招商项目目录。</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招商局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市商务局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restart"/>
            <w:vAlign w:val="center"/>
          </w:tcPr>
          <w:p>
            <w:pPr>
              <w:spacing w:line="0" w:lineRule="atLeast"/>
              <w:rPr>
                <w:rStyle w:val="10"/>
                <w:rFonts w:eastAsia="方正楷体_GBK"/>
                <w:color w:val="000000" w:themeColor="text1"/>
                <w:sz w:val="24"/>
                <w:szCs w:val="24"/>
              </w:rPr>
            </w:pPr>
            <w:r>
              <w:rPr>
                <w:rStyle w:val="10"/>
                <w:rFonts w:hint="eastAsia" w:eastAsia="方正楷体_GBK"/>
                <w:color w:val="000000" w:themeColor="text1"/>
                <w:sz w:val="24"/>
                <w:szCs w:val="24"/>
              </w:rPr>
              <w:t>4.以高新技术改造传统产业</w:t>
            </w: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全年实施重点技改项目不少于100个，完成工业技改投资超100亿元。</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工信局</w:t>
            </w:r>
          </w:p>
        </w:tc>
        <w:tc>
          <w:tcPr>
            <w:tcW w:w="2867" w:type="dxa"/>
            <w:vAlign w:val="center"/>
          </w:tcPr>
          <w:p>
            <w:pPr>
              <w:spacing w:line="0" w:lineRule="atLeas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全年建设省级农村科技服务超市分店1家、便利店1家、省级星创天地1家。</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0" w:lineRule="atLeas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3</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农业科技进步贡献率力争达到71.8%。</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市农业农村局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restart"/>
            <w:vAlign w:val="center"/>
          </w:tcPr>
          <w:p>
            <w:pPr>
              <w:spacing w:line="0" w:lineRule="atLeast"/>
              <w:rPr>
                <w:rStyle w:val="10"/>
                <w:rFonts w:eastAsia="方正楷体_GBK"/>
                <w:color w:val="000000" w:themeColor="text1"/>
                <w:sz w:val="24"/>
                <w:szCs w:val="24"/>
              </w:rPr>
            </w:pPr>
            <w:r>
              <w:rPr>
                <w:rStyle w:val="10"/>
                <w:rFonts w:hint="eastAsia" w:eastAsia="方正楷体_GBK"/>
                <w:color w:val="000000" w:themeColor="text1"/>
                <w:sz w:val="24"/>
                <w:szCs w:val="24"/>
              </w:rPr>
              <w:t>二、实施创新主体扩容行动，构建创新型企业新梯队</w:t>
            </w:r>
          </w:p>
        </w:tc>
        <w:tc>
          <w:tcPr>
            <w:tcW w:w="1411" w:type="dxa"/>
            <w:vMerge w:val="restart"/>
            <w:vAlign w:val="center"/>
          </w:tcPr>
          <w:p>
            <w:pPr>
              <w:spacing w:line="0" w:lineRule="atLeast"/>
              <w:rPr>
                <w:rStyle w:val="10"/>
                <w:rFonts w:eastAsia="方正楷体_GBK"/>
                <w:color w:val="000000" w:themeColor="text1"/>
                <w:sz w:val="24"/>
                <w:szCs w:val="24"/>
              </w:rPr>
            </w:pPr>
            <w:r>
              <w:rPr>
                <w:rStyle w:val="10"/>
                <w:rFonts w:hint="eastAsia" w:eastAsia="方正楷体_GBK"/>
                <w:color w:val="000000" w:themeColor="text1"/>
                <w:sz w:val="24"/>
                <w:szCs w:val="24"/>
              </w:rPr>
              <w:t>5.打好高企引育攻坚战</w:t>
            </w: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全市净增高新技术企业150家，有效期内高新技术企业数达650家。</w:t>
            </w:r>
          </w:p>
        </w:tc>
        <w:tc>
          <w:tcPr>
            <w:tcW w:w="150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市科技局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市财政局、市税务局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0" w:lineRule="atLeast"/>
              <w:rPr>
                <w:rStyle w:val="10"/>
                <w:rFonts w:eastAsia="方正楷体_GBK"/>
                <w:color w:val="000000" w:themeColor="text1"/>
                <w:spacing w:val="-2"/>
                <w:sz w:val="24"/>
                <w:szCs w:val="24"/>
              </w:rPr>
            </w:pPr>
            <w:r>
              <w:rPr>
                <w:rStyle w:val="10"/>
                <w:rFonts w:hint="eastAsia" w:eastAsia="方正楷体_GBK"/>
                <w:color w:val="000000" w:themeColor="text1"/>
                <w:spacing w:val="-2"/>
                <w:sz w:val="24"/>
                <w:szCs w:val="24"/>
              </w:rPr>
              <w:t>全市高新技术企业入库培育数190家。</w:t>
            </w:r>
          </w:p>
        </w:tc>
        <w:tc>
          <w:tcPr>
            <w:tcW w:w="150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市科技局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市财政局、市税务局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restart"/>
            <w:vAlign w:val="center"/>
          </w:tcPr>
          <w:p>
            <w:pPr>
              <w:spacing w:line="0" w:lineRule="atLeast"/>
              <w:rPr>
                <w:rStyle w:val="10"/>
                <w:rFonts w:eastAsia="方正楷体_GBK"/>
                <w:color w:val="000000" w:themeColor="text1"/>
                <w:sz w:val="24"/>
                <w:szCs w:val="24"/>
              </w:rPr>
            </w:pPr>
            <w:r>
              <w:rPr>
                <w:rStyle w:val="10"/>
                <w:rFonts w:hint="eastAsia" w:eastAsia="方正楷体_GBK"/>
                <w:color w:val="000000" w:themeColor="text1"/>
                <w:sz w:val="24"/>
                <w:szCs w:val="24"/>
              </w:rPr>
              <w:t>6.壮大创新型企业队伍</w:t>
            </w: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国家科技型中小企业评价入库数1000家。</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0" w:lineRule="atLeas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0" w:lineRule="atLeast"/>
              <w:rPr>
                <w:rStyle w:val="10"/>
                <w:rFonts w:eastAsia="方正楷体_GBK"/>
                <w:color w:val="000000" w:themeColor="text1"/>
                <w:sz w:val="24"/>
                <w:szCs w:val="24"/>
              </w:rPr>
            </w:pPr>
            <w:r>
              <w:rPr>
                <w:rStyle w:val="10"/>
                <w:rFonts w:hint="eastAsia" w:eastAsia="方正楷体_GBK"/>
                <w:color w:val="000000" w:themeColor="text1"/>
                <w:sz w:val="24"/>
                <w:szCs w:val="24"/>
              </w:rPr>
              <w:t>准独角兽企业、瞪羚企业、雏鹰企业培育入库数分别达到10家、60家和220家。</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0" w:lineRule="atLeas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3</w:t>
            </w:r>
          </w:p>
        </w:tc>
        <w:tc>
          <w:tcPr>
            <w:tcW w:w="6803" w:type="dxa"/>
            <w:vAlign w:val="center"/>
          </w:tcPr>
          <w:p>
            <w:pPr>
              <w:spacing w:line="0" w:lineRule="atLeast"/>
              <w:rPr>
                <w:rStyle w:val="10"/>
                <w:rFonts w:eastAsia="方正楷体_GBK"/>
                <w:color w:val="000000" w:themeColor="text1"/>
                <w:sz w:val="24"/>
                <w:szCs w:val="24"/>
              </w:rPr>
            </w:pPr>
            <w:r>
              <w:rPr>
                <w:rStyle w:val="10"/>
                <w:rFonts w:hint="eastAsia" w:eastAsia="方正楷体_GBK"/>
                <w:color w:val="000000" w:themeColor="text1"/>
                <w:sz w:val="24"/>
                <w:szCs w:val="24"/>
              </w:rPr>
              <w:t>年内培育省科技小巨人、省专精特新企业2家。</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工信局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市发改委、市科技局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4</w:t>
            </w:r>
          </w:p>
        </w:tc>
        <w:tc>
          <w:tcPr>
            <w:tcW w:w="6803" w:type="dxa"/>
            <w:vAlign w:val="center"/>
          </w:tcPr>
          <w:p>
            <w:pPr>
              <w:spacing w:line="0" w:lineRule="atLeast"/>
              <w:rPr>
                <w:rStyle w:val="10"/>
                <w:rFonts w:eastAsia="方正楷体_GBK"/>
                <w:color w:val="000000" w:themeColor="text1"/>
                <w:sz w:val="24"/>
                <w:szCs w:val="24"/>
              </w:rPr>
            </w:pPr>
            <w:r>
              <w:rPr>
                <w:rStyle w:val="10"/>
                <w:rFonts w:hint="eastAsia" w:eastAsia="方正楷体_GBK"/>
                <w:color w:val="000000" w:themeColor="text1"/>
                <w:sz w:val="24"/>
                <w:szCs w:val="24"/>
              </w:rPr>
              <w:t>内部培育、外部招引并举，瞄准世界主要科技创新强国、国内外科创中心城市，积极招引科创企业、科技项目和创新人才。</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招商局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市委组织部、市科技局、市人社局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restart"/>
            <w:vAlign w:val="center"/>
          </w:tcPr>
          <w:p>
            <w:pPr>
              <w:spacing w:line="0" w:lineRule="atLeast"/>
              <w:rPr>
                <w:rStyle w:val="10"/>
                <w:rFonts w:eastAsia="方正楷体_GBK"/>
                <w:color w:val="000000" w:themeColor="text1"/>
                <w:sz w:val="24"/>
                <w:szCs w:val="24"/>
              </w:rPr>
            </w:pPr>
            <w:r>
              <w:rPr>
                <w:rStyle w:val="10"/>
                <w:rFonts w:hint="eastAsia" w:eastAsia="方正楷体_GBK"/>
                <w:color w:val="000000" w:themeColor="text1"/>
                <w:sz w:val="24"/>
                <w:szCs w:val="24"/>
              </w:rPr>
              <w:t>7.打造企业创新强磁场</w:t>
            </w: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全社会研发投入占GDP的比重达3.3%。</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市统计局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规上工业企业中有研发活动企业数占比50%以上。</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市统计局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3</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全年完成技术合同成交额50亿元。</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0" w:lineRule="atLeas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4</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新建省级以上企业研发机构12家、市级企业研发机构80家。</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市工信局、市人社局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restart"/>
            <w:vAlign w:val="center"/>
          </w:tcPr>
          <w:p>
            <w:pPr>
              <w:spacing w:line="0" w:lineRule="atLeast"/>
              <w:rPr>
                <w:rStyle w:val="10"/>
                <w:rFonts w:eastAsia="方正楷体_GBK"/>
                <w:color w:val="000000" w:themeColor="text1"/>
                <w:sz w:val="24"/>
                <w:szCs w:val="24"/>
              </w:rPr>
            </w:pPr>
            <w:r>
              <w:rPr>
                <w:rStyle w:val="10"/>
                <w:rFonts w:hint="eastAsia" w:eastAsia="方正楷体_GBK"/>
                <w:color w:val="000000" w:themeColor="text1"/>
                <w:sz w:val="24"/>
                <w:szCs w:val="24"/>
              </w:rPr>
              <w:t>8.构建协同创新新格局</w:t>
            </w: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制定“校地对接行动计划”（2020</w:t>
            </w:r>
            <w:r>
              <w:rPr>
                <w:rFonts w:hint="eastAsia" w:asciiTheme="minorEastAsia" w:hAnsiTheme="minorEastAsia" w:eastAsiaTheme="minorEastAsia"/>
                <w:spacing w:val="3"/>
                <w:sz w:val="24"/>
                <w:szCs w:val="24"/>
              </w:rPr>
              <w:t>－</w:t>
            </w:r>
            <w:r>
              <w:rPr>
                <w:rStyle w:val="10"/>
                <w:rFonts w:hint="eastAsia" w:eastAsia="方正楷体_GBK"/>
                <w:color w:val="000000" w:themeColor="text1"/>
                <w:sz w:val="24"/>
                <w:szCs w:val="24"/>
                <w:lang w:val="zh-CN"/>
              </w:rPr>
              <w:t>2022），深化密切产学研合作。</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市工商联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438" w:type="dxa"/>
            <w:vMerge w:val="continue"/>
            <w:vAlign w:val="center"/>
          </w:tcPr>
          <w:p>
            <w:pPr>
              <w:spacing w:line="0" w:lineRule="atLeast"/>
              <w:rPr>
                <w:rStyle w:val="10"/>
                <w:rFonts w:eastAsia="方正楷体_GBK"/>
                <w:color w:val="000000" w:themeColor="text1"/>
                <w:sz w:val="24"/>
                <w:szCs w:val="24"/>
              </w:rPr>
            </w:pPr>
          </w:p>
        </w:tc>
        <w:tc>
          <w:tcPr>
            <w:tcW w:w="1411" w:type="dxa"/>
            <w:vMerge w:val="continue"/>
            <w:vAlign w:val="center"/>
          </w:tcPr>
          <w:p>
            <w:pPr>
              <w:spacing w:line="0" w:lineRule="atLeast"/>
              <w:rPr>
                <w:rStyle w:val="10"/>
                <w:rFonts w:eastAsia="方正楷体_GBK"/>
                <w:color w:val="000000" w:themeColor="text1"/>
                <w:sz w:val="24"/>
                <w:szCs w:val="24"/>
              </w:rPr>
            </w:pP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深入实施“江阴市产学研双百行动计划”，全年实施重点产学研合作项目60项。</w:t>
            </w:r>
          </w:p>
        </w:tc>
        <w:tc>
          <w:tcPr>
            <w:tcW w:w="1507"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0" w:lineRule="atLeas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市工商联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38"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二、实施创新主体扩容行动，构建创新型企业新梯队</w:t>
            </w:r>
          </w:p>
        </w:tc>
        <w:tc>
          <w:tcPr>
            <w:tcW w:w="1411" w:type="dxa"/>
            <w:vMerge w:val="restart"/>
            <w:vAlign w:val="center"/>
          </w:tcPr>
          <w:p>
            <w:pPr>
              <w:spacing w:line="0" w:lineRule="atLeast"/>
              <w:rPr>
                <w:rStyle w:val="10"/>
                <w:rFonts w:eastAsia="方正楷体_GBK"/>
                <w:color w:val="000000" w:themeColor="text1"/>
                <w:sz w:val="24"/>
                <w:szCs w:val="24"/>
              </w:rPr>
            </w:pPr>
            <w:r>
              <w:rPr>
                <w:rStyle w:val="10"/>
                <w:rFonts w:hint="eastAsia" w:eastAsia="方正楷体_GBK"/>
                <w:color w:val="000000" w:themeColor="text1"/>
                <w:sz w:val="24"/>
                <w:szCs w:val="24"/>
              </w:rPr>
              <w:t>9.增强标准质量品牌优势</w:t>
            </w:r>
          </w:p>
        </w:tc>
        <w:tc>
          <w:tcPr>
            <w:tcW w:w="808" w:type="dxa"/>
            <w:vAlign w:val="center"/>
          </w:tcPr>
          <w:p>
            <w:pPr>
              <w:spacing w:line="0" w:lineRule="atLeas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0" w:lineRule="atLeast"/>
              <w:rPr>
                <w:rStyle w:val="10"/>
                <w:rFonts w:eastAsia="方正楷体_GBK"/>
                <w:color w:val="000000" w:themeColor="text1"/>
                <w:sz w:val="24"/>
                <w:szCs w:val="24"/>
              </w:rPr>
            </w:pPr>
            <w:r>
              <w:rPr>
                <w:rStyle w:val="10"/>
                <w:rFonts w:hint="eastAsia" w:eastAsia="方正楷体_GBK"/>
                <w:color w:val="000000" w:themeColor="text1"/>
                <w:sz w:val="24"/>
                <w:szCs w:val="24"/>
                <w:lang w:val="zh-CN"/>
              </w:rPr>
              <w:t>建成1个国家级技术标准创新基地，全年主导参与制（修）订国际、国家、行业标准18个，规上工业企业主导（参与）地方、团体及以上标准拥有率达到30%。</w:t>
            </w:r>
          </w:p>
        </w:tc>
        <w:tc>
          <w:tcPr>
            <w:tcW w:w="1507" w:type="dxa"/>
            <w:vAlign w:val="center"/>
          </w:tcPr>
          <w:p>
            <w:pPr>
              <w:spacing w:line="0" w:lineRule="atLeast"/>
              <w:ind w:left="-64" w:leftChars="-20" w:right="-64" w:rightChars="-20"/>
              <w:jc w:val="center"/>
              <w:rPr>
                <w:rStyle w:val="10"/>
                <w:rFonts w:eastAsia="方正楷体_GBK"/>
                <w:color w:val="000000" w:themeColor="text1"/>
                <w:spacing w:val="-10"/>
                <w:sz w:val="24"/>
                <w:szCs w:val="24"/>
              </w:rPr>
            </w:pPr>
            <w:r>
              <w:rPr>
                <w:rStyle w:val="10"/>
                <w:rFonts w:hint="eastAsia" w:eastAsia="方正楷体_GBK"/>
                <w:color w:val="000000" w:themeColor="text1"/>
                <w:spacing w:val="-10"/>
                <w:sz w:val="24"/>
                <w:szCs w:val="24"/>
                <w:lang w:val="zh-CN"/>
              </w:rPr>
              <w:t>市</w:t>
            </w:r>
            <w:r>
              <w:rPr>
                <w:rStyle w:val="10"/>
                <w:rFonts w:hint="eastAsia" w:eastAsia="方正楷体_GBK"/>
                <w:color w:val="000000" w:themeColor="text1"/>
                <w:spacing w:val="-10"/>
                <w:sz w:val="24"/>
                <w:szCs w:val="24"/>
              </w:rPr>
              <w:t>市场监管局</w:t>
            </w:r>
          </w:p>
        </w:tc>
        <w:tc>
          <w:tcPr>
            <w:tcW w:w="2867" w:type="dxa"/>
            <w:vAlign w:val="center"/>
          </w:tcPr>
          <w:p>
            <w:pPr>
              <w:spacing w:line="0" w:lineRule="atLeas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lang w:val="zh-CN"/>
              </w:rPr>
              <w:t>大力实施名品名牌培育工程，年内新增中国驰名商标1件。</w:t>
            </w:r>
          </w:p>
        </w:tc>
        <w:tc>
          <w:tcPr>
            <w:tcW w:w="1507" w:type="dxa"/>
            <w:vAlign w:val="center"/>
          </w:tcPr>
          <w:p>
            <w:pPr>
              <w:spacing w:line="300" w:lineRule="exact"/>
              <w:ind w:left="-64" w:leftChars="-20" w:right="-64" w:rightChars="-20"/>
              <w:jc w:val="center"/>
              <w:rPr>
                <w:rStyle w:val="10"/>
                <w:rFonts w:eastAsia="方正楷体_GBK"/>
                <w:color w:val="000000" w:themeColor="text1"/>
                <w:spacing w:val="-10"/>
                <w:sz w:val="24"/>
                <w:szCs w:val="24"/>
              </w:rPr>
            </w:pPr>
            <w:r>
              <w:rPr>
                <w:rStyle w:val="10"/>
                <w:rFonts w:hint="eastAsia" w:eastAsia="方正楷体_GBK"/>
                <w:color w:val="000000" w:themeColor="text1"/>
                <w:spacing w:val="-10"/>
                <w:sz w:val="24"/>
                <w:szCs w:val="24"/>
                <w:lang w:val="zh-CN"/>
              </w:rPr>
              <w:t>市</w:t>
            </w:r>
            <w:r>
              <w:rPr>
                <w:rStyle w:val="10"/>
                <w:rFonts w:hint="eastAsia" w:eastAsia="方正楷体_GBK"/>
                <w:color w:val="000000" w:themeColor="text1"/>
                <w:spacing w:val="-10"/>
                <w:sz w:val="24"/>
                <w:szCs w:val="24"/>
              </w:rPr>
              <w:t>市场监管局</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10.强化知识产权创造、运用和保护</w:t>
            </w:r>
          </w:p>
        </w:tc>
        <w:tc>
          <w:tcPr>
            <w:tcW w:w="808" w:type="dxa"/>
            <w:vAlign w:val="center"/>
          </w:tcPr>
          <w:p>
            <w:pPr>
              <w:spacing w:line="300" w:lineRule="exact"/>
              <w:jc w:val="center"/>
              <w:rPr>
                <w:rStyle w:val="10"/>
                <w:rFonts w:eastAsia="方正楷体_GBK"/>
                <w:color w:val="000000" w:themeColor="text1"/>
                <w:spacing w:val="-2"/>
                <w:sz w:val="24"/>
                <w:szCs w:val="24"/>
              </w:rPr>
            </w:pPr>
            <w:r>
              <w:rPr>
                <w:rStyle w:val="10"/>
                <w:rFonts w:hint="eastAsia" w:eastAsia="方正楷体_GBK"/>
                <w:color w:val="000000" w:themeColor="text1"/>
                <w:spacing w:val="-2"/>
                <w:sz w:val="24"/>
                <w:szCs w:val="24"/>
              </w:rPr>
              <w:t>1</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加强知识产权保护，加快高价值专利培育，年末万人有效发明专利拥有量达23.5件。</w:t>
            </w:r>
          </w:p>
        </w:tc>
        <w:tc>
          <w:tcPr>
            <w:tcW w:w="1507" w:type="dxa"/>
            <w:vAlign w:val="center"/>
          </w:tcPr>
          <w:p>
            <w:pPr>
              <w:spacing w:line="300" w:lineRule="exact"/>
              <w:ind w:left="-64" w:leftChars="-20" w:right="-64" w:rightChars="-20"/>
              <w:jc w:val="center"/>
              <w:rPr>
                <w:rStyle w:val="10"/>
                <w:rFonts w:eastAsia="方正楷体_GBK"/>
                <w:color w:val="000000" w:themeColor="text1"/>
                <w:spacing w:val="-10"/>
                <w:sz w:val="24"/>
                <w:szCs w:val="24"/>
              </w:rPr>
            </w:pPr>
            <w:r>
              <w:rPr>
                <w:rStyle w:val="10"/>
                <w:rFonts w:hint="eastAsia" w:eastAsia="方正楷体_GBK"/>
                <w:color w:val="000000" w:themeColor="text1"/>
                <w:spacing w:val="-10"/>
                <w:sz w:val="24"/>
                <w:szCs w:val="24"/>
                <w:lang w:val="zh-CN"/>
              </w:rPr>
              <w:t>市</w:t>
            </w:r>
            <w:r>
              <w:rPr>
                <w:rStyle w:val="10"/>
                <w:rFonts w:hint="eastAsia" w:eastAsia="方正楷体_GBK"/>
                <w:color w:val="000000" w:themeColor="text1"/>
                <w:spacing w:val="-10"/>
                <w:sz w:val="24"/>
                <w:szCs w:val="24"/>
              </w:rPr>
              <w:t>市场监管局</w:t>
            </w:r>
          </w:p>
        </w:tc>
        <w:tc>
          <w:tcPr>
            <w:tcW w:w="2867" w:type="dxa"/>
            <w:vAlign w:val="center"/>
          </w:tcPr>
          <w:p>
            <w:pPr>
              <w:spacing w:line="300" w:lineRule="exact"/>
              <w:jc w:val="center"/>
              <w:rPr>
                <w:rStyle w:val="10"/>
                <w:rFonts w:eastAsia="方正楷体_GBK"/>
                <w:color w:val="000000" w:themeColor="text1"/>
                <w:spacing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38"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三、实施重点平台优化行动，打造创新驱动新引擎</w:t>
            </w:r>
          </w:p>
        </w:tc>
        <w:tc>
          <w:tcPr>
            <w:tcW w:w="1411"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11.高标准推进苏南自主创新示范区核心区建设，强化高新区创新发展引领地位</w:t>
            </w:r>
          </w:p>
        </w:tc>
        <w:tc>
          <w:tcPr>
            <w:tcW w:w="808" w:type="dxa"/>
            <w:vAlign w:val="center"/>
          </w:tcPr>
          <w:p>
            <w:pPr>
              <w:spacing w:line="300" w:lineRule="exact"/>
              <w:jc w:val="center"/>
              <w:rPr>
                <w:rStyle w:val="10"/>
                <w:rFonts w:eastAsia="方正楷体_GBK"/>
                <w:color w:val="000000" w:themeColor="text1"/>
                <w:spacing w:val="-2"/>
                <w:sz w:val="24"/>
                <w:szCs w:val="24"/>
              </w:rPr>
            </w:pPr>
            <w:r>
              <w:rPr>
                <w:rStyle w:val="10"/>
                <w:rFonts w:hint="eastAsia" w:eastAsia="方正楷体_GBK"/>
                <w:color w:val="000000" w:themeColor="text1"/>
                <w:spacing w:val="-2"/>
                <w:sz w:val="24"/>
                <w:szCs w:val="24"/>
              </w:rPr>
              <w:t>1</w:t>
            </w:r>
          </w:p>
        </w:tc>
        <w:tc>
          <w:tcPr>
            <w:tcW w:w="6803" w:type="dxa"/>
            <w:vAlign w:val="center"/>
          </w:tcPr>
          <w:p>
            <w:pPr>
              <w:spacing w:line="300" w:lineRule="exact"/>
              <w:rPr>
                <w:rStyle w:val="10"/>
                <w:rFonts w:eastAsia="方正楷体_GBK"/>
                <w:color w:val="000000" w:themeColor="text1"/>
                <w:spacing w:val="-2"/>
                <w:sz w:val="24"/>
                <w:szCs w:val="24"/>
              </w:rPr>
            </w:pPr>
            <w:r>
              <w:rPr>
                <w:rStyle w:val="10"/>
                <w:rFonts w:hint="eastAsia" w:eastAsia="方正楷体_GBK"/>
                <w:color w:val="000000" w:themeColor="text1"/>
                <w:spacing w:val="-2"/>
                <w:sz w:val="24"/>
                <w:szCs w:val="24"/>
              </w:rPr>
              <w:t>高新区全社会研发经费支出占GDP 的比重达到5.5%以上。</w:t>
            </w:r>
          </w:p>
        </w:tc>
        <w:tc>
          <w:tcPr>
            <w:tcW w:w="1507" w:type="dxa"/>
            <w:vAlign w:val="center"/>
          </w:tcPr>
          <w:p>
            <w:pPr>
              <w:spacing w:line="300" w:lineRule="exact"/>
              <w:jc w:val="center"/>
              <w:rPr>
                <w:rStyle w:val="10"/>
                <w:rFonts w:eastAsia="方正楷体_GBK"/>
                <w:color w:val="000000" w:themeColor="text1"/>
                <w:spacing w:val="-2"/>
                <w:sz w:val="24"/>
                <w:szCs w:val="24"/>
              </w:rPr>
            </w:pPr>
            <w:r>
              <w:rPr>
                <w:rStyle w:val="10"/>
                <w:rFonts w:hint="eastAsia" w:eastAsia="方正楷体_GBK"/>
                <w:color w:val="000000" w:themeColor="text1"/>
                <w:spacing w:val="-2"/>
                <w:sz w:val="24"/>
                <w:szCs w:val="24"/>
              </w:rPr>
              <w:t>高新区</w:t>
            </w:r>
          </w:p>
        </w:tc>
        <w:tc>
          <w:tcPr>
            <w:tcW w:w="2867" w:type="dxa"/>
            <w:vAlign w:val="center"/>
          </w:tcPr>
          <w:p>
            <w:pPr>
              <w:spacing w:line="300" w:lineRule="exact"/>
              <w:jc w:val="center"/>
              <w:rPr>
                <w:rStyle w:val="10"/>
                <w:rFonts w:eastAsia="方正楷体_GBK"/>
                <w:color w:val="000000" w:themeColor="text1"/>
                <w:spacing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高新技术产业产值占规上工业总产值的比重达到</w:t>
            </w:r>
            <w:r>
              <w:rPr>
                <w:rStyle w:val="10"/>
                <w:rFonts w:hint="eastAsia" w:eastAsia="方正楷体_GBK"/>
                <w:color w:val="000000" w:themeColor="text1"/>
                <w:spacing w:val="-2"/>
                <w:sz w:val="24"/>
                <w:szCs w:val="24"/>
              </w:rPr>
              <w:t>55%以上。</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pacing w:val="-2"/>
                <w:sz w:val="24"/>
                <w:szCs w:val="24"/>
              </w:rPr>
              <w:t>高新区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3</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万人有效发明专利拥有量达到70件以上。</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pacing w:val="-2"/>
                <w:sz w:val="24"/>
                <w:szCs w:val="24"/>
              </w:rPr>
              <w:t>高新区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4</w:t>
            </w:r>
          </w:p>
        </w:tc>
        <w:tc>
          <w:tcPr>
            <w:tcW w:w="6803" w:type="dxa"/>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净增高新技术企业40家，科技型中小企业评价入库168家。培育无锡市雏鹰企业入库50家、瞪羚企业入库20家、准独角兽企业入库3家。</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pacing w:val="-2"/>
                <w:sz w:val="24"/>
                <w:szCs w:val="24"/>
              </w:rPr>
              <w:t>高新区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5</w:t>
            </w:r>
          </w:p>
        </w:tc>
        <w:tc>
          <w:tcPr>
            <w:tcW w:w="6803" w:type="dxa"/>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整体竞争力显著提升，在全国高新区排名上升5位。</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pacing w:val="-2"/>
                <w:sz w:val="24"/>
                <w:szCs w:val="24"/>
              </w:rPr>
              <w:t>高新区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12.以国家级经济技术开发区为目标，全面提升临港开发区创新能级</w:t>
            </w: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全社会研发投入占比达4.4%以上。</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临港开发区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高新技术产业产值占比达44%以上。</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临港开发区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3</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高新技术企业净增40家，科技型中小企业入库186家。培育无锡市雏鹰企业培育入库50家、瞪羚企业培育入库20家、准独角兽企业培育入库3家。</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临港开发区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4</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万人有效发明专利拥有量超39件。</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临港开发区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438"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三、实施重点平台优化行动，打造创新驱动新引擎</w:t>
            </w:r>
          </w:p>
        </w:tc>
        <w:tc>
          <w:tcPr>
            <w:tcW w:w="1411"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13.发挥区域叠加优势，创建高质量跨江融合发展实验区</w:t>
            </w: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瞄准千亿园区目标，打造金属新材料、装备制造、汽车零部件、船舶及配件高精钢构和现代服务业等6个百亿级产业群。</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靖江园区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加快建设临江先进制造业和现代港口物流业两大基地，深入推动下六圩港11个3000吨级内河码头建设。</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靖江园区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14.优化镇街产业空间布局</w:t>
            </w: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以高新技术企业招引和培育为重点，制定完善镇街工业集中区建设规划和产业发展规划，促进特色产业加快发展。</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发改委</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鼓励特色小镇、城市综合体等新型载体开展灵活适用的集成创新和非研发创新，形成一批应用普适技术。</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各镇街</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3</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整治散乱污企业，盘活低效用地资源，加强对工业企业资源利用绩效评价结果的应用，年内实现单位GDP建设用地占用下降率达5%，盘活存量土地6600亩、低效用地开发1600亩。</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市自然资源规划局</w:t>
            </w:r>
          </w:p>
        </w:tc>
        <w:tc>
          <w:tcPr>
            <w:tcW w:w="2867" w:type="dxa"/>
            <w:vAlign w:val="center"/>
          </w:tcPr>
          <w:p>
            <w:pPr>
              <w:spacing w:line="300" w:lineRule="exact"/>
              <w:ind w:left="-128" w:leftChars="-40" w:right="-128" w:rightChars="-40"/>
              <w:jc w:val="center"/>
              <w:rPr>
                <w:rStyle w:val="10"/>
                <w:rFonts w:eastAsia="方正楷体_GBK"/>
                <w:color w:val="000000" w:themeColor="text1"/>
                <w:spacing w:val="-10"/>
                <w:sz w:val="24"/>
                <w:szCs w:val="24"/>
              </w:rPr>
            </w:pPr>
            <w:r>
              <w:rPr>
                <w:rStyle w:val="10"/>
                <w:rFonts w:hint="eastAsia" w:eastAsia="方正楷体_GBK"/>
                <w:color w:val="000000" w:themeColor="text1"/>
                <w:spacing w:val="-10"/>
                <w:sz w:val="24"/>
                <w:szCs w:val="24"/>
                <w:lang w:val="zh-CN"/>
              </w:rPr>
              <w:t>市</w:t>
            </w:r>
            <w:r>
              <w:rPr>
                <w:rStyle w:val="10"/>
                <w:rFonts w:hint="eastAsia" w:eastAsia="方正楷体_GBK"/>
                <w:color w:val="000000" w:themeColor="text1"/>
                <w:spacing w:val="-10"/>
                <w:sz w:val="24"/>
                <w:szCs w:val="24"/>
              </w:rPr>
              <w:t>工信局、江阴生态环境局、</w:t>
            </w:r>
          </w:p>
          <w:p>
            <w:pPr>
              <w:spacing w:line="300" w:lineRule="exact"/>
              <w:ind w:left="-128" w:leftChars="-40" w:right="-128" w:rightChars="-40"/>
              <w:jc w:val="center"/>
              <w:rPr>
                <w:rStyle w:val="10"/>
                <w:rFonts w:eastAsia="方正楷体_GBK"/>
                <w:color w:val="000000" w:themeColor="text1"/>
                <w:sz w:val="24"/>
                <w:szCs w:val="24"/>
                <w:lang w:val="zh-CN"/>
              </w:rPr>
            </w:pPr>
            <w:r>
              <w:rPr>
                <w:rStyle w:val="10"/>
                <w:rFonts w:hint="eastAsia" w:eastAsia="方正楷体_GBK"/>
                <w:color w:val="000000" w:themeColor="text1"/>
                <w:spacing w:val="-10"/>
                <w:sz w:val="24"/>
                <w:szCs w:val="24"/>
              </w:rPr>
              <w:t>各镇街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38"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四、实施高端人才引育行动，开创创新发展新局面</w:t>
            </w:r>
          </w:p>
        </w:tc>
        <w:tc>
          <w:tcPr>
            <w:tcW w:w="1411"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15.集聚高层次创新创业人才</w:t>
            </w: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全年新引育国家特聘专家5人，引育海外高端人才、省“双创计划”、无锡“太湖人才计划”等高层次人才50人，柔性合作专家教授500名。</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市委</w:t>
            </w:r>
            <w:r>
              <w:rPr>
                <w:rStyle w:val="10"/>
                <w:rFonts w:hint="eastAsia" w:eastAsia="方正楷体_GBK"/>
                <w:color w:val="000000" w:themeColor="text1"/>
                <w:sz w:val="24"/>
                <w:szCs w:val="24"/>
              </w:rPr>
              <w:t>组织部</w:t>
            </w:r>
          </w:p>
        </w:tc>
        <w:tc>
          <w:tcPr>
            <w:tcW w:w="286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市科技局、市工信局、</w:t>
            </w:r>
          </w:p>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市人社局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充分发挥中国国际人才市场江阴市场能效，加大海外智力引进，全年新签约海外人才合作项目10项。</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30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市委组织部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16.培育产业经济急需技术人才</w:t>
            </w: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全年招引优秀大学毕业生5000名，年末全市各类人才总量达39万人。</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人社局</w:t>
            </w:r>
          </w:p>
        </w:tc>
        <w:tc>
          <w:tcPr>
            <w:tcW w:w="2867" w:type="dxa"/>
            <w:vAlign w:val="center"/>
          </w:tcPr>
          <w:p>
            <w:pPr>
              <w:spacing w:line="30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市委组织部、市科技局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鼓励企业与国内高校院所联合培养技术人才，建立产教融合、工学一体的技能人才培养模式，为企业提供分层次、菜单式的人才培育服务，年内新增高技能能人才5000名。</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人社局</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08" w:hRule="atLeast"/>
          <w:jc w:val="center"/>
        </w:trPr>
        <w:tc>
          <w:tcPr>
            <w:tcW w:w="1438"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四、实施高端人才引育行动，开创创新发展新局面</w:t>
            </w:r>
          </w:p>
        </w:tc>
        <w:tc>
          <w:tcPr>
            <w:tcW w:w="1411"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17.造就一批优秀科技型企业家。</w:t>
            </w: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0" w:lineRule="atLeas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启动实施企业家国际化素质提升工程、中生代企业家基业长青工程、新生代企业家“常青藤”工程。年内举办“新生代企业家研修班”，组织企业参加无锡举办的各类特色培训，组织企业申报高管人才项目。</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市委组织部</w:t>
            </w:r>
          </w:p>
        </w:tc>
        <w:tc>
          <w:tcPr>
            <w:tcW w:w="2867" w:type="dxa"/>
            <w:vAlign w:val="center"/>
          </w:tcPr>
          <w:p>
            <w:pPr>
              <w:spacing w:line="30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工信局</w:t>
            </w:r>
            <w:r>
              <w:rPr>
                <w:rStyle w:val="10"/>
                <w:rFonts w:hint="eastAsia" w:eastAsia="方正楷体_GBK"/>
                <w:color w:val="000000" w:themeColor="text1"/>
                <w:sz w:val="24"/>
                <w:szCs w:val="24"/>
                <w:lang w:val="zh-CN"/>
              </w:rPr>
              <w:t>、市工商联、</w:t>
            </w:r>
          </w:p>
          <w:p>
            <w:pPr>
              <w:spacing w:line="30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市科技局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依托“江阴科技课堂”，对“省科技企业家”等科技工作者开展创新素质和创新能力再提升培训，培养更多具有宽广知识面、国际化视野、卓越领导力的优秀科技企业家。</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30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市委组织部、市科协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1438"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五、实施创新生态系统改善行动，激发高质量发展新动能</w:t>
            </w:r>
          </w:p>
        </w:tc>
        <w:tc>
          <w:tcPr>
            <w:tcW w:w="1411"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18.新建一批重大创新载体</w:t>
            </w: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着力打造“众创空间—孵化器—加速器—产业园区”全周期创新生态链，加快要素集聚、企业孵化、产业培育，年内新增各类孵化器和众创空间3个。</w:t>
            </w:r>
          </w:p>
        </w:tc>
        <w:tc>
          <w:tcPr>
            <w:tcW w:w="1507" w:type="dxa"/>
            <w:vAlign w:val="center"/>
          </w:tcPr>
          <w:p>
            <w:pPr>
              <w:spacing w:line="30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市科技局</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推动高新区启星智能制造产业园载体升级；全面加快青阳园区建设。</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高新区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3</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改造提升百桥生物孵化园，启动规划建设生物医药加速器二期，推进天安数码城申报国家级孵化器。</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高新区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4</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深入推进科技创新区域一体化，力争年内在上海张江揭牌运营飞地孵化器。</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高新区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5</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启动南理工科技园建设。</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临港开发区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19.大力发展公共研发平台</w:t>
            </w: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高新区金属材料创新研究院取得实质性成效。</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高新区</w:t>
            </w:r>
          </w:p>
        </w:tc>
        <w:tc>
          <w:tcPr>
            <w:tcW w:w="2867" w:type="dxa"/>
            <w:vAlign w:val="center"/>
          </w:tcPr>
          <w:p>
            <w:pPr>
              <w:spacing w:line="30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市科技局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高新区、临港开发区各新建新型研发机构1个。</w:t>
            </w:r>
          </w:p>
        </w:tc>
        <w:tc>
          <w:tcPr>
            <w:tcW w:w="1507" w:type="dxa"/>
            <w:vAlign w:val="center"/>
          </w:tcPr>
          <w:p>
            <w:pPr>
              <w:spacing w:line="30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高新区</w:t>
            </w:r>
          </w:p>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临港开发区</w:t>
            </w:r>
          </w:p>
        </w:tc>
        <w:tc>
          <w:tcPr>
            <w:tcW w:w="2867" w:type="dxa"/>
            <w:vAlign w:val="center"/>
          </w:tcPr>
          <w:p>
            <w:pPr>
              <w:spacing w:line="30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市科技局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3</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推进中国工业互联网研究院长三角分院建设。</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临港开发区</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38" w:type="dxa"/>
            <w:vMerge w:val="continue"/>
            <w:vAlign w:val="center"/>
          </w:tcPr>
          <w:p>
            <w:pPr>
              <w:spacing w:line="30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4</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rPr>
              <w:t>加强</w:t>
            </w:r>
            <w:r>
              <w:rPr>
                <w:rStyle w:val="10"/>
                <w:rFonts w:hint="eastAsia" w:eastAsia="方正楷体_GBK"/>
                <w:color w:val="000000" w:themeColor="text1"/>
                <w:sz w:val="24"/>
                <w:szCs w:val="24"/>
                <w:lang w:val="zh-CN"/>
              </w:rPr>
              <w:t>新型研发机构建设运行管理，出台新型研发机构建设运营管理办法。</w:t>
            </w:r>
          </w:p>
        </w:tc>
        <w:tc>
          <w:tcPr>
            <w:tcW w:w="1507" w:type="dxa"/>
            <w:vAlign w:val="center"/>
          </w:tcPr>
          <w:p>
            <w:pPr>
              <w:spacing w:line="30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市科技局</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438" w:type="dxa"/>
            <w:vMerge w:val="restart"/>
            <w:vAlign w:val="center"/>
          </w:tcPr>
          <w:p>
            <w:pPr>
              <w:spacing w:line="270" w:lineRule="exact"/>
              <w:rPr>
                <w:rStyle w:val="10"/>
                <w:rFonts w:eastAsia="方正楷体_GBK"/>
                <w:color w:val="000000" w:themeColor="text1"/>
                <w:sz w:val="24"/>
                <w:szCs w:val="24"/>
              </w:rPr>
            </w:pPr>
            <w:r>
              <w:rPr>
                <w:rStyle w:val="10"/>
                <w:rFonts w:hint="eastAsia" w:eastAsia="方正楷体_GBK"/>
                <w:color w:val="000000" w:themeColor="text1"/>
                <w:sz w:val="24"/>
                <w:szCs w:val="24"/>
              </w:rPr>
              <w:t>五、实施创新生态系统改善行动，激发高质量发展新动能</w:t>
            </w:r>
          </w:p>
        </w:tc>
        <w:tc>
          <w:tcPr>
            <w:tcW w:w="1411" w:type="dxa"/>
            <w:vMerge w:val="restart"/>
            <w:vAlign w:val="center"/>
          </w:tcPr>
          <w:p>
            <w:pPr>
              <w:spacing w:line="300" w:lineRule="exact"/>
              <w:rPr>
                <w:rStyle w:val="10"/>
                <w:rFonts w:eastAsia="方正楷体_GBK"/>
                <w:color w:val="000000" w:themeColor="text1"/>
                <w:sz w:val="24"/>
                <w:szCs w:val="24"/>
              </w:rPr>
            </w:pPr>
            <w:r>
              <w:rPr>
                <w:rStyle w:val="10"/>
                <w:rFonts w:hint="eastAsia" w:eastAsia="方正楷体_GBK"/>
                <w:color w:val="000000" w:themeColor="text1"/>
                <w:sz w:val="24"/>
                <w:szCs w:val="24"/>
              </w:rPr>
              <w:t>20.促进科技金融紧密结合</w:t>
            </w: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大力开展科技企业普惠信贷工作，年内为150家工业科技企业融资超20亿元，帮助科技企业分摊科技创新风险超10亿元。</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30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市工信局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1438" w:type="dxa"/>
            <w:vMerge w:val="continue"/>
            <w:vAlign w:val="center"/>
          </w:tcPr>
          <w:p>
            <w:pPr>
              <w:spacing w:line="27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充分发挥省科技企业融资路演服务中心江阴分中心作用，丰富科技金融产品，大力发展科技保险、政银保、贷款贴息等新型金融工具，降低企业创新风险和融资成本。</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30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市工信局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438" w:type="dxa"/>
            <w:vMerge w:val="continue"/>
            <w:vAlign w:val="center"/>
          </w:tcPr>
          <w:p>
            <w:pPr>
              <w:spacing w:line="270" w:lineRule="exact"/>
              <w:rPr>
                <w:rStyle w:val="10"/>
                <w:rFonts w:eastAsia="方正楷体_GBK"/>
                <w:color w:val="000000" w:themeColor="text1"/>
                <w:sz w:val="24"/>
                <w:szCs w:val="24"/>
              </w:rPr>
            </w:pPr>
          </w:p>
        </w:tc>
        <w:tc>
          <w:tcPr>
            <w:tcW w:w="1411" w:type="dxa"/>
            <w:vMerge w:val="continue"/>
            <w:vAlign w:val="center"/>
          </w:tcPr>
          <w:p>
            <w:pPr>
              <w:spacing w:line="300" w:lineRule="exact"/>
              <w:rPr>
                <w:rStyle w:val="10"/>
                <w:rFonts w:eastAsia="方正楷体_GBK"/>
                <w:color w:val="000000" w:themeColor="text1"/>
                <w:sz w:val="24"/>
                <w:szCs w:val="24"/>
              </w:rPr>
            </w:pPr>
          </w:p>
        </w:tc>
        <w:tc>
          <w:tcPr>
            <w:tcW w:w="808"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3</w:t>
            </w:r>
          </w:p>
        </w:tc>
        <w:tc>
          <w:tcPr>
            <w:tcW w:w="6803" w:type="dxa"/>
            <w:vAlign w:val="center"/>
          </w:tcPr>
          <w:p>
            <w:pPr>
              <w:spacing w:line="30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积极推进科创板上市工作，力争新增上市企业3家以上，实现科创板零突破，打响江阴板块品牌。</w:t>
            </w:r>
          </w:p>
        </w:tc>
        <w:tc>
          <w:tcPr>
            <w:tcW w:w="1507" w:type="dxa"/>
            <w:vAlign w:val="center"/>
          </w:tcPr>
          <w:p>
            <w:pPr>
              <w:spacing w:line="30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工信局</w:t>
            </w:r>
          </w:p>
        </w:tc>
        <w:tc>
          <w:tcPr>
            <w:tcW w:w="2867" w:type="dxa"/>
            <w:vAlign w:val="center"/>
          </w:tcPr>
          <w:p>
            <w:pPr>
              <w:spacing w:line="30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438" w:type="dxa"/>
            <w:vMerge w:val="continue"/>
            <w:vAlign w:val="center"/>
          </w:tcPr>
          <w:p>
            <w:pPr>
              <w:spacing w:line="270" w:lineRule="exact"/>
              <w:rPr>
                <w:rStyle w:val="10"/>
                <w:rFonts w:eastAsia="方正楷体_GBK"/>
                <w:color w:val="000000" w:themeColor="text1"/>
                <w:sz w:val="24"/>
                <w:szCs w:val="24"/>
              </w:rPr>
            </w:pPr>
          </w:p>
        </w:tc>
        <w:tc>
          <w:tcPr>
            <w:tcW w:w="1411" w:type="dxa"/>
            <w:vMerge w:val="restart"/>
            <w:vAlign w:val="center"/>
          </w:tcPr>
          <w:p>
            <w:pPr>
              <w:spacing w:line="270" w:lineRule="exact"/>
              <w:rPr>
                <w:rStyle w:val="10"/>
                <w:rFonts w:eastAsia="方正楷体_GBK"/>
                <w:color w:val="000000" w:themeColor="text1"/>
                <w:sz w:val="24"/>
                <w:szCs w:val="24"/>
              </w:rPr>
            </w:pPr>
            <w:r>
              <w:rPr>
                <w:rStyle w:val="10"/>
                <w:rFonts w:hint="eastAsia" w:eastAsia="方正楷体_GBK"/>
                <w:color w:val="000000" w:themeColor="text1"/>
                <w:sz w:val="24"/>
                <w:szCs w:val="24"/>
              </w:rPr>
              <w:t>21.提升科技文化软实力</w:t>
            </w:r>
          </w:p>
        </w:tc>
        <w:tc>
          <w:tcPr>
            <w:tcW w:w="808"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27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加大创新投入和政策供给，出台科技创新、创新人才政策，营造创新创业浓厚氛围。</w:t>
            </w:r>
          </w:p>
        </w:tc>
        <w:tc>
          <w:tcPr>
            <w:tcW w:w="1507"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27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市委组织部、市财政局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438" w:type="dxa"/>
            <w:vMerge w:val="continue"/>
            <w:vAlign w:val="center"/>
          </w:tcPr>
          <w:p>
            <w:pPr>
              <w:spacing w:line="270" w:lineRule="exact"/>
              <w:rPr>
                <w:rStyle w:val="10"/>
                <w:rFonts w:eastAsia="方正楷体_GBK"/>
                <w:color w:val="000000" w:themeColor="text1"/>
                <w:sz w:val="24"/>
                <w:szCs w:val="24"/>
              </w:rPr>
            </w:pPr>
          </w:p>
        </w:tc>
        <w:tc>
          <w:tcPr>
            <w:tcW w:w="1411" w:type="dxa"/>
            <w:vMerge w:val="continue"/>
            <w:vAlign w:val="center"/>
          </w:tcPr>
          <w:p>
            <w:pPr>
              <w:spacing w:line="270" w:lineRule="exact"/>
              <w:rPr>
                <w:rStyle w:val="10"/>
                <w:rFonts w:eastAsia="方正楷体_GBK"/>
                <w:color w:val="000000" w:themeColor="text1"/>
                <w:sz w:val="24"/>
                <w:szCs w:val="24"/>
              </w:rPr>
            </w:pPr>
          </w:p>
        </w:tc>
        <w:tc>
          <w:tcPr>
            <w:tcW w:w="808"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27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办好江阴市第30届科技节、江阴市第三届科技创新创业大赛等活动，进一步激发全社会创新创业活力。</w:t>
            </w:r>
          </w:p>
        </w:tc>
        <w:tc>
          <w:tcPr>
            <w:tcW w:w="1507"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27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438" w:type="dxa"/>
            <w:vMerge w:val="continue"/>
            <w:vAlign w:val="center"/>
          </w:tcPr>
          <w:p>
            <w:pPr>
              <w:spacing w:line="270" w:lineRule="exact"/>
              <w:rPr>
                <w:rStyle w:val="10"/>
                <w:rFonts w:eastAsia="方正楷体_GBK"/>
                <w:color w:val="000000" w:themeColor="text1"/>
                <w:sz w:val="24"/>
                <w:szCs w:val="24"/>
              </w:rPr>
            </w:pPr>
          </w:p>
        </w:tc>
        <w:tc>
          <w:tcPr>
            <w:tcW w:w="1411" w:type="dxa"/>
            <w:vMerge w:val="continue"/>
            <w:vAlign w:val="center"/>
          </w:tcPr>
          <w:p>
            <w:pPr>
              <w:spacing w:line="270" w:lineRule="exact"/>
              <w:rPr>
                <w:rStyle w:val="10"/>
                <w:rFonts w:eastAsia="方正楷体_GBK"/>
                <w:color w:val="000000" w:themeColor="text1"/>
                <w:sz w:val="24"/>
                <w:szCs w:val="24"/>
              </w:rPr>
            </w:pPr>
          </w:p>
        </w:tc>
        <w:tc>
          <w:tcPr>
            <w:tcW w:w="808"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3</w:t>
            </w:r>
          </w:p>
        </w:tc>
        <w:tc>
          <w:tcPr>
            <w:tcW w:w="6803" w:type="dxa"/>
            <w:vAlign w:val="center"/>
          </w:tcPr>
          <w:p>
            <w:pPr>
              <w:spacing w:line="27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大力开展科普教育，推动科技进机关、进企业、进学校、进村（社区），不断提升社会公众的科学素养和创新意识。</w:t>
            </w:r>
          </w:p>
        </w:tc>
        <w:tc>
          <w:tcPr>
            <w:tcW w:w="1507"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科协</w:t>
            </w:r>
          </w:p>
        </w:tc>
        <w:tc>
          <w:tcPr>
            <w:tcW w:w="2867" w:type="dxa"/>
            <w:vAlign w:val="center"/>
          </w:tcPr>
          <w:p>
            <w:pPr>
              <w:spacing w:line="27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市科技局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438" w:type="dxa"/>
            <w:vMerge w:val="continue"/>
            <w:vAlign w:val="center"/>
          </w:tcPr>
          <w:p>
            <w:pPr>
              <w:spacing w:line="270" w:lineRule="exact"/>
              <w:rPr>
                <w:rStyle w:val="10"/>
                <w:rFonts w:eastAsia="方正楷体_GBK"/>
                <w:color w:val="000000" w:themeColor="text1"/>
                <w:sz w:val="24"/>
                <w:szCs w:val="24"/>
              </w:rPr>
            </w:pPr>
          </w:p>
        </w:tc>
        <w:tc>
          <w:tcPr>
            <w:tcW w:w="1411" w:type="dxa"/>
            <w:vMerge w:val="restart"/>
            <w:vAlign w:val="center"/>
          </w:tcPr>
          <w:p>
            <w:pPr>
              <w:spacing w:line="270" w:lineRule="exact"/>
              <w:rPr>
                <w:rStyle w:val="10"/>
                <w:rFonts w:eastAsia="方正楷体_GBK"/>
                <w:color w:val="000000" w:themeColor="text1"/>
                <w:sz w:val="24"/>
                <w:szCs w:val="24"/>
              </w:rPr>
            </w:pPr>
            <w:r>
              <w:rPr>
                <w:rStyle w:val="10"/>
                <w:rFonts w:hint="eastAsia" w:eastAsia="方正楷体_GBK"/>
                <w:color w:val="000000" w:themeColor="text1"/>
                <w:sz w:val="24"/>
                <w:szCs w:val="24"/>
              </w:rPr>
              <w:t>22.实施科技惠民富民工程</w:t>
            </w:r>
          </w:p>
        </w:tc>
        <w:tc>
          <w:tcPr>
            <w:tcW w:w="808"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27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实</w:t>
            </w:r>
            <w:r>
              <w:rPr>
                <w:rStyle w:val="10"/>
                <w:rFonts w:hint="eastAsia" w:eastAsia="方正楷体_GBK"/>
                <w:color w:val="000000" w:themeColor="text1"/>
                <w:spacing w:val="-4"/>
                <w:sz w:val="24"/>
                <w:szCs w:val="24"/>
                <w:lang w:val="zh-CN"/>
              </w:rPr>
              <w:t>施公共安全、食品安全、安全生产、生命健康等领域的民生科技示范项目、科技兴农富民工程、社会发展重点项目和软科学研究项目不少于15项。</w:t>
            </w:r>
          </w:p>
        </w:tc>
        <w:tc>
          <w:tcPr>
            <w:tcW w:w="1507"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27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市农业农村局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438" w:type="dxa"/>
            <w:vMerge w:val="continue"/>
            <w:vAlign w:val="center"/>
          </w:tcPr>
          <w:p>
            <w:pPr>
              <w:spacing w:line="270" w:lineRule="exact"/>
              <w:rPr>
                <w:rStyle w:val="10"/>
                <w:rFonts w:eastAsia="方正楷体_GBK"/>
                <w:color w:val="000000" w:themeColor="text1"/>
                <w:sz w:val="24"/>
                <w:szCs w:val="24"/>
              </w:rPr>
            </w:pPr>
          </w:p>
        </w:tc>
        <w:tc>
          <w:tcPr>
            <w:tcW w:w="1411" w:type="dxa"/>
            <w:vMerge w:val="continue"/>
            <w:vAlign w:val="center"/>
          </w:tcPr>
          <w:p>
            <w:pPr>
              <w:spacing w:line="270" w:lineRule="exact"/>
              <w:rPr>
                <w:rStyle w:val="10"/>
                <w:rFonts w:eastAsia="方正楷体_GBK"/>
                <w:color w:val="000000" w:themeColor="text1"/>
                <w:sz w:val="24"/>
                <w:szCs w:val="24"/>
              </w:rPr>
            </w:pPr>
          </w:p>
        </w:tc>
        <w:tc>
          <w:tcPr>
            <w:tcW w:w="808"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27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全市生物医药产业产值增长20%以上。</w:t>
            </w:r>
          </w:p>
        </w:tc>
        <w:tc>
          <w:tcPr>
            <w:tcW w:w="1507"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市发改委</w:t>
            </w:r>
          </w:p>
        </w:tc>
        <w:tc>
          <w:tcPr>
            <w:tcW w:w="2867" w:type="dxa"/>
            <w:vAlign w:val="center"/>
          </w:tcPr>
          <w:p>
            <w:pPr>
              <w:spacing w:line="27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r>
              <w:rPr>
                <w:rStyle w:val="10"/>
                <w:rFonts w:hint="eastAsia" w:eastAsia="方正楷体_GBK"/>
                <w:color w:val="000000" w:themeColor="text1"/>
                <w:sz w:val="24"/>
                <w:szCs w:val="24"/>
                <w:lang w:val="zh-CN"/>
              </w:rPr>
              <w:t>市工信局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438" w:type="dxa"/>
            <w:vMerge w:val="restart"/>
            <w:vAlign w:val="center"/>
          </w:tcPr>
          <w:p>
            <w:pPr>
              <w:spacing w:line="270" w:lineRule="exact"/>
              <w:rPr>
                <w:rStyle w:val="10"/>
                <w:rFonts w:eastAsia="方正楷体_GBK"/>
                <w:color w:val="000000" w:themeColor="text1"/>
                <w:sz w:val="24"/>
                <w:szCs w:val="24"/>
              </w:rPr>
            </w:pPr>
            <w:r>
              <w:rPr>
                <w:rStyle w:val="10"/>
                <w:rFonts w:hint="eastAsia" w:eastAsia="方正楷体_GBK"/>
                <w:color w:val="000000" w:themeColor="text1"/>
                <w:sz w:val="24"/>
                <w:szCs w:val="24"/>
              </w:rPr>
              <w:t>六、实施创新治理能力提升行动，增强创新创业新活力</w:t>
            </w:r>
          </w:p>
        </w:tc>
        <w:tc>
          <w:tcPr>
            <w:tcW w:w="1411" w:type="dxa"/>
            <w:vMerge w:val="restart"/>
            <w:vAlign w:val="center"/>
          </w:tcPr>
          <w:p>
            <w:pPr>
              <w:spacing w:line="270" w:lineRule="exact"/>
              <w:rPr>
                <w:rStyle w:val="10"/>
                <w:rFonts w:eastAsia="方正楷体_GBK"/>
                <w:color w:val="000000" w:themeColor="text1"/>
                <w:sz w:val="24"/>
                <w:szCs w:val="24"/>
              </w:rPr>
            </w:pPr>
            <w:r>
              <w:rPr>
                <w:rStyle w:val="10"/>
                <w:rFonts w:hint="eastAsia" w:eastAsia="方正楷体_GBK"/>
                <w:color w:val="000000" w:themeColor="text1"/>
                <w:sz w:val="24"/>
                <w:szCs w:val="24"/>
              </w:rPr>
              <w:t>23.提高科技运行整体效能</w:t>
            </w:r>
          </w:p>
        </w:tc>
        <w:tc>
          <w:tcPr>
            <w:tcW w:w="808"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27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完善企业研发投入后补助机制，落实研发经费补贴制度，推动以企业为主体的研发投入快速增长。</w:t>
            </w:r>
          </w:p>
        </w:tc>
        <w:tc>
          <w:tcPr>
            <w:tcW w:w="1507"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27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市财政局、市税务局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438" w:type="dxa"/>
            <w:vMerge w:val="continue"/>
            <w:vAlign w:val="center"/>
          </w:tcPr>
          <w:p>
            <w:pPr>
              <w:spacing w:line="270" w:lineRule="exact"/>
              <w:jc w:val="center"/>
              <w:rPr>
                <w:rStyle w:val="10"/>
                <w:rFonts w:eastAsia="方正楷体_GBK"/>
                <w:color w:val="000000" w:themeColor="text1"/>
                <w:sz w:val="24"/>
                <w:szCs w:val="24"/>
                <w:lang w:val="zh-CN"/>
              </w:rPr>
            </w:pPr>
          </w:p>
        </w:tc>
        <w:tc>
          <w:tcPr>
            <w:tcW w:w="1411" w:type="dxa"/>
            <w:vMerge w:val="continue"/>
            <w:vAlign w:val="center"/>
          </w:tcPr>
          <w:p>
            <w:pPr>
              <w:spacing w:line="270" w:lineRule="exact"/>
              <w:rPr>
                <w:rStyle w:val="10"/>
                <w:rFonts w:eastAsia="方正楷体_GBK"/>
                <w:color w:val="000000" w:themeColor="text1"/>
                <w:sz w:val="24"/>
                <w:szCs w:val="24"/>
              </w:rPr>
            </w:pPr>
          </w:p>
        </w:tc>
        <w:tc>
          <w:tcPr>
            <w:tcW w:w="808"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27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全面加强镇街科技管理体制，完善基层科技服务网络，构建上下联动、协同推进的创新发展行政服务体系。</w:t>
            </w:r>
          </w:p>
        </w:tc>
        <w:tc>
          <w:tcPr>
            <w:tcW w:w="1507"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各镇街</w:t>
            </w:r>
          </w:p>
        </w:tc>
        <w:tc>
          <w:tcPr>
            <w:tcW w:w="2867" w:type="dxa"/>
            <w:vAlign w:val="center"/>
          </w:tcPr>
          <w:p>
            <w:pPr>
              <w:spacing w:line="27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438" w:type="dxa"/>
            <w:vMerge w:val="continue"/>
            <w:vAlign w:val="center"/>
          </w:tcPr>
          <w:p>
            <w:pPr>
              <w:spacing w:line="270" w:lineRule="exact"/>
              <w:jc w:val="center"/>
              <w:rPr>
                <w:rStyle w:val="10"/>
                <w:rFonts w:eastAsia="方正楷体_GBK"/>
                <w:color w:val="000000" w:themeColor="text1"/>
                <w:sz w:val="24"/>
                <w:szCs w:val="24"/>
              </w:rPr>
            </w:pPr>
          </w:p>
        </w:tc>
        <w:tc>
          <w:tcPr>
            <w:tcW w:w="1411" w:type="dxa"/>
            <w:vMerge w:val="restart"/>
            <w:vAlign w:val="center"/>
          </w:tcPr>
          <w:p>
            <w:pPr>
              <w:spacing w:line="270" w:lineRule="exact"/>
              <w:rPr>
                <w:rStyle w:val="10"/>
                <w:rFonts w:eastAsia="方正楷体_GBK"/>
                <w:color w:val="000000" w:themeColor="text1"/>
                <w:sz w:val="24"/>
                <w:szCs w:val="24"/>
              </w:rPr>
            </w:pPr>
            <w:r>
              <w:rPr>
                <w:rStyle w:val="10"/>
                <w:rFonts w:hint="eastAsia" w:eastAsia="方正楷体_GBK"/>
                <w:color w:val="000000" w:themeColor="text1"/>
                <w:sz w:val="24"/>
                <w:szCs w:val="24"/>
              </w:rPr>
              <w:t>24.有序发展科技服务业</w:t>
            </w:r>
          </w:p>
        </w:tc>
        <w:tc>
          <w:tcPr>
            <w:tcW w:w="808"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27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扶持研发设计、检验检测、创业孵化、知识产权、技术交易、科技咨询等科技服务业发展，搭建覆盖科技创新全链条的服务体系。</w:t>
            </w:r>
          </w:p>
        </w:tc>
        <w:tc>
          <w:tcPr>
            <w:tcW w:w="1507"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27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市市场监管局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438" w:type="dxa"/>
            <w:vMerge w:val="continue"/>
            <w:vAlign w:val="center"/>
          </w:tcPr>
          <w:p>
            <w:pPr>
              <w:spacing w:line="270" w:lineRule="exact"/>
              <w:jc w:val="center"/>
              <w:rPr>
                <w:rStyle w:val="10"/>
                <w:rFonts w:eastAsia="方正楷体_GBK"/>
                <w:color w:val="000000" w:themeColor="text1"/>
                <w:sz w:val="24"/>
                <w:szCs w:val="24"/>
              </w:rPr>
            </w:pPr>
          </w:p>
        </w:tc>
        <w:tc>
          <w:tcPr>
            <w:tcW w:w="1411" w:type="dxa"/>
            <w:vMerge w:val="continue"/>
            <w:vAlign w:val="center"/>
          </w:tcPr>
          <w:p>
            <w:pPr>
              <w:spacing w:line="270" w:lineRule="exact"/>
              <w:rPr>
                <w:rStyle w:val="10"/>
                <w:rFonts w:eastAsia="方正楷体_GBK"/>
                <w:color w:val="000000" w:themeColor="text1"/>
                <w:sz w:val="24"/>
                <w:szCs w:val="24"/>
              </w:rPr>
            </w:pPr>
          </w:p>
        </w:tc>
        <w:tc>
          <w:tcPr>
            <w:tcW w:w="808"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27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完善市科技创新服务联盟功能，提升科技服务业质效，对科技服务机构开展绩效评价。</w:t>
            </w:r>
          </w:p>
        </w:tc>
        <w:tc>
          <w:tcPr>
            <w:tcW w:w="1507"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270" w:lineRule="exact"/>
              <w:jc w:val="center"/>
              <w:rPr>
                <w:rStyle w:val="10"/>
                <w:rFonts w:eastAsia="方正楷体_GBK"/>
                <w:color w:val="000000" w:themeColor="text1"/>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9" w:hRule="atLeast"/>
          <w:jc w:val="center"/>
        </w:trPr>
        <w:tc>
          <w:tcPr>
            <w:tcW w:w="1438" w:type="dxa"/>
            <w:vMerge w:val="continue"/>
            <w:vAlign w:val="center"/>
          </w:tcPr>
          <w:p>
            <w:pPr>
              <w:spacing w:line="270" w:lineRule="exact"/>
              <w:jc w:val="center"/>
              <w:rPr>
                <w:rStyle w:val="10"/>
                <w:rFonts w:eastAsia="方正楷体_GBK"/>
                <w:color w:val="000000" w:themeColor="text1"/>
                <w:sz w:val="24"/>
                <w:szCs w:val="24"/>
              </w:rPr>
            </w:pPr>
          </w:p>
        </w:tc>
        <w:tc>
          <w:tcPr>
            <w:tcW w:w="1411" w:type="dxa"/>
            <w:vMerge w:val="continue"/>
            <w:vAlign w:val="center"/>
          </w:tcPr>
          <w:p>
            <w:pPr>
              <w:spacing w:line="270" w:lineRule="exact"/>
              <w:rPr>
                <w:rStyle w:val="10"/>
                <w:rFonts w:eastAsia="方正楷体_GBK"/>
                <w:color w:val="000000" w:themeColor="text1"/>
                <w:sz w:val="24"/>
                <w:szCs w:val="24"/>
              </w:rPr>
            </w:pPr>
          </w:p>
        </w:tc>
        <w:tc>
          <w:tcPr>
            <w:tcW w:w="808"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3</w:t>
            </w:r>
          </w:p>
        </w:tc>
        <w:tc>
          <w:tcPr>
            <w:tcW w:w="6803" w:type="dxa"/>
            <w:vAlign w:val="center"/>
          </w:tcPr>
          <w:p>
            <w:pPr>
              <w:spacing w:line="27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进一步增强中国国际人才市场江阴市场活力，开展“智汇江阴”海外精英创新创业对接洽谈会，全年开展各类引智引项、科技金融、产学研重点活动不少于30场。</w:t>
            </w:r>
          </w:p>
        </w:tc>
        <w:tc>
          <w:tcPr>
            <w:tcW w:w="1507"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科技局</w:t>
            </w:r>
          </w:p>
        </w:tc>
        <w:tc>
          <w:tcPr>
            <w:tcW w:w="2867" w:type="dxa"/>
            <w:vAlign w:val="center"/>
          </w:tcPr>
          <w:p>
            <w:pPr>
              <w:spacing w:line="27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市委组织部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438" w:type="dxa"/>
            <w:vMerge w:val="continue"/>
            <w:vAlign w:val="center"/>
          </w:tcPr>
          <w:p>
            <w:pPr>
              <w:spacing w:line="270" w:lineRule="exact"/>
              <w:jc w:val="center"/>
              <w:rPr>
                <w:rStyle w:val="10"/>
                <w:rFonts w:eastAsia="方正楷体_GBK"/>
                <w:color w:val="000000" w:themeColor="text1"/>
                <w:sz w:val="24"/>
                <w:szCs w:val="24"/>
              </w:rPr>
            </w:pPr>
          </w:p>
        </w:tc>
        <w:tc>
          <w:tcPr>
            <w:tcW w:w="1411" w:type="dxa"/>
            <w:vMerge w:val="restart"/>
            <w:vAlign w:val="center"/>
          </w:tcPr>
          <w:p>
            <w:pPr>
              <w:spacing w:line="270" w:lineRule="exact"/>
              <w:rPr>
                <w:rStyle w:val="10"/>
                <w:rFonts w:eastAsia="方正楷体_GBK"/>
                <w:color w:val="000000" w:themeColor="text1"/>
                <w:sz w:val="24"/>
                <w:szCs w:val="24"/>
              </w:rPr>
            </w:pPr>
            <w:r>
              <w:rPr>
                <w:rStyle w:val="10"/>
                <w:rFonts w:hint="eastAsia" w:eastAsia="方正楷体_GBK"/>
                <w:color w:val="000000" w:themeColor="text1"/>
                <w:sz w:val="24"/>
                <w:szCs w:val="24"/>
              </w:rPr>
              <w:t>25.建立创新驱动导向评价机制</w:t>
            </w:r>
          </w:p>
        </w:tc>
        <w:tc>
          <w:tcPr>
            <w:tcW w:w="808"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1</w:t>
            </w:r>
          </w:p>
        </w:tc>
        <w:tc>
          <w:tcPr>
            <w:tcW w:w="6803" w:type="dxa"/>
            <w:vAlign w:val="center"/>
          </w:tcPr>
          <w:p>
            <w:pPr>
              <w:spacing w:line="27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优化招商绩效考核。</w:t>
            </w:r>
          </w:p>
        </w:tc>
        <w:tc>
          <w:tcPr>
            <w:tcW w:w="1507"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市招商局</w:t>
            </w:r>
          </w:p>
        </w:tc>
        <w:tc>
          <w:tcPr>
            <w:tcW w:w="2867" w:type="dxa"/>
            <w:vAlign w:val="center"/>
          </w:tcPr>
          <w:p>
            <w:pPr>
              <w:spacing w:line="27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市发改委、市商务局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1438" w:type="dxa"/>
            <w:vMerge w:val="continue"/>
            <w:vAlign w:val="center"/>
          </w:tcPr>
          <w:p>
            <w:pPr>
              <w:spacing w:line="270" w:lineRule="exact"/>
              <w:jc w:val="center"/>
              <w:rPr>
                <w:rStyle w:val="10"/>
                <w:rFonts w:eastAsia="方正楷体_GBK"/>
                <w:color w:val="000000" w:themeColor="text1"/>
                <w:sz w:val="24"/>
                <w:szCs w:val="24"/>
              </w:rPr>
            </w:pPr>
          </w:p>
        </w:tc>
        <w:tc>
          <w:tcPr>
            <w:tcW w:w="1411" w:type="dxa"/>
            <w:vMerge w:val="continue"/>
            <w:vAlign w:val="center"/>
          </w:tcPr>
          <w:p>
            <w:pPr>
              <w:spacing w:line="270" w:lineRule="exact"/>
              <w:jc w:val="center"/>
              <w:rPr>
                <w:rStyle w:val="10"/>
                <w:rFonts w:eastAsia="方正楷体_GBK"/>
                <w:color w:val="000000" w:themeColor="text1"/>
                <w:sz w:val="24"/>
                <w:szCs w:val="24"/>
              </w:rPr>
            </w:pPr>
          </w:p>
        </w:tc>
        <w:tc>
          <w:tcPr>
            <w:tcW w:w="808"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rPr>
              <w:t>2</w:t>
            </w:r>
          </w:p>
        </w:tc>
        <w:tc>
          <w:tcPr>
            <w:tcW w:w="6803" w:type="dxa"/>
            <w:vAlign w:val="center"/>
          </w:tcPr>
          <w:p>
            <w:pPr>
              <w:spacing w:line="270" w:lineRule="exact"/>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确立宽容失败、鼓励创新、包容宽厚的创新导向，</w:t>
            </w:r>
            <w:r>
              <w:rPr>
                <w:rStyle w:val="10"/>
                <w:rFonts w:hint="eastAsia" w:eastAsia="方正楷体_GBK"/>
                <w:color w:val="000000" w:themeColor="text1"/>
                <w:sz w:val="24"/>
                <w:szCs w:val="24"/>
              </w:rPr>
              <w:t>优化</w:t>
            </w:r>
            <w:r>
              <w:rPr>
                <w:rStyle w:val="10"/>
                <w:rFonts w:hint="eastAsia" w:eastAsia="方正楷体_GBK"/>
                <w:color w:val="000000" w:themeColor="text1"/>
                <w:sz w:val="24"/>
                <w:szCs w:val="24"/>
                <w:lang w:val="zh-CN"/>
              </w:rPr>
              <w:t>科技、人才创新资金绩效评价，建立3</w:t>
            </w:r>
            <w:r>
              <w:rPr>
                <w:rFonts w:hint="eastAsia" w:asciiTheme="minorEastAsia" w:hAnsiTheme="minorEastAsia" w:eastAsiaTheme="minorEastAsia"/>
                <w:spacing w:val="3"/>
                <w:sz w:val="24"/>
                <w:szCs w:val="24"/>
              </w:rPr>
              <w:t>－</w:t>
            </w:r>
            <w:r>
              <w:rPr>
                <w:rStyle w:val="10"/>
                <w:rFonts w:hint="eastAsia" w:eastAsia="方正楷体_GBK"/>
                <w:color w:val="000000" w:themeColor="text1"/>
                <w:sz w:val="24"/>
                <w:szCs w:val="24"/>
                <w:lang w:val="zh-CN"/>
              </w:rPr>
              <w:t>5年综合评价绩效制度。</w:t>
            </w:r>
          </w:p>
        </w:tc>
        <w:tc>
          <w:tcPr>
            <w:tcW w:w="1507" w:type="dxa"/>
            <w:vAlign w:val="center"/>
          </w:tcPr>
          <w:p>
            <w:pPr>
              <w:spacing w:line="270" w:lineRule="exact"/>
              <w:jc w:val="center"/>
              <w:rPr>
                <w:rStyle w:val="10"/>
                <w:rFonts w:eastAsia="方正楷体_GBK"/>
                <w:color w:val="000000" w:themeColor="text1"/>
                <w:sz w:val="24"/>
                <w:szCs w:val="24"/>
              </w:rPr>
            </w:pPr>
            <w:r>
              <w:rPr>
                <w:rStyle w:val="10"/>
                <w:rFonts w:hint="eastAsia" w:eastAsia="方正楷体_GBK"/>
                <w:color w:val="000000" w:themeColor="text1"/>
                <w:sz w:val="24"/>
                <w:szCs w:val="24"/>
                <w:lang w:val="zh-CN"/>
              </w:rPr>
              <w:t>市</w:t>
            </w:r>
            <w:r>
              <w:rPr>
                <w:rStyle w:val="10"/>
                <w:rFonts w:hint="eastAsia" w:eastAsia="方正楷体_GBK"/>
                <w:color w:val="000000" w:themeColor="text1"/>
                <w:sz w:val="24"/>
                <w:szCs w:val="24"/>
              </w:rPr>
              <w:t>财政局</w:t>
            </w:r>
          </w:p>
        </w:tc>
        <w:tc>
          <w:tcPr>
            <w:tcW w:w="2867" w:type="dxa"/>
            <w:vAlign w:val="center"/>
          </w:tcPr>
          <w:p>
            <w:pPr>
              <w:spacing w:line="270" w:lineRule="exact"/>
              <w:jc w:val="center"/>
              <w:rPr>
                <w:rStyle w:val="10"/>
                <w:rFonts w:eastAsia="方正楷体_GBK"/>
                <w:color w:val="000000" w:themeColor="text1"/>
                <w:sz w:val="24"/>
                <w:szCs w:val="24"/>
                <w:lang w:val="zh-CN"/>
              </w:rPr>
            </w:pPr>
            <w:r>
              <w:rPr>
                <w:rStyle w:val="10"/>
                <w:rFonts w:hint="eastAsia" w:eastAsia="方正楷体_GBK"/>
                <w:color w:val="000000" w:themeColor="text1"/>
                <w:sz w:val="24"/>
                <w:szCs w:val="24"/>
                <w:lang w:val="zh-CN"/>
              </w:rPr>
              <w:t>市委组织部、市科技局</w:t>
            </w:r>
          </w:p>
        </w:tc>
      </w:tr>
    </w:tbl>
    <w:p>
      <w:pPr>
        <w:rPr>
          <w:rFonts w:eastAsia="方正仿宋_GBK"/>
          <w:szCs w:val="32"/>
        </w:rPr>
        <w:sectPr>
          <w:pgSz w:w="16840" w:h="11907" w:orient="landscape"/>
          <w:pgMar w:top="1418" w:right="1418" w:bottom="1418" w:left="1418" w:header="851" w:footer="992" w:gutter="0"/>
          <w:cols w:space="425" w:num="1"/>
          <w:docGrid w:type="linesAndChars" w:linePitch="312" w:charSpace="0"/>
        </w:sectPr>
      </w:pPr>
      <w:bookmarkStart w:id="0" w:name="_GoBack"/>
    </w:p>
    <w:bookmarkEnd w:id="0"/>
    <w:p>
      <w:pPr>
        <w:ind w:right="316" w:rightChars="100"/>
        <w:rPr>
          <w:rFonts w:eastAsia="方正仿宋_GBK"/>
          <w:sz w:val="28"/>
          <w:szCs w:val="28"/>
        </w:rPr>
      </w:pPr>
    </w:p>
    <w:sectPr>
      <w:headerReference r:id="rId6" w:type="default"/>
      <w:footerReference r:id="rId7" w:type="default"/>
      <w:footerReference r:id="rId8" w:type="even"/>
      <w:pgSz w:w="11906" w:h="16838"/>
      <w:pgMar w:top="2098" w:right="1474" w:bottom="1985" w:left="1588" w:header="1134"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20" w:rightChars="100"/>
      <w:jc w:val="right"/>
      <w:rPr>
        <w:rStyle w:val="10"/>
        <w:rFonts w:eastAsia="宋体"/>
        <w:sz w:val="18"/>
      </w:rPr>
    </w:pPr>
    <w:sdt>
      <w:sdtPr>
        <w:id w:val="30011053"/>
        <w:docPartObj>
          <w:docPartGallery w:val="AutoText"/>
        </w:docPartObj>
      </w:sdtPr>
      <w:sdtEndPr>
        <w:rPr>
          <w:rFonts w:asciiTheme="majorEastAsia" w:hAnsiTheme="majorEastAsia" w:eastAsiaTheme="majorEastAsia"/>
          <w:sz w:val="28"/>
          <w:szCs w:val="28"/>
        </w:rPr>
      </w:sdtEndPr>
      <w:sdtContent>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7</w:t>
        </w:r>
        <w:r>
          <w:rPr>
            <w:rFonts w:asciiTheme="majorEastAsia" w:hAnsiTheme="majorEastAsia" w:eastAsiaTheme="majorEastAsia"/>
            <w:sz w:val="28"/>
            <w:szCs w:val="28"/>
          </w:rPr>
          <w:fldChar w:fldCharType="end"/>
        </w:r>
      </w:sdtContent>
    </w:sdt>
    <w:r>
      <w:rPr>
        <w:rFonts w:hint="eastAsia" w:asciiTheme="majorEastAsia" w:hAnsiTheme="majorEastAsia" w:eastAsiaTheme="maj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pPr>
    <w:sdt>
      <w:sdtPr>
        <w:id w:val="30011070"/>
        <w:docPartObj>
          <w:docPartGallery w:val="AutoText"/>
        </w:docPartObj>
      </w:sdtPr>
      <w:sdtEndPr>
        <w:rPr>
          <w:rFonts w:asciiTheme="majorEastAsia" w:hAnsiTheme="majorEastAsia" w:eastAsiaTheme="majorEastAsia"/>
          <w:sz w:val="28"/>
          <w:szCs w:val="28"/>
        </w:rPr>
      </w:sdtEndPr>
      <w:sdtContent>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8</w:t>
        </w:r>
        <w:r>
          <w:rPr>
            <w:rFonts w:asciiTheme="majorEastAsia" w:hAnsiTheme="majorEastAsia" w:eastAsiaTheme="majorEastAsia"/>
            <w:sz w:val="28"/>
            <w:szCs w:val="28"/>
          </w:rPr>
          <w:fldChar w:fldCharType="end"/>
        </w:r>
      </w:sdtContent>
    </w:sdt>
    <w:r>
      <w:rPr>
        <w:rFonts w:hint="eastAsia" w:asciiTheme="majorEastAsia" w:hAnsiTheme="majorEastAsia" w:eastAsiaTheme="maj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31</w:t>
    </w:r>
    <w:r>
      <w:rPr>
        <w:rFonts w:ascii="宋体" w:hAnsi="宋体"/>
        <w:sz w:val="28"/>
        <w:szCs w:val="28"/>
      </w:rPr>
      <w:fldChar w:fldCharType="end"/>
    </w:r>
    <w:r>
      <w:rPr>
        <w:rFonts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30</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456836"/>
    <w:rsid w:val="00000785"/>
    <w:rsid w:val="00006CDA"/>
    <w:rsid w:val="000079CB"/>
    <w:rsid w:val="00011EFB"/>
    <w:rsid w:val="000121D6"/>
    <w:rsid w:val="0001288B"/>
    <w:rsid w:val="00013CC8"/>
    <w:rsid w:val="0001578C"/>
    <w:rsid w:val="00033F86"/>
    <w:rsid w:val="00034B0E"/>
    <w:rsid w:val="00035AB2"/>
    <w:rsid w:val="00036056"/>
    <w:rsid w:val="000451F1"/>
    <w:rsid w:val="000536F2"/>
    <w:rsid w:val="00054363"/>
    <w:rsid w:val="00057401"/>
    <w:rsid w:val="000575CE"/>
    <w:rsid w:val="0006146B"/>
    <w:rsid w:val="0006149A"/>
    <w:rsid w:val="00062254"/>
    <w:rsid w:val="0006233E"/>
    <w:rsid w:val="00062DD5"/>
    <w:rsid w:val="00063F2D"/>
    <w:rsid w:val="000650FA"/>
    <w:rsid w:val="00066C4A"/>
    <w:rsid w:val="00072C58"/>
    <w:rsid w:val="00073020"/>
    <w:rsid w:val="00082448"/>
    <w:rsid w:val="00082599"/>
    <w:rsid w:val="00083E56"/>
    <w:rsid w:val="0008463F"/>
    <w:rsid w:val="0008499B"/>
    <w:rsid w:val="00087ADB"/>
    <w:rsid w:val="000909C1"/>
    <w:rsid w:val="000911B5"/>
    <w:rsid w:val="00092233"/>
    <w:rsid w:val="00095546"/>
    <w:rsid w:val="0009775C"/>
    <w:rsid w:val="000A2008"/>
    <w:rsid w:val="000A22F3"/>
    <w:rsid w:val="000A58DE"/>
    <w:rsid w:val="000B2C7F"/>
    <w:rsid w:val="000B4486"/>
    <w:rsid w:val="000B5D53"/>
    <w:rsid w:val="000B73C8"/>
    <w:rsid w:val="000C7EBC"/>
    <w:rsid w:val="000D381D"/>
    <w:rsid w:val="000D4606"/>
    <w:rsid w:val="000F1B69"/>
    <w:rsid w:val="000F2642"/>
    <w:rsid w:val="000F4075"/>
    <w:rsid w:val="000F500B"/>
    <w:rsid w:val="001103B3"/>
    <w:rsid w:val="001206B6"/>
    <w:rsid w:val="0012150E"/>
    <w:rsid w:val="00127B38"/>
    <w:rsid w:val="00133381"/>
    <w:rsid w:val="0013370E"/>
    <w:rsid w:val="001351C4"/>
    <w:rsid w:val="0013524E"/>
    <w:rsid w:val="00152CC5"/>
    <w:rsid w:val="00154C5A"/>
    <w:rsid w:val="00163035"/>
    <w:rsid w:val="0016310C"/>
    <w:rsid w:val="0016435D"/>
    <w:rsid w:val="00164E52"/>
    <w:rsid w:val="00166515"/>
    <w:rsid w:val="00174D8B"/>
    <w:rsid w:val="00176EDB"/>
    <w:rsid w:val="00177610"/>
    <w:rsid w:val="00182A3A"/>
    <w:rsid w:val="00183B70"/>
    <w:rsid w:val="001854C6"/>
    <w:rsid w:val="00192B27"/>
    <w:rsid w:val="00196306"/>
    <w:rsid w:val="001A1959"/>
    <w:rsid w:val="001B3A22"/>
    <w:rsid w:val="001B56A0"/>
    <w:rsid w:val="001C0765"/>
    <w:rsid w:val="001C4B92"/>
    <w:rsid w:val="001C75DE"/>
    <w:rsid w:val="001C76DD"/>
    <w:rsid w:val="001D0631"/>
    <w:rsid w:val="001E344B"/>
    <w:rsid w:val="001E3AB6"/>
    <w:rsid w:val="001E69C2"/>
    <w:rsid w:val="001F3695"/>
    <w:rsid w:val="001F4D51"/>
    <w:rsid w:val="001F698B"/>
    <w:rsid w:val="002005F6"/>
    <w:rsid w:val="00204C3A"/>
    <w:rsid w:val="0022346C"/>
    <w:rsid w:val="00225724"/>
    <w:rsid w:val="002266D8"/>
    <w:rsid w:val="00231BF2"/>
    <w:rsid w:val="00233923"/>
    <w:rsid w:val="002339C3"/>
    <w:rsid w:val="002401A0"/>
    <w:rsid w:val="0024588B"/>
    <w:rsid w:val="0025160A"/>
    <w:rsid w:val="00251F59"/>
    <w:rsid w:val="00252E3D"/>
    <w:rsid w:val="002555CB"/>
    <w:rsid w:val="002574D0"/>
    <w:rsid w:val="00262728"/>
    <w:rsid w:val="00262C95"/>
    <w:rsid w:val="002657E6"/>
    <w:rsid w:val="00266052"/>
    <w:rsid w:val="00271DB5"/>
    <w:rsid w:val="00281320"/>
    <w:rsid w:val="00283E8C"/>
    <w:rsid w:val="00294172"/>
    <w:rsid w:val="002961FA"/>
    <w:rsid w:val="002A2F26"/>
    <w:rsid w:val="002B05BD"/>
    <w:rsid w:val="002B08B0"/>
    <w:rsid w:val="002B415C"/>
    <w:rsid w:val="002C2D8D"/>
    <w:rsid w:val="002C397D"/>
    <w:rsid w:val="002C4096"/>
    <w:rsid w:val="002C61AF"/>
    <w:rsid w:val="002D04D2"/>
    <w:rsid w:val="002D20E2"/>
    <w:rsid w:val="002E2DAB"/>
    <w:rsid w:val="002E7868"/>
    <w:rsid w:val="002F6D18"/>
    <w:rsid w:val="0030741B"/>
    <w:rsid w:val="0031062D"/>
    <w:rsid w:val="00310B8E"/>
    <w:rsid w:val="003114F8"/>
    <w:rsid w:val="00314D59"/>
    <w:rsid w:val="0032280C"/>
    <w:rsid w:val="003300C1"/>
    <w:rsid w:val="00332C3B"/>
    <w:rsid w:val="003331A2"/>
    <w:rsid w:val="00334210"/>
    <w:rsid w:val="0033448A"/>
    <w:rsid w:val="00334773"/>
    <w:rsid w:val="003423A1"/>
    <w:rsid w:val="00345A92"/>
    <w:rsid w:val="0035011F"/>
    <w:rsid w:val="0035062E"/>
    <w:rsid w:val="0036471D"/>
    <w:rsid w:val="00374BEF"/>
    <w:rsid w:val="00382F86"/>
    <w:rsid w:val="00383FEB"/>
    <w:rsid w:val="00384506"/>
    <w:rsid w:val="003848AE"/>
    <w:rsid w:val="00385030"/>
    <w:rsid w:val="003872AA"/>
    <w:rsid w:val="00396CDF"/>
    <w:rsid w:val="003A1AD8"/>
    <w:rsid w:val="003A64C6"/>
    <w:rsid w:val="003A79B8"/>
    <w:rsid w:val="003B0FAA"/>
    <w:rsid w:val="003B4DE5"/>
    <w:rsid w:val="003B555B"/>
    <w:rsid w:val="003B6A60"/>
    <w:rsid w:val="003C463A"/>
    <w:rsid w:val="003C4881"/>
    <w:rsid w:val="003C74EC"/>
    <w:rsid w:val="003D5C86"/>
    <w:rsid w:val="003E708F"/>
    <w:rsid w:val="003F3165"/>
    <w:rsid w:val="003F473A"/>
    <w:rsid w:val="003F6FB3"/>
    <w:rsid w:val="00407069"/>
    <w:rsid w:val="004071ED"/>
    <w:rsid w:val="00422489"/>
    <w:rsid w:val="0042266A"/>
    <w:rsid w:val="0042314D"/>
    <w:rsid w:val="004407C8"/>
    <w:rsid w:val="00443EC5"/>
    <w:rsid w:val="004540D7"/>
    <w:rsid w:val="00456836"/>
    <w:rsid w:val="00461778"/>
    <w:rsid w:val="004724E0"/>
    <w:rsid w:val="00473C27"/>
    <w:rsid w:val="00475913"/>
    <w:rsid w:val="00480DFA"/>
    <w:rsid w:val="004820FA"/>
    <w:rsid w:val="00484D2A"/>
    <w:rsid w:val="004852C0"/>
    <w:rsid w:val="004902F5"/>
    <w:rsid w:val="004907E3"/>
    <w:rsid w:val="004B533E"/>
    <w:rsid w:val="004B6EC1"/>
    <w:rsid w:val="004B7149"/>
    <w:rsid w:val="004C612D"/>
    <w:rsid w:val="004E2DC5"/>
    <w:rsid w:val="004E3F07"/>
    <w:rsid w:val="004E6F82"/>
    <w:rsid w:val="004F4655"/>
    <w:rsid w:val="005021E3"/>
    <w:rsid w:val="0050719F"/>
    <w:rsid w:val="005156DF"/>
    <w:rsid w:val="00516409"/>
    <w:rsid w:val="005210DC"/>
    <w:rsid w:val="0052150D"/>
    <w:rsid w:val="0052689F"/>
    <w:rsid w:val="00531509"/>
    <w:rsid w:val="005326FA"/>
    <w:rsid w:val="00533246"/>
    <w:rsid w:val="00533C85"/>
    <w:rsid w:val="00533FC9"/>
    <w:rsid w:val="005361D8"/>
    <w:rsid w:val="00540E97"/>
    <w:rsid w:val="00544EC8"/>
    <w:rsid w:val="00564358"/>
    <w:rsid w:val="00566F0E"/>
    <w:rsid w:val="00575ED5"/>
    <w:rsid w:val="005862D8"/>
    <w:rsid w:val="00587CF7"/>
    <w:rsid w:val="00593D08"/>
    <w:rsid w:val="005940B9"/>
    <w:rsid w:val="005A3893"/>
    <w:rsid w:val="005A5EAA"/>
    <w:rsid w:val="005B0C83"/>
    <w:rsid w:val="005B357E"/>
    <w:rsid w:val="005B44C7"/>
    <w:rsid w:val="005C0E8F"/>
    <w:rsid w:val="005D0FC8"/>
    <w:rsid w:val="005D1196"/>
    <w:rsid w:val="005D79AE"/>
    <w:rsid w:val="005E3683"/>
    <w:rsid w:val="005E3713"/>
    <w:rsid w:val="005E686E"/>
    <w:rsid w:val="005E6C8A"/>
    <w:rsid w:val="005E765F"/>
    <w:rsid w:val="005F4D91"/>
    <w:rsid w:val="005F6907"/>
    <w:rsid w:val="0060118A"/>
    <w:rsid w:val="00611F67"/>
    <w:rsid w:val="00621DCA"/>
    <w:rsid w:val="006221C5"/>
    <w:rsid w:val="006236FA"/>
    <w:rsid w:val="006272DE"/>
    <w:rsid w:val="00634811"/>
    <w:rsid w:val="006355C6"/>
    <w:rsid w:val="00642142"/>
    <w:rsid w:val="00646839"/>
    <w:rsid w:val="00653459"/>
    <w:rsid w:val="00667158"/>
    <w:rsid w:val="006703CA"/>
    <w:rsid w:val="0067252A"/>
    <w:rsid w:val="00680C45"/>
    <w:rsid w:val="00684040"/>
    <w:rsid w:val="006872C3"/>
    <w:rsid w:val="006876D8"/>
    <w:rsid w:val="00687E17"/>
    <w:rsid w:val="00691632"/>
    <w:rsid w:val="006A3EAA"/>
    <w:rsid w:val="006A6C02"/>
    <w:rsid w:val="006B0927"/>
    <w:rsid w:val="006B0F91"/>
    <w:rsid w:val="006B19AF"/>
    <w:rsid w:val="006B30D1"/>
    <w:rsid w:val="006B677C"/>
    <w:rsid w:val="006B68A6"/>
    <w:rsid w:val="006C151B"/>
    <w:rsid w:val="006C6018"/>
    <w:rsid w:val="006D4BF8"/>
    <w:rsid w:val="006E4CF1"/>
    <w:rsid w:val="006E68B7"/>
    <w:rsid w:val="006F478D"/>
    <w:rsid w:val="007018D2"/>
    <w:rsid w:val="00713578"/>
    <w:rsid w:val="00715051"/>
    <w:rsid w:val="007178CC"/>
    <w:rsid w:val="007260DC"/>
    <w:rsid w:val="0074127E"/>
    <w:rsid w:val="00751960"/>
    <w:rsid w:val="0075226B"/>
    <w:rsid w:val="00752944"/>
    <w:rsid w:val="00753B14"/>
    <w:rsid w:val="00754FAA"/>
    <w:rsid w:val="007576CC"/>
    <w:rsid w:val="00761588"/>
    <w:rsid w:val="007618E3"/>
    <w:rsid w:val="00762F9B"/>
    <w:rsid w:val="00770F6A"/>
    <w:rsid w:val="0077310E"/>
    <w:rsid w:val="00775DBC"/>
    <w:rsid w:val="00790FE7"/>
    <w:rsid w:val="007919F1"/>
    <w:rsid w:val="00792CBE"/>
    <w:rsid w:val="007A0088"/>
    <w:rsid w:val="007B1705"/>
    <w:rsid w:val="007B175C"/>
    <w:rsid w:val="007C18B2"/>
    <w:rsid w:val="007C4605"/>
    <w:rsid w:val="007C6DB3"/>
    <w:rsid w:val="007D00CD"/>
    <w:rsid w:val="007D2021"/>
    <w:rsid w:val="007D453D"/>
    <w:rsid w:val="007D7CFB"/>
    <w:rsid w:val="007E4BB5"/>
    <w:rsid w:val="007E5379"/>
    <w:rsid w:val="007F092B"/>
    <w:rsid w:val="007F7F36"/>
    <w:rsid w:val="00800665"/>
    <w:rsid w:val="00800A2D"/>
    <w:rsid w:val="008056D3"/>
    <w:rsid w:val="0081362B"/>
    <w:rsid w:val="00815A12"/>
    <w:rsid w:val="00827284"/>
    <w:rsid w:val="00834310"/>
    <w:rsid w:val="00835972"/>
    <w:rsid w:val="0085013A"/>
    <w:rsid w:val="00861C0C"/>
    <w:rsid w:val="0087133E"/>
    <w:rsid w:val="00871582"/>
    <w:rsid w:val="008733E6"/>
    <w:rsid w:val="00891583"/>
    <w:rsid w:val="00892ABC"/>
    <w:rsid w:val="00896F7B"/>
    <w:rsid w:val="008A0DB6"/>
    <w:rsid w:val="008A684A"/>
    <w:rsid w:val="008A749B"/>
    <w:rsid w:val="008B4D26"/>
    <w:rsid w:val="008C0C27"/>
    <w:rsid w:val="008C1091"/>
    <w:rsid w:val="008C2F28"/>
    <w:rsid w:val="008C7C3A"/>
    <w:rsid w:val="008D350B"/>
    <w:rsid w:val="008D5C05"/>
    <w:rsid w:val="008D6A02"/>
    <w:rsid w:val="008D6ACF"/>
    <w:rsid w:val="008D78E2"/>
    <w:rsid w:val="008E0C6F"/>
    <w:rsid w:val="008E1C93"/>
    <w:rsid w:val="008E6E44"/>
    <w:rsid w:val="008F04A4"/>
    <w:rsid w:val="008F09A4"/>
    <w:rsid w:val="008F2110"/>
    <w:rsid w:val="008F2795"/>
    <w:rsid w:val="008F4600"/>
    <w:rsid w:val="00902977"/>
    <w:rsid w:val="00907859"/>
    <w:rsid w:val="0091242D"/>
    <w:rsid w:val="00915191"/>
    <w:rsid w:val="0091740C"/>
    <w:rsid w:val="009267E3"/>
    <w:rsid w:val="00926948"/>
    <w:rsid w:val="00942E05"/>
    <w:rsid w:val="00957141"/>
    <w:rsid w:val="00983BFB"/>
    <w:rsid w:val="00990B5C"/>
    <w:rsid w:val="009A2C7F"/>
    <w:rsid w:val="009B1FDE"/>
    <w:rsid w:val="009C10A5"/>
    <w:rsid w:val="009C20FC"/>
    <w:rsid w:val="009C2B20"/>
    <w:rsid w:val="009C3C87"/>
    <w:rsid w:val="009C5F66"/>
    <w:rsid w:val="009C78D0"/>
    <w:rsid w:val="009D03B0"/>
    <w:rsid w:val="009D0D05"/>
    <w:rsid w:val="009D11CC"/>
    <w:rsid w:val="009D3AF9"/>
    <w:rsid w:val="009D7A43"/>
    <w:rsid w:val="009E014E"/>
    <w:rsid w:val="009E3A52"/>
    <w:rsid w:val="009E494C"/>
    <w:rsid w:val="009E561C"/>
    <w:rsid w:val="009E6BCA"/>
    <w:rsid w:val="009F6C24"/>
    <w:rsid w:val="009F6EDD"/>
    <w:rsid w:val="009F7532"/>
    <w:rsid w:val="00A04666"/>
    <w:rsid w:val="00A149E0"/>
    <w:rsid w:val="00A15A96"/>
    <w:rsid w:val="00A1761E"/>
    <w:rsid w:val="00A2051F"/>
    <w:rsid w:val="00A267BB"/>
    <w:rsid w:val="00A40D47"/>
    <w:rsid w:val="00A40EAF"/>
    <w:rsid w:val="00A41856"/>
    <w:rsid w:val="00A53A1E"/>
    <w:rsid w:val="00A574A0"/>
    <w:rsid w:val="00A61FF8"/>
    <w:rsid w:val="00A66B91"/>
    <w:rsid w:val="00A808ED"/>
    <w:rsid w:val="00A81949"/>
    <w:rsid w:val="00A81C8B"/>
    <w:rsid w:val="00A847AA"/>
    <w:rsid w:val="00A901C2"/>
    <w:rsid w:val="00A90313"/>
    <w:rsid w:val="00A949C5"/>
    <w:rsid w:val="00A9583D"/>
    <w:rsid w:val="00A969F9"/>
    <w:rsid w:val="00AA0C1D"/>
    <w:rsid w:val="00AA0C9A"/>
    <w:rsid w:val="00AA1F96"/>
    <w:rsid w:val="00AA34C9"/>
    <w:rsid w:val="00AA6B00"/>
    <w:rsid w:val="00AA757E"/>
    <w:rsid w:val="00AA7771"/>
    <w:rsid w:val="00AA7EED"/>
    <w:rsid w:val="00AB101D"/>
    <w:rsid w:val="00AC40B2"/>
    <w:rsid w:val="00AC7792"/>
    <w:rsid w:val="00AD5597"/>
    <w:rsid w:val="00AD6875"/>
    <w:rsid w:val="00AE05CC"/>
    <w:rsid w:val="00AF33F4"/>
    <w:rsid w:val="00AF548C"/>
    <w:rsid w:val="00AF5A21"/>
    <w:rsid w:val="00AF717D"/>
    <w:rsid w:val="00AF7461"/>
    <w:rsid w:val="00B07B72"/>
    <w:rsid w:val="00B07D2D"/>
    <w:rsid w:val="00B07D4E"/>
    <w:rsid w:val="00B12D78"/>
    <w:rsid w:val="00B136E7"/>
    <w:rsid w:val="00B158AC"/>
    <w:rsid w:val="00B1770B"/>
    <w:rsid w:val="00B17CD0"/>
    <w:rsid w:val="00B200E1"/>
    <w:rsid w:val="00B228EF"/>
    <w:rsid w:val="00B23DD2"/>
    <w:rsid w:val="00B32A64"/>
    <w:rsid w:val="00B37299"/>
    <w:rsid w:val="00B44152"/>
    <w:rsid w:val="00B453FB"/>
    <w:rsid w:val="00B46A43"/>
    <w:rsid w:val="00B53538"/>
    <w:rsid w:val="00B61E9E"/>
    <w:rsid w:val="00B7082C"/>
    <w:rsid w:val="00B7728D"/>
    <w:rsid w:val="00B84CD4"/>
    <w:rsid w:val="00B95C7D"/>
    <w:rsid w:val="00B9730F"/>
    <w:rsid w:val="00BA31E0"/>
    <w:rsid w:val="00BA73C8"/>
    <w:rsid w:val="00BB00DD"/>
    <w:rsid w:val="00BB7AAC"/>
    <w:rsid w:val="00BC35CD"/>
    <w:rsid w:val="00BD634A"/>
    <w:rsid w:val="00BE2403"/>
    <w:rsid w:val="00BE3025"/>
    <w:rsid w:val="00BF4E4A"/>
    <w:rsid w:val="00BF56E2"/>
    <w:rsid w:val="00BF700F"/>
    <w:rsid w:val="00BF7EAD"/>
    <w:rsid w:val="00C01663"/>
    <w:rsid w:val="00C07C29"/>
    <w:rsid w:val="00C11769"/>
    <w:rsid w:val="00C12141"/>
    <w:rsid w:val="00C13A2E"/>
    <w:rsid w:val="00C1731C"/>
    <w:rsid w:val="00C21201"/>
    <w:rsid w:val="00C212B7"/>
    <w:rsid w:val="00C469FC"/>
    <w:rsid w:val="00C51D62"/>
    <w:rsid w:val="00C73722"/>
    <w:rsid w:val="00C75BE1"/>
    <w:rsid w:val="00C940AD"/>
    <w:rsid w:val="00C94332"/>
    <w:rsid w:val="00CA03C9"/>
    <w:rsid w:val="00CA0C46"/>
    <w:rsid w:val="00CA45FA"/>
    <w:rsid w:val="00CA4829"/>
    <w:rsid w:val="00CB30D1"/>
    <w:rsid w:val="00CB4BE4"/>
    <w:rsid w:val="00CB69D5"/>
    <w:rsid w:val="00CB72CA"/>
    <w:rsid w:val="00CC0A43"/>
    <w:rsid w:val="00CC0AE3"/>
    <w:rsid w:val="00CC0D01"/>
    <w:rsid w:val="00CC1896"/>
    <w:rsid w:val="00CD7A48"/>
    <w:rsid w:val="00CE1D7F"/>
    <w:rsid w:val="00CE2E8C"/>
    <w:rsid w:val="00CE3AC6"/>
    <w:rsid w:val="00CE6AFA"/>
    <w:rsid w:val="00CE7230"/>
    <w:rsid w:val="00CE7F36"/>
    <w:rsid w:val="00CF0DD9"/>
    <w:rsid w:val="00D00A23"/>
    <w:rsid w:val="00D10FF8"/>
    <w:rsid w:val="00D1189C"/>
    <w:rsid w:val="00D1362E"/>
    <w:rsid w:val="00D146EC"/>
    <w:rsid w:val="00D21B60"/>
    <w:rsid w:val="00D22D91"/>
    <w:rsid w:val="00D40D60"/>
    <w:rsid w:val="00D51975"/>
    <w:rsid w:val="00D521A8"/>
    <w:rsid w:val="00D53C65"/>
    <w:rsid w:val="00D57E65"/>
    <w:rsid w:val="00D61BFD"/>
    <w:rsid w:val="00D64587"/>
    <w:rsid w:val="00D674C1"/>
    <w:rsid w:val="00D72A72"/>
    <w:rsid w:val="00D73586"/>
    <w:rsid w:val="00D75077"/>
    <w:rsid w:val="00D75AA3"/>
    <w:rsid w:val="00D83DF3"/>
    <w:rsid w:val="00D85E14"/>
    <w:rsid w:val="00D930B6"/>
    <w:rsid w:val="00D9367B"/>
    <w:rsid w:val="00D93B9A"/>
    <w:rsid w:val="00D97A26"/>
    <w:rsid w:val="00DA0CB6"/>
    <w:rsid w:val="00DA33B6"/>
    <w:rsid w:val="00DA3EBF"/>
    <w:rsid w:val="00DB5B7E"/>
    <w:rsid w:val="00DC0DB6"/>
    <w:rsid w:val="00DC3062"/>
    <w:rsid w:val="00DC435F"/>
    <w:rsid w:val="00DC7E0B"/>
    <w:rsid w:val="00DD4479"/>
    <w:rsid w:val="00DD4834"/>
    <w:rsid w:val="00DE015B"/>
    <w:rsid w:val="00DE7754"/>
    <w:rsid w:val="00DF75D4"/>
    <w:rsid w:val="00E0355F"/>
    <w:rsid w:val="00E04A5C"/>
    <w:rsid w:val="00E24D43"/>
    <w:rsid w:val="00E26F0D"/>
    <w:rsid w:val="00E27B72"/>
    <w:rsid w:val="00E3350B"/>
    <w:rsid w:val="00E33653"/>
    <w:rsid w:val="00E37FE0"/>
    <w:rsid w:val="00E51EEB"/>
    <w:rsid w:val="00E52799"/>
    <w:rsid w:val="00E5335B"/>
    <w:rsid w:val="00E544F1"/>
    <w:rsid w:val="00E614B4"/>
    <w:rsid w:val="00E67F71"/>
    <w:rsid w:val="00E67FE4"/>
    <w:rsid w:val="00E75872"/>
    <w:rsid w:val="00E76B7D"/>
    <w:rsid w:val="00E85487"/>
    <w:rsid w:val="00E92873"/>
    <w:rsid w:val="00E92B64"/>
    <w:rsid w:val="00E92B7F"/>
    <w:rsid w:val="00E94941"/>
    <w:rsid w:val="00EA10BB"/>
    <w:rsid w:val="00EB1DBA"/>
    <w:rsid w:val="00EB493D"/>
    <w:rsid w:val="00EB4B39"/>
    <w:rsid w:val="00EC228C"/>
    <w:rsid w:val="00EC704A"/>
    <w:rsid w:val="00EE1E9E"/>
    <w:rsid w:val="00EE3EB5"/>
    <w:rsid w:val="00EE42A6"/>
    <w:rsid w:val="00EE4DC9"/>
    <w:rsid w:val="00EE6C41"/>
    <w:rsid w:val="00EF6B47"/>
    <w:rsid w:val="00F07872"/>
    <w:rsid w:val="00F11F54"/>
    <w:rsid w:val="00F15D95"/>
    <w:rsid w:val="00F17C11"/>
    <w:rsid w:val="00F20193"/>
    <w:rsid w:val="00F20C3B"/>
    <w:rsid w:val="00F245A9"/>
    <w:rsid w:val="00F25395"/>
    <w:rsid w:val="00F25D68"/>
    <w:rsid w:val="00F26AA7"/>
    <w:rsid w:val="00F2765C"/>
    <w:rsid w:val="00F305C1"/>
    <w:rsid w:val="00F360D5"/>
    <w:rsid w:val="00F36CEC"/>
    <w:rsid w:val="00F44859"/>
    <w:rsid w:val="00F472FC"/>
    <w:rsid w:val="00F55E62"/>
    <w:rsid w:val="00F57A35"/>
    <w:rsid w:val="00F57BD6"/>
    <w:rsid w:val="00F619AF"/>
    <w:rsid w:val="00F62B68"/>
    <w:rsid w:val="00F75713"/>
    <w:rsid w:val="00F8028A"/>
    <w:rsid w:val="00F8571B"/>
    <w:rsid w:val="00F86FDF"/>
    <w:rsid w:val="00F93E6F"/>
    <w:rsid w:val="00F96070"/>
    <w:rsid w:val="00FA4F2F"/>
    <w:rsid w:val="00FB6AC4"/>
    <w:rsid w:val="00FC1B04"/>
    <w:rsid w:val="00FC1BD6"/>
    <w:rsid w:val="00FC6F40"/>
    <w:rsid w:val="00FD5393"/>
    <w:rsid w:val="00FE0AC4"/>
    <w:rsid w:val="00FE1BFF"/>
    <w:rsid w:val="00FE6E34"/>
    <w:rsid w:val="00FE747D"/>
    <w:rsid w:val="00FF2757"/>
    <w:rsid w:val="00FF4F15"/>
    <w:rsid w:val="5AF3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Date"/>
    <w:basedOn w:val="1"/>
    <w:next w:val="1"/>
    <w:link w:val="24"/>
    <w:semiHidden/>
    <w:unhideWhenUsed/>
    <w:qFormat/>
    <w:uiPriority w:val="99"/>
    <w:pPr>
      <w:ind w:left="100" w:leftChars="2500"/>
    </w:pPr>
  </w:style>
  <w:style w:type="paragraph" w:styleId="4">
    <w:name w:val="footer"/>
    <w:basedOn w:val="1"/>
    <w:link w:val="23"/>
    <w:unhideWhenUsed/>
    <w:qFormat/>
    <w:uiPriority w:val="99"/>
    <w:pPr>
      <w:tabs>
        <w:tab w:val="center" w:pos="4153"/>
        <w:tab w:val="right" w:pos="8306"/>
      </w:tabs>
      <w:snapToGrid w:val="0"/>
      <w:jc w:val="left"/>
    </w:pPr>
    <w:rPr>
      <w:sz w:val="18"/>
      <w:szCs w:val="18"/>
    </w:rPr>
  </w:style>
  <w:style w:type="paragraph" w:styleId="5">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NormalCharacter"/>
    <w:semiHidden/>
    <w:qFormat/>
    <w:uiPriority w:val="0"/>
  </w:style>
  <w:style w:type="table" w:customStyle="1" w:styleId="9">
    <w:name w:val="TableNormal"/>
    <w:semiHidden/>
    <w:qFormat/>
    <w:uiPriority w:val="0"/>
    <w:tblPr>
      <w:tblCellMar>
        <w:top w:w="0" w:type="dxa"/>
        <w:left w:w="0" w:type="dxa"/>
        <w:bottom w:w="0" w:type="dxa"/>
        <w:right w:w="0" w:type="dxa"/>
      </w:tblCellMar>
    </w:tblPr>
  </w:style>
  <w:style w:type="character" w:customStyle="1" w:styleId="10">
    <w:name w:val="UserStyle_0"/>
    <w:semiHidden/>
    <w:qFormat/>
    <w:uiPriority w:val="0"/>
    <w:rPr>
      <w:rFonts w:eastAsia="方正仿宋_GBK"/>
      <w:sz w:val="32"/>
    </w:rPr>
  </w:style>
  <w:style w:type="table" w:customStyle="1" w:styleId="11">
    <w:name w:val="UserStyle_1"/>
    <w:semiHidden/>
    <w:qFormat/>
    <w:uiPriority w:val="0"/>
    <w:tblPr>
      <w:tblCellMar>
        <w:top w:w="0" w:type="dxa"/>
        <w:left w:w="0" w:type="dxa"/>
        <w:bottom w:w="0" w:type="dxa"/>
        <w:right w:w="0" w:type="dxa"/>
      </w:tblCellMar>
    </w:tblPr>
  </w:style>
  <w:style w:type="paragraph" w:customStyle="1" w:styleId="12">
    <w:name w:val="UserStyle_3"/>
    <w:basedOn w:val="1"/>
    <w:link w:val="13"/>
    <w:semiHidden/>
    <w:qFormat/>
    <w:uiPriority w:val="0"/>
    <w:pPr>
      <w:pBdr>
        <w:bottom w:val="single" w:color="000000" w:sz="6" w:space="0"/>
      </w:pBdr>
      <w:snapToGrid w:val="0"/>
      <w:jc w:val="center"/>
    </w:pPr>
    <w:rPr>
      <w:sz w:val="18"/>
      <w:szCs w:val="18"/>
    </w:rPr>
  </w:style>
  <w:style w:type="character" w:customStyle="1" w:styleId="13">
    <w:name w:val="UserStyle_4"/>
    <w:basedOn w:val="10"/>
    <w:link w:val="12"/>
    <w:semiHidden/>
    <w:qFormat/>
    <w:uiPriority w:val="0"/>
    <w:rPr>
      <w:sz w:val="18"/>
      <w:szCs w:val="18"/>
    </w:rPr>
  </w:style>
  <w:style w:type="paragraph" w:customStyle="1" w:styleId="14">
    <w:name w:val="UserStyle_5"/>
    <w:basedOn w:val="1"/>
    <w:link w:val="15"/>
    <w:qFormat/>
    <w:uiPriority w:val="0"/>
    <w:pPr>
      <w:snapToGrid w:val="0"/>
      <w:jc w:val="left"/>
    </w:pPr>
    <w:rPr>
      <w:sz w:val="18"/>
      <w:szCs w:val="18"/>
    </w:rPr>
  </w:style>
  <w:style w:type="character" w:customStyle="1" w:styleId="15">
    <w:name w:val="UserStyle_6"/>
    <w:basedOn w:val="10"/>
    <w:link w:val="14"/>
    <w:qFormat/>
    <w:uiPriority w:val="0"/>
    <w:rPr>
      <w:sz w:val="18"/>
      <w:szCs w:val="18"/>
    </w:rPr>
  </w:style>
  <w:style w:type="table" w:customStyle="1" w:styleId="16">
    <w:name w:val="UserStyle_7"/>
    <w:basedOn w:val="11"/>
    <w:qFormat/>
    <w:uiPriority w:val="0"/>
    <w:tblPr>
      <w:tblCellMar>
        <w:top w:w="0" w:type="dxa"/>
        <w:left w:w="0" w:type="dxa"/>
        <w:bottom w:w="0" w:type="dxa"/>
        <w:right w:w="0" w:type="dxa"/>
      </w:tblCellMar>
    </w:tblPr>
  </w:style>
  <w:style w:type="paragraph" w:customStyle="1" w:styleId="17">
    <w:name w:val="UserStyle_8"/>
    <w:basedOn w:val="1"/>
    <w:qFormat/>
    <w:uiPriority w:val="0"/>
    <w:pPr>
      <w:ind w:firstLine="420" w:firstLineChars="200"/>
    </w:pPr>
    <w:rPr>
      <w:szCs w:val="21"/>
    </w:rPr>
  </w:style>
  <w:style w:type="paragraph" w:customStyle="1" w:styleId="18">
    <w:name w:val="Header"/>
    <w:basedOn w:val="1"/>
    <w:link w:val="19"/>
    <w:semiHidden/>
    <w:qFormat/>
    <w:uiPriority w:val="0"/>
    <w:pPr>
      <w:pBdr>
        <w:bottom w:val="single" w:color="000000" w:sz="6" w:space="1"/>
      </w:pBdr>
      <w:tabs>
        <w:tab w:val="center" w:pos="4153"/>
        <w:tab w:val="right" w:pos="8306"/>
      </w:tabs>
      <w:snapToGrid w:val="0"/>
      <w:jc w:val="center"/>
    </w:pPr>
    <w:rPr>
      <w:sz w:val="18"/>
      <w:szCs w:val="18"/>
    </w:rPr>
  </w:style>
  <w:style w:type="character" w:customStyle="1" w:styleId="19">
    <w:name w:val="UserStyle_9"/>
    <w:basedOn w:val="8"/>
    <w:link w:val="18"/>
    <w:semiHidden/>
    <w:qFormat/>
    <w:uiPriority w:val="0"/>
    <w:rPr>
      <w:rFonts w:ascii="Times New Roman" w:hAnsi="Times New Roman"/>
      <w:kern w:val="2"/>
      <w:sz w:val="18"/>
      <w:szCs w:val="18"/>
    </w:rPr>
  </w:style>
  <w:style w:type="paragraph" w:customStyle="1" w:styleId="20">
    <w:name w:val="Footer"/>
    <w:basedOn w:val="1"/>
    <w:link w:val="21"/>
    <w:semiHidden/>
    <w:qFormat/>
    <w:uiPriority w:val="0"/>
    <w:pPr>
      <w:tabs>
        <w:tab w:val="center" w:pos="4153"/>
        <w:tab w:val="right" w:pos="8306"/>
      </w:tabs>
      <w:snapToGrid w:val="0"/>
      <w:jc w:val="left"/>
    </w:pPr>
    <w:rPr>
      <w:sz w:val="18"/>
      <w:szCs w:val="18"/>
    </w:rPr>
  </w:style>
  <w:style w:type="character" w:customStyle="1" w:styleId="21">
    <w:name w:val="UserStyle_10"/>
    <w:basedOn w:val="8"/>
    <w:link w:val="20"/>
    <w:semiHidden/>
    <w:qFormat/>
    <w:uiPriority w:val="0"/>
    <w:rPr>
      <w:rFonts w:ascii="Times New Roman" w:hAnsi="Times New Roman"/>
      <w:kern w:val="2"/>
      <w:sz w:val="18"/>
      <w:szCs w:val="18"/>
    </w:rPr>
  </w:style>
  <w:style w:type="character" w:customStyle="1" w:styleId="22">
    <w:name w:val="页眉 Char"/>
    <w:basedOn w:val="7"/>
    <w:link w:val="5"/>
    <w:semiHidden/>
    <w:qFormat/>
    <w:uiPriority w:val="99"/>
    <w:rPr>
      <w:rFonts w:ascii="Times New Roman" w:hAnsi="Times New Roman"/>
      <w:kern w:val="2"/>
      <w:sz w:val="18"/>
      <w:szCs w:val="18"/>
    </w:rPr>
  </w:style>
  <w:style w:type="character" w:customStyle="1" w:styleId="23">
    <w:name w:val="页脚 Char"/>
    <w:basedOn w:val="7"/>
    <w:link w:val="4"/>
    <w:qFormat/>
    <w:uiPriority w:val="99"/>
    <w:rPr>
      <w:rFonts w:ascii="Times New Roman" w:hAnsi="Times New Roman"/>
      <w:kern w:val="2"/>
      <w:sz w:val="18"/>
      <w:szCs w:val="18"/>
    </w:rPr>
  </w:style>
  <w:style w:type="character" w:customStyle="1" w:styleId="24">
    <w:name w:val="日期 Char"/>
    <w:basedOn w:val="7"/>
    <w:link w:val="3"/>
    <w:semiHidden/>
    <w:qFormat/>
    <w:uiPriority w:val="99"/>
    <w:rPr>
      <w:rFonts w:ascii="Times New Roman" w:hAnsi="Times New Roman"/>
      <w:kern w:val="2"/>
      <w:sz w:val="32"/>
      <w:szCs w:val="22"/>
    </w:rPr>
  </w:style>
  <w:style w:type="paragraph" w:customStyle="1" w:styleId="25">
    <w:name w:val="印发栏"/>
    <w:basedOn w:val="2"/>
    <w:qFormat/>
    <w:uiPriority w:val="0"/>
    <w:pPr>
      <w:widowControl w:val="0"/>
      <w:tabs>
        <w:tab w:val="right" w:pos="8465"/>
      </w:tabs>
      <w:autoSpaceDE w:val="0"/>
      <w:autoSpaceDN w:val="0"/>
      <w:adjustRightInd w:val="0"/>
      <w:spacing w:line="454" w:lineRule="atLeast"/>
      <w:ind w:left="357" w:right="357" w:firstLine="0" w:firstLineChars="0"/>
      <w:jc w:val="left"/>
      <w:textAlignment w:val="auto"/>
    </w:pPr>
    <w:rPr>
      <w:rFonts w:eastAsia="仿宋_GB2312"/>
      <w:kern w:val="32"/>
      <w:szCs w:val="32"/>
    </w:rPr>
  </w:style>
  <w:style w:type="paragraph" w:customStyle="1" w:styleId="26">
    <w:name w:val="紧急程度"/>
    <w:basedOn w:val="1"/>
    <w:qFormat/>
    <w:uiPriority w:val="0"/>
    <w:pPr>
      <w:widowControl w:val="0"/>
      <w:overflowPunct w:val="0"/>
      <w:autoSpaceDE w:val="0"/>
      <w:autoSpaceDN w:val="0"/>
      <w:adjustRightInd w:val="0"/>
      <w:snapToGrid w:val="0"/>
      <w:spacing w:line="440" w:lineRule="atLeast"/>
      <w:jc w:val="right"/>
      <w:textAlignment w:val="auto"/>
    </w:pPr>
    <w:rPr>
      <w:rFonts w:ascii="黑体" w:eastAsia="黑体"/>
      <w:snapToGrid w:val="0"/>
      <w:kern w:val="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226BE-CD7F-4D9F-B3C5-C35887032E0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2432</Words>
  <Characters>13869</Characters>
  <Lines>115</Lines>
  <Paragraphs>32</Paragraphs>
  <TotalTime>19</TotalTime>
  <ScaleCrop>false</ScaleCrop>
  <LinksUpToDate>false</LinksUpToDate>
  <CharactersWithSpaces>16269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2020-03-17T07:23:00Z</dcterms:created>
  <dc:creator>Administrator</dc:creator>
  <cp:lastModifiedBy>Yin</cp:lastModifiedBy>
  <cp:lastPrinted>2020-03-17T07:39:00Z</cp:lastPrinted>
  <dcterms:modified xsi:type="dcterms:W3CDTF">2021-12-01T09:41:47Z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651EE08EA1B74370924EA4DB74ED2909</vt:lpwstr>
  </property>
</Properties>
</file>