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楷体_GB2312" w:hAnsi="华文中宋" w:eastAsia="楷体_GB2312"/>
          <w:bCs/>
          <w:spacing w:val="20"/>
          <w:sz w:val="72"/>
        </w:rPr>
      </w:pPr>
    </w:p>
    <w:p>
      <w:pPr>
        <w:spacing w:line="400" w:lineRule="exact"/>
        <w:jc w:val="center"/>
        <w:rPr>
          <w:rFonts w:ascii="楷体_GB2312" w:hAnsi="华文中宋" w:eastAsia="楷体_GB2312"/>
          <w:bCs/>
          <w:spacing w:val="20"/>
          <w:sz w:val="72"/>
        </w:rPr>
      </w:pPr>
    </w:p>
    <w:p>
      <w:pPr>
        <w:spacing w:line="400" w:lineRule="exact"/>
        <w:jc w:val="center"/>
        <w:rPr>
          <w:rFonts w:asciiTheme="minorEastAsia" w:hAnsiTheme="minorEastAsia" w:eastAsiaTheme="minorEastAsia"/>
          <w:b/>
          <w:bCs/>
          <w:spacing w:val="20"/>
          <w:sz w:val="72"/>
        </w:rPr>
      </w:pPr>
    </w:p>
    <w:p>
      <w:pPr>
        <w:jc w:val="center"/>
        <w:rPr>
          <w:rFonts w:asciiTheme="minorEastAsia" w:hAnsiTheme="minorEastAsia" w:eastAsiaTheme="minorEastAsia"/>
          <w:b/>
          <w:bCs/>
          <w:spacing w:val="20"/>
          <w:sz w:val="72"/>
          <w:szCs w:val="72"/>
        </w:rPr>
      </w:pPr>
      <w:r>
        <w:rPr>
          <w:rFonts w:hint="eastAsia" w:asciiTheme="minorEastAsia" w:hAnsiTheme="minorEastAsia" w:eastAsiaTheme="minorEastAsia"/>
          <w:b/>
          <w:bCs/>
          <w:spacing w:val="20"/>
          <w:sz w:val="72"/>
          <w:szCs w:val="72"/>
        </w:rPr>
        <w:t>江阴市国有企业集中采购</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Theme="minorEastAsia" w:hAnsiTheme="minorEastAsia" w:eastAsiaTheme="minorEastAsia"/>
          <w:b/>
          <w:bCs/>
          <w:sz w:val="72"/>
          <w:szCs w:val="72"/>
        </w:rPr>
      </w:pPr>
      <w:r>
        <w:rPr>
          <w:rFonts w:hint="eastAsia" w:asciiTheme="minorEastAsia" w:hAnsiTheme="minorEastAsia" w:eastAsiaTheme="minorEastAsia"/>
          <w:b/>
          <w:bCs/>
          <w:sz w:val="72"/>
          <w:szCs w:val="72"/>
        </w:rPr>
        <w:t>公　开　招　标</w:t>
      </w:r>
    </w:p>
    <w:p>
      <w:pPr>
        <w:jc w:val="center"/>
        <w:rPr>
          <w:rFonts w:asciiTheme="minorEastAsia" w:hAnsiTheme="minorEastAsia" w:eastAsiaTheme="minorEastAsia"/>
          <w:b/>
          <w:bCs/>
          <w:sz w:val="72"/>
          <w:szCs w:val="72"/>
        </w:rPr>
      </w:pPr>
      <w:r>
        <w:rPr>
          <w:rFonts w:asciiTheme="minorEastAsia" w:hAnsiTheme="minorEastAsia" w:eastAsiaTheme="minorEastAsia"/>
          <w:b/>
          <w:bCs/>
          <w:sz w:val="72"/>
          <w:szCs w:val="72"/>
        </w:rPr>
        <w:pict>
          <v:line id="_x0000_s1026" o:spid="_x0000_s1026" o:spt="20" style="position:absolute;left:0pt;margin-left:-9pt;margin-top:15.6pt;height:0pt;width:0.05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v:path arrowok="t"/>
            <v:fill focussize="0,0"/>
            <v:stroke/>
            <v:imagedata o:title=""/>
            <o:lock v:ext="edit"/>
          </v:line>
        </w:pict>
      </w:r>
      <w:r>
        <w:rPr>
          <w:rFonts w:hint="eastAsia" w:asciiTheme="minorEastAsia" w:hAnsiTheme="minorEastAsia" w:eastAsiaTheme="minorEastAsia"/>
          <w:b/>
          <w:bCs/>
          <w:sz w:val="72"/>
          <w:szCs w:val="72"/>
        </w:rPr>
        <w:t>招　标　文　件</w:t>
      </w: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pStyle w:val="2"/>
      </w:pPr>
    </w:p>
    <w:p>
      <w:pPr>
        <w:spacing w:line="360" w:lineRule="auto"/>
        <w:ind w:left="2992" w:leftChars="400" w:hanging="2152" w:hangingChars="670"/>
        <w:rPr>
          <w:rFonts w:hint="eastAsia" w:asciiTheme="minorEastAsia" w:hAnsiTheme="minorEastAsia" w:eastAsiaTheme="minorEastAsia"/>
          <w:bCs/>
          <w:sz w:val="32"/>
          <w:lang w:eastAsia="zh-CN"/>
        </w:rPr>
      </w:pPr>
      <w:r>
        <w:rPr>
          <w:rStyle w:val="304"/>
          <w:rFonts w:hint="eastAsia" w:asciiTheme="minorEastAsia" w:hAnsiTheme="minorEastAsia" w:eastAsiaTheme="minorEastAsia"/>
        </w:rPr>
        <w:t>采购项目</w:t>
      </w:r>
      <w:r>
        <w:rPr>
          <w:rFonts w:hint="eastAsia" w:cs="Batang" w:asciiTheme="minorEastAsia" w:hAnsiTheme="minorEastAsia" w:eastAsiaTheme="minorEastAsia"/>
          <w:b/>
          <w:sz w:val="32"/>
          <w:szCs w:val="32"/>
        </w:rPr>
        <w:t>名</w:t>
      </w:r>
      <w:r>
        <w:rPr>
          <w:rFonts w:hint="eastAsia" w:asciiTheme="minorEastAsia" w:hAnsiTheme="minorEastAsia" w:eastAsiaTheme="minorEastAsia"/>
          <w:b/>
          <w:sz w:val="32"/>
          <w:szCs w:val="32"/>
        </w:rPr>
        <w:t>称</w:t>
      </w:r>
      <w:r>
        <w:rPr>
          <w:rFonts w:hint="eastAsia" w:cs="Batang" w:asciiTheme="minorEastAsia" w:hAnsiTheme="minorEastAsia" w:eastAsiaTheme="minorEastAsia"/>
          <w:b/>
          <w:sz w:val="32"/>
          <w:szCs w:val="32"/>
        </w:rPr>
        <w:t>：</w:t>
      </w:r>
      <w:r>
        <w:rPr>
          <w:rFonts w:hint="eastAsia" w:asciiTheme="minorEastAsia" w:hAnsiTheme="minorEastAsia" w:eastAsiaTheme="minorEastAsia"/>
          <w:bCs/>
          <w:sz w:val="32"/>
          <w:lang w:eastAsia="zh-CN"/>
        </w:rPr>
        <w:t>江阴市2022-2024年度路灯箱式变电站维护项目</w:t>
      </w:r>
    </w:p>
    <w:p>
      <w:pPr>
        <w:spacing w:line="360" w:lineRule="auto"/>
        <w:ind w:left="3008" w:leftChars="400" w:hanging="2168" w:hangingChars="675"/>
        <w:rPr>
          <w:rFonts w:hint="eastAsia" w:asciiTheme="minorEastAsia" w:hAnsiTheme="minorEastAsia" w:eastAsiaTheme="minorEastAsia"/>
          <w:bCs/>
          <w:sz w:val="32"/>
          <w:lang w:eastAsia="zh-CN"/>
        </w:rPr>
      </w:pPr>
      <w:bookmarkStart w:id="0" w:name="_Toc311189700"/>
      <w:bookmarkStart w:id="1" w:name="_Toc311189771"/>
      <w:r>
        <w:rPr>
          <w:rFonts w:hint="eastAsia" w:asciiTheme="minorEastAsia" w:hAnsiTheme="minorEastAsia" w:eastAsiaTheme="minorEastAsia"/>
          <w:b/>
          <w:sz w:val="32"/>
          <w:szCs w:val="32"/>
        </w:rPr>
        <w:t>采购项</w:t>
      </w:r>
      <w:r>
        <w:rPr>
          <w:rFonts w:hint="eastAsia" w:cs="Batang" w:asciiTheme="minorEastAsia" w:hAnsiTheme="minorEastAsia" w:eastAsiaTheme="minorEastAsia"/>
          <w:b/>
          <w:sz w:val="32"/>
          <w:szCs w:val="32"/>
        </w:rPr>
        <w:t>目</w:t>
      </w:r>
      <w:bookmarkEnd w:id="0"/>
      <w:bookmarkEnd w:id="1"/>
      <w:r>
        <w:rPr>
          <w:rStyle w:val="304"/>
          <w:rFonts w:hint="eastAsia" w:asciiTheme="minorEastAsia" w:hAnsiTheme="minorEastAsia" w:eastAsiaTheme="minorEastAsia"/>
        </w:rPr>
        <w:t>编号</w:t>
      </w:r>
      <w:r>
        <w:rPr>
          <w:rFonts w:hint="eastAsia" w:asciiTheme="minorEastAsia" w:hAnsiTheme="minorEastAsia" w:eastAsiaTheme="minorEastAsia"/>
          <w:bCs/>
          <w:sz w:val="32"/>
        </w:rPr>
        <w:t>：</w:t>
      </w:r>
      <w:r>
        <w:rPr>
          <w:rFonts w:hint="eastAsia" w:asciiTheme="minorEastAsia" w:hAnsiTheme="minorEastAsia" w:eastAsiaTheme="minorEastAsia"/>
          <w:bCs/>
          <w:sz w:val="32"/>
          <w:lang w:eastAsia="zh-CN"/>
        </w:rPr>
        <w:t>JYGQ2021G030</w:t>
      </w:r>
    </w:p>
    <w:p>
      <w:pPr>
        <w:pStyle w:val="5"/>
        <w:spacing w:before="0" w:after="0" w:line="360" w:lineRule="auto"/>
        <w:ind w:left="3008" w:leftChars="400" w:hanging="2168" w:hangingChars="675"/>
        <w:rPr>
          <w:rFonts w:asciiTheme="minorEastAsia" w:hAnsiTheme="minorEastAsia" w:eastAsiaTheme="minorEastAsia"/>
          <w:b w:val="0"/>
        </w:rPr>
      </w:pPr>
      <w:bookmarkStart w:id="2" w:name="_Toc311189772"/>
      <w:bookmarkStart w:id="3" w:name="_Toc311189701"/>
      <w:r>
        <w:rPr>
          <w:rFonts w:hint="eastAsia" w:asciiTheme="minorEastAsia" w:hAnsiTheme="minorEastAsia" w:eastAsiaTheme="minorEastAsia"/>
        </w:rPr>
        <w:t>集中采</w:t>
      </w:r>
      <w:r>
        <w:rPr>
          <w:rFonts w:hint="eastAsia" w:cs="宋体" w:asciiTheme="minorEastAsia" w:hAnsiTheme="minorEastAsia" w:eastAsiaTheme="minorEastAsia"/>
        </w:rPr>
        <w:t>购</w:t>
      </w:r>
      <w:r>
        <w:rPr>
          <w:rFonts w:hint="eastAsia" w:cs="Batang" w:asciiTheme="minorEastAsia" w:hAnsiTheme="minorEastAsia" w:eastAsiaTheme="minorEastAsia"/>
        </w:rPr>
        <w:t>机</w:t>
      </w:r>
      <w:r>
        <w:rPr>
          <w:rFonts w:hint="eastAsia" w:cs="宋体" w:asciiTheme="minorEastAsia" w:hAnsiTheme="minorEastAsia" w:eastAsiaTheme="minorEastAsia"/>
        </w:rPr>
        <w:t>构</w:t>
      </w:r>
      <w:r>
        <w:rPr>
          <w:rFonts w:hint="eastAsia" w:asciiTheme="minorEastAsia" w:hAnsiTheme="minorEastAsia" w:eastAsiaTheme="minorEastAsia"/>
        </w:rPr>
        <w:t xml:space="preserve">: </w:t>
      </w:r>
      <w:r>
        <w:rPr>
          <w:rFonts w:hint="eastAsia" w:asciiTheme="minorEastAsia" w:hAnsiTheme="minorEastAsia" w:eastAsiaTheme="minorEastAsia"/>
          <w:b w:val="0"/>
        </w:rPr>
        <w:t>江阴市公共资源交易中心</w:t>
      </w:r>
      <w:bookmarkEnd w:id="2"/>
      <w:bookmarkEnd w:id="3"/>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Fonts w:ascii="楷体_GB2312" w:hAnsi="华文中宋" w:eastAsia="楷体_GB2312"/>
          <w:bCs/>
          <w:sz w:val="30"/>
        </w:rPr>
      </w:pPr>
    </w:p>
    <w:p>
      <w:pPr>
        <w:jc w:val="center"/>
        <w:rPr>
          <w:rStyle w:val="94"/>
          <w:rFonts w:ascii="楷体_GB2312" w:eastAsia="楷体_GB2312"/>
          <w:bCs/>
          <w:color w:val="auto"/>
          <w:sz w:val="48"/>
        </w:rPr>
      </w:pPr>
      <w:r>
        <w:rPr>
          <w:rFonts w:hint="eastAsia" w:asciiTheme="minorEastAsia" w:hAnsiTheme="minorEastAsia" w:eastAsiaTheme="minorEastAsia"/>
          <w:bCs/>
          <w:sz w:val="48"/>
        </w:rPr>
        <w:t>二○二一年十一月</w:t>
      </w:r>
    </w:p>
    <w:p>
      <w:pPr>
        <w:spacing w:line="400" w:lineRule="exact"/>
        <w:jc w:val="center"/>
        <w:outlineLvl w:val="0"/>
        <w:rPr>
          <w:rStyle w:val="94"/>
          <w:rFonts w:ascii="楷体_GB2312" w:eastAsia="楷体_GB2312"/>
          <w:bCs/>
          <w:color w:val="auto"/>
          <w:sz w:val="48"/>
        </w:rPr>
        <w:sectPr>
          <w:headerReference r:id="rId3" w:type="first"/>
          <w:footerReference r:id="rId4" w:type="default"/>
          <w:footerReference r:id="rId5" w:type="even"/>
          <w:pgSz w:w="11906" w:h="16838"/>
          <w:pgMar w:top="1253" w:right="1247" w:bottom="1440" w:left="1247" w:header="567" w:footer="992" w:gutter="0"/>
          <w:pgNumType w:start="0"/>
          <w:cols w:space="720" w:num="1"/>
          <w:titlePg/>
          <w:docGrid w:linePitch="312" w:charSpace="0"/>
        </w:sectPr>
      </w:pPr>
    </w:p>
    <w:p>
      <w:pPr>
        <w:spacing w:line="360" w:lineRule="auto"/>
        <w:jc w:val="center"/>
        <w:rPr>
          <w:rStyle w:val="94"/>
          <w:rFonts w:ascii="黑体" w:eastAsia="黑体"/>
          <w:bCs/>
          <w:color w:val="auto"/>
          <w:sz w:val="44"/>
          <w:szCs w:val="44"/>
          <w:u w:val="none"/>
        </w:rPr>
      </w:pPr>
      <w:bookmarkStart w:id="4" w:name="_Toc251268358"/>
    </w:p>
    <w:p>
      <w:pPr>
        <w:spacing w:line="360" w:lineRule="auto"/>
        <w:jc w:val="center"/>
        <w:rPr>
          <w:rStyle w:val="94"/>
          <w:rFonts w:ascii="黑体" w:eastAsia="黑体"/>
          <w:bCs/>
          <w:color w:val="auto"/>
          <w:sz w:val="44"/>
          <w:szCs w:val="44"/>
          <w:u w:val="none"/>
        </w:rPr>
      </w:pPr>
      <w:r>
        <w:rPr>
          <w:rStyle w:val="94"/>
          <w:rFonts w:hint="eastAsia" w:ascii="黑体" w:eastAsia="黑体"/>
          <w:bCs/>
          <w:color w:val="auto"/>
          <w:sz w:val="44"/>
          <w:szCs w:val="44"/>
          <w:u w:val="none"/>
        </w:rPr>
        <w:t>总　目　录</w:t>
      </w:r>
    </w:p>
    <w:p>
      <w:pPr>
        <w:spacing w:line="360" w:lineRule="auto"/>
        <w:rPr>
          <w:rStyle w:val="94"/>
          <w:rFonts w:ascii="楷体_GB2312" w:eastAsia="楷体_GB2312"/>
          <w:bCs/>
          <w:color w:val="auto"/>
          <w:sz w:val="30"/>
          <w:szCs w:val="48"/>
        </w:rPr>
      </w:pPr>
    </w:p>
    <w:p>
      <w:pPr>
        <w:spacing w:line="720" w:lineRule="auto"/>
        <w:rPr>
          <w:rStyle w:val="94"/>
          <w:rFonts w:ascii="楷体_GB2312" w:eastAsia="楷体_GB2312"/>
          <w:bCs/>
          <w:color w:val="auto"/>
          <w:sz w:val="28"/>
          <w:szCs w:val="28"/>
          <w:u w:val="none"/>
        </w:rPr>
      </w:pPr>
      <w:r>
        <w:rPr>
          <w:rStyle w:val="94"/>
          <w:rFonts w:hint="eastAsia" w:ascii="黑体" w:eastAsia="黑体"/>
          <w:bCs/>
          <w:color w:val="auto"/>
          <w:sz w:val="28"/>
          <w:szCs w:val="28"/>
          <w:u w:val="none"/>
        </w:rPr>
        <w:t>第一章　　</w:t>
      </w:r>
      <w:r>
        <w:rPr>
          <w:rStyle w:val="94"/>
          <w:rFonts w:hint="eastAsia" w:asciiTheme="minorEastAsia" w:hAnsiTheme="minorEastAsia" w:eastAsiaTheme="minorEastAsia"/>
          <w:bCs/>
          <w:color w:val="auto"/>
          <w:sz w:val="28"/>
          <w:szCs w:val="28"/>
          <w:u w:val="none"/>
        </w:rPr>
        <w:t>投标邀请————————————————————第2页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第二章　　</w:t>
      </w:r>
      <w:r>
        <w:rPr>
          <w:rStyle w:val="94"/>
          <w:rFonts w:hint="eastAsia" w:asciiTheme="minorEastAsia" w:hAnsiTheme="minorEastAsia" w:eastAsiaTheme="minorEastAsia"/>
          <w:bCs/>
          <w:color w:val="auto"/>
          <w:sz w:val="28"/>
          <w:szCs w:val="28"/>
          <w:u w:val="none"/>
        </w:rPr>
        <w:t>投标人须知前附表————————————————第4页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第三章　　</w:t>
      </w:r>
      <w:r>
        <w:rPr>
          <w:rStyle w:val="94"/>
          <w:rFonts w:hint="eastAsia" w:asciiTheme="minorEastAsia" w:hAnsiTheme="minorEastAsia" w:eastAsiaTheme="minorEastAsia"/>
          <w:bCs/>
          <w:color w:val="auto"/>
          <w:sz w:val="28"/>
          <w:szCs w:val="28"/>
          <w:u w:val="none"/>
        </w:rPr>
        <w:t>投标人须知———————————————————第5页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第四章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项目要求和有关说明———————————————第14页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第五章</w:t>
      </w:r>
      <w:r>
        <w:rPr>
          <w:rStyle w:val="94"/>
          <w:rFonts w:hint="eastAsia" w:ascii="楷体_GB2312" w:eastAsia="楷体_GB2312"/>
          <w:bCs/>
          <w:color w:val="auto"/>
          <w:sz w:val="28"/>
          <w:szCs w:val="28"/>
          <w:u w:val="none"/>
        </w:rPr>
        <w:t>　　</w:t>
      </w:r>
      <w:r>
        <w:rPr>
          <w:rFonts w:hint="eastAsia" w:asciiTheme="minorEastAsia" w:hAnsiTheme="minorEastAsia" w:eastAsiaTheme="minorEastAsia"/>
          <w:bCs/>
          <w:sz w:val="28"/>
          <w:szCs w:val="28"/>
        </w:rPr>
        <w:t>评标方法和评标标准</w:t>
      </w:r>
      <w:r>
        <w:rPr>
          <w:rStyle w:val="94"/>
          <w:rFonts w:hint="eastAsia" w:asciiTheme="minorEastAsia" w:hAnsiTheme="minorEastAsia" w:eastAsiaTheme="minorEastAsia"/>
          <w:bCs/>
          <w:color w:val="auto"/>
          <w:sz w:val="28"/>
          <w:szCs w:val="28"/>
          <w:u w:val="none"/>
        </w:rPr>
        <w:t>———————————————第19页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第六章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合同书（格式）—————————————————第22页</w:t>
      </w:r>
    </w:p>
    <w:p>
      <w:pPr>
        <w:spacing w:line="720" w:lineRule="auto"/>
        <w:rPr>
          <w:rStyle w:val="94"/>
          <w:rFonts w:asciiTheme="minorEastAsia" w:hAnsiTheme="minorEastAsia" w:eastAsiaTheme="minorEastAsia"/>
          <w:bCs/>
          <w:color w:val="auto"/>
          <w:sz w:val="28"/>
          <w:szCs w:val="28"/>
          <w:u w:val="none"/>
        </w:rPr>
      </w:pPr>
      <w:r>
        <w:rPr>
          <w:rStyle w:val="94"/>
          <w:rFonts w:hint="eastAsia" w:ascii="黑体" w:eastAsia="黑体"/>
          <w:bCs/>
          <w:color w:val="auto"/>
          <w:sz w:val="28"/>
          <w:szCs w:val="28"/>
          <w:u w:val="none"/>
        </w:rPr>
        <w:t>第七章</w:t>
      </w:r>
      <w:r>
        <w:rPr>
          <w:rStyle w:val="94"/>
          <w:rFonts w:hint="eastAsia" w:ascii="楷体_GB2312" w:eastAsia="楷体_GB2312"/>
          <w:bCs/>
          <w:color w:val="auto"/>
          <w:sz w:val="28"/>
          <w:szCs w:val="28"/>
          <w:u w:val="none"/>
        </w:rPr>
        <w:t>　　</w:t>
      </w:r>
      <w:r>
        <w:rPr>
          <w:rStyle w:val="94"/>
          <w:rFonts w:hint="eastAsia" w:asciiTheme="minorEastAsia" w:hAnsiTheme="minorEastAsia" w:eastAsiaTheme="minorEastAsia"/>
          <w:bCs/>
          <w:color w:val="auto"/>
          <w:sz w:val="28"/>
          <w:szCs w:val="28"/>
          <w:u w:val="none"/>
        </w:rPr>
        <w:t>投标文件的组成和格式——————————————第</w:t>
      </w:r>
      <w:r>
        <w:rPr>
          <w:rStyle w:val="94"/>
          <w:rFonts w:hint="eastAsia" w:asciiTheme="minorEastAsia" w:hAnsiTheme="minorEastAsia" w:eastAsiaTheme="minorEastAsia"/>
          <w:bCs/>
          <w:color w:val="auto"/>
          <w:sz w:val="28"/>
          <w:szCs w:val="28"/>
          <w:u w:val="none"/>
          <w:lang w:val="en-US" w:eastAsia="zh-CN"/>
        </w:rPr>
        <w:t>25</w:t>
      </w:r>
      <w:r>
        <w:rPr>
          <w:rStyle w:val="94"/>
          <w:rFonts w:hint="eastAsia" w:asciiTheme="minorEastAsia" w:hAnsiTheme="minorEastAsia" w:eastAsiaTheme="minorEastAsia"/>
          <w:bCs/>
          <w:color w:val="auto"/>
          <w:sz w:val="28"/>
          <w:szCs w:val="28"/>
          <w:u w:val="none"/>
        </w:rPr>
        <w:t>页</w:t>
      </w: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320" w:lineRule="exact"/>
        <w:rPr>
          <w:rFonts w:ascii="楷体_GB2312" w:eastAsia="楷体_GB2312"/>
          <w:b/>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p>
    <w:p>
      <w:pPr>
        <w:spacing w:line="400" w:lineRule="exact"/>
        <w:jc w:val="center"/>
        <w:outlineLvl w:val="0"/>
        <w:rPr>
          <w:rFonts w:ascii="黑体" w:eastAsia="黑体"/>
          <w:bCs/>
          <w:sz w:val="30"/>
        </w:rPr>
      </w:pPr>
      <w:r>
        <w:rPr>
          <w:rFonts w:hint="eastAsia" w:ascii="黑体" w:eastAsia="黑体"/>
          <w:bCs/>
          <w:sz w:val="30"/>
        </w:rPr>
        <w:t>第一章　</w:t>
      </w:r>
      <w:bookmarkEnd w:id="4"/>
      <w:r>
        <w:rPr>
          <w:rFonts w:hint="eastAsia" w:ascii="黑体" w:eastAsia="黑体"/>
          <w:bCs/>
          <w:sz w:val="30"/>
        </w:rPr>
        <w:t>投标邀请</w:t>
      </w:r>
    </w:p>
    <w:p>
      <w:pPr>
        <w:spacing w:line="400" w:lineRule="exact"/>
        <w:jc w:val="center"/>
        <w:outlineLvl w:val="0"/>
        <w:rPr>
          <w:rFonts w:ascii="黑体" w:eastAsia="黑体"/>
          <w:bCs/>
          <w:sz w:val="30"/>
        </w:rPr>
      </w:pPr>
    </w:p>
    <w:p>
      <w:pPr>
        <w:spacing w:line="400" w:lineRule="exact"/>
        <w:rPr>
          <w:rFonts w:ascii="宋体" w:hAnsi="宋体"/>
          <w:b/>
          <w:sz w:val="24"/>
        </w:rPr>
      </w:pPr>
      <w:r>
        <w:rPr>
          <w:rFonts w:hint="eastAsia" w:ascii="宋体" w:hAnsi="宋体"/>
          <w:b/>
          <w:sz w:val="24"/>
        </w:rPr>
        <w:t>项目概况</w:t>
      </w:r>
    </w:p>
    <w:p>
      <w:pPr>
        <w:spacing w:line="400" w:lineRule="exact"/>
        <w:ind w:firstLine="480" w:firstLineChars="200"/>
        <w:rPr>
          <w:rFonts w:ascii="宋体" w:hAnsi="宋体"/>
          <w:sz w:val="24"/>
        </w:rPr>
      </w:pPr>
      <w:r>
        <w:rPr>
          <w:rFonts w:hint="eastAsia" w:asciiTheme="minorEastAsia" w:hAnsiTheme="minorEastAsia" w:eastAsiaTheme="minorEastAsia"/>
          <w:sz w:val="24"/>
          <w:lang w:eastAsia="zh-CN"/>
        </w:rPr>
        <w:t>江阴市2022-2024年度路灯箱式变电站维护项目</w:t>
      </w:r>
      <w:r>
        <w:rPr>
          <w:rFonts w:hint="eastAsia" w:asciiTheme="minorEastAsia" w:hAnsiTheme="minorEastAsia" w:eastAsiaTheme="minorEastAsia"/>
          <w:sz w:val="24"/>
        </w:rPr>
        <w:t>的潜在投标人应在江阴市公共资源交易中心网免费下载招标文件，并于2021年</w:t>
      </w:r>
      <w:r>
        <w:rPr>
          <w:rFonts w:hint="default" w:asciiTheme="minorEastAsia" w:hAnsiTheme="minorEastAsia" w:eastAsiaTheme="minorEastAsia"/>
          <w:sz w:val="24"/>
          <w:lang w:val="en-US"/>
        </w:rPr>
        <w:t>12</w:t>
      </w:r>
      <w:r>
        <w:rPr>
          <w:rFonts w:hint="eastAsia" w:ascii="宋体" w:hAnsi="宋体"/>
          <w:sz w:val="24"/>
        </w:rPr>
        <w:t>月</w:t>
      </w:r>
      <w:r>
        <w:rPr>
          <w:rFonts w:hint="default" w:ascii="宋体" w:hAnsi="宋体"/>
          <w:sz w:val="24"/>
          <w:lang w:val="en-US"/>
        </w:rPr>
        <w:t>10</w:t>
      </w:r>
      <w:r>
        <w:rPr>
          <w:rFonts w:hint="eastAsia" w:ascii="宋体" w:hAnsi="宋体"/>
          <w:sz w:val="24"/>
        </w:rPr>
        <w:t>日</w:t>
      </w:r>
      <w:r>
        <w:rPr>
          <w:rFonts w:hint="eastAsia" w:ascii="宋体" w:hAnsi="宋体"/>
          <w:sz w:val="24"/>
          <w:lang w:eastAsia="zh-CN"/>
        </w:rPr>
        <w:t>上午</w:t>
      </w:r>
      <w:r>
        <w:rPr>
          <w:rFonts w:hint="eastAsia" w:ascii="宋体" w:hAnsi="宋体"/>
          <w:sz w:val="24"/>
          <w:lang w:val="en-US" w:eastAsia="zh-CN"/>
        </w:rPr>
        <w:t>09</w:t>
      </w:r>
      <w:r>
        <w:rPr>
          <w:rFonts w:hint="eastAsia" w:ascii="宋体" w:hAnsi="宋体"/>
          <w:sz w:val="24"/>
        </w:rPr>
        <w:t>:30（北京时间）前递交投标文件。</w:t>
      </w:r>
    </w:p>
    <w:p>
      <w:pPr>
        <w:spacing w:line="400" w:lineRule="exact"/>
        <w:rPr>
          <w:rFonts w:ascii="宋体" w:hAnsi="宋体"/>
          <w:b/>
          <w:sz w:val="24"/>
        </w:rPr>
      </w:pPr>
      <w:r>
        <w:rPr>
          <w:rFonts w:hint="eastAsia" w:ascii="宋体" w:hAnsi="宋体"/>
          <w:b/>
          <w:sz w:val="24"/>
        </w:rPr>
        <w:t>一、项目基本情况：</w:t>
      </w:r>
    </w:p>
    <w:p>
      <w:pPr>
        <w:spacing w:line="400" w:lineRule="exact"/>
        <w:ind w:firstLine="480" w:firstLineChars="200"/>
        <w:rPr>
          <w:rFonts w:hint="eastAsia" w:ascii="宋体" w:hAnsi="宋体" w:eastAsia="宋体"/>
          <w:sz w:val="24"/>
          <w:lang w:eastAsia="zh-CN"/>
        </w:rPr>
      </w:pPr>
      <w:r>
        <w:rPr>
          <w:rFonts w:hint="eastAsia" w:ascii="宋体" w:hAnsi="宋体"/>
          <w:sz w:val="24"/>
        </w:rPr>
        <w:t>1、项目编号：</w:t>
      </w:r>
      <w:r>
        <w:rPr>
          <w:rFonts w:hint="eastAsia" w:ascii="宋体" w:hAnsi="宋体"/>
          <w:sz w:val="24"/>
          <w:lang w:eastAsia="zh-CN"/>
        </w:rPr>
        <w:t>JYGQ2021G030</w:t>
      </w:r>
    </w:p>
    <w:p>
      <w:pPr>
        <w:spacing w:line="400" w:lineRule="exact"/>
        <w:ind w:firstLine="480" w:firstLineChars="200"/>
        <w:rPr>
          <w:rFonts w:hint="eastAsia" w:eastAsia="宋体" w:asciiTheme="minorEastAsia" w:hAnsiTheme="minorEastAsia"/>
          <w:sz w:val="24"/>
          <w:lang w:eastAsia="zh-CN"/>
        </w:rPr>
      </w:pPr>
      <w:r>
        <w:rPr>
          <w:rFonts w:hint="eastAsia" w:ascii="宋体" w:hAnsi="宋体"/>
          <w:sz w:val="24"/>
        </w:rPr>
        <w:t>2、项目名称：</w:t>
      </w:r>
      <w:r>
        <w:rPr>
          <w:rFonts w:hint="eastAsia" w:asciiTheme="minorEastAsia" w:hAnsiTheme="minorEastAsia" w:eastAsiaTheme="minorEastAsia"/>
          <w:sz w:val="24"/>
          <w:lang w:eastAsia="zh-CN"/>
        </w:rPr>
        <w:t>江阴市2022-2024年度路灯箱式变电站维护项目</w:t>
      </w:r>
    </w:p>
    <w:p>
      <w:pPr>
        <w:spacing w:line="400" w:lineRule="exact"/>
        <w:ind w:firstLine="480" w:firstLineChars="200"/>
        <w:rPr>
          <w:rFonts w:ascii="宋体" w:hAnsi="宋体"/>
          <w:sz w:val="24"/>
        </w:rPr>
      </w:pPr>
      <w:bookmarkStart w:id="5" w:name="_Toc28359003"/>
      <w:bookmarkStart w:id="6" w:name="_Toc28359080"/>
      <w:bookmarkStart w:id="7" w:name="_Toc35393622"/>
      <w:bookmarkStart w:id="8" w:name="_Toc35393791"/>
      <w:r>
        <w:rPr>
          <w:rFonts w:hint="eastAsia" w:ascii="宋体" w:hAnsi="宋体"/>
          <w:sz w:val="24"/>
        </w:rPr>
        <w:t>3、预算金额及最高限价：1</w:t>
      </w:r>
      <w:r>
        <w:rPr>
          <w:rFonts w:hint="eastAsia" w:ascii="宋体" w:hAnsi="宋体"/>
          <w:sz w:val="24"/>
          <w:lang w:val="en-US" w:eastAsia="zh-CN"/>
        </w:rPr>
        <w:t>1</w:t>
      </w:r>
      <w:r>
        <w:rPr>
          <w:rFonts w:hint="eastAsia" w:ascii="宋体" w:hAnsi="宋体"/>
          <w:sz w:val="24"/>
        </w:rPr>
        <w:t>00000元/年</w:t>
      </w:r>
    </w:p>
    <w:p>
      <w:pPr>
        <w:adjustRightInd w:val="0"/>
        <w:snapToGrid w:val="0"/>
        <w:spacing w:line="400" w:lineRule="exact"/>
        <w:ind w:firstLine="480" w:firstLineChars="200"/>
        <w:rPr>
          <w:rFonts w:hint="eastAsia" w:ascii="宋体" w:hAnsi="宋体"/>
          <w:sz w:val="24"/>
        </w:rPr>
      </w:pPr>
      <w:r>
        <w:rPr>
          <w:rFonts w:hint="eastAsia" w:ascii="宋体" w:hAnsi="宋体"/>
          <w:sz w:val="24"/>
        </w:rPr>
        <w:t>4、采购需求：</w:t>
      </w:r>
      <w:r>
        <w:rPr>
          <w:rFonts w:hint="eastAsia" w:ascii="宋体" w:hAnsi="宋体"/>
          <w:sz w:val="24"/>
          <w:lang w:eastAsia="zh-CN"/>
        </w:rPr>
        <w:t>江阴市2022-2024年度路灯箱式变电站维护项目，</w:t>
      </w:r>
      <w:r>
        <w:rPr>
          <w:rFonts w:hint="eastAsia" w:ascii="宋体" w:hAnsi="宋体"/>
          <w:sz w:val="24"/>
        </w:rPr>
        <w:t>包含</w:t>
      </w:r>
      <w:r>
        <w:rPr>
          <w:rFonts w:hint="eastAsia" w:ascii="宋体" w:hAnsi="宋体"/>
          <w:sz w:val="24"/>
          <w:lang w:eastAsia="zh-CN"/>
        </w:rPr>
        <w:t>维护箱式变电站、箱门更换、箱变外壳做防水等维护内容。</w:t>
      </w:r>
      <w:r>
        <w:rPr>
          <w:rFonts w:hint="eastAsia" w:ascii="宋体" w:hAnsi="宋体"/>
          <w:sz w:val="24"/>
        </w:rPr>
        <w:t>（详见招标文件）</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5、合同履行期限：三年，合同一年一签</w:t>
      </w:r>
    </w:p>
    <w:p>
      <w:pPr>
        <w:spacing w:line="400" w:lineRule="exact"/>
        <w:ind w:firstLine="480" w:firstLineChars="200"/>
        <w:rPr>
          <w:rFonts w:ascii="宋体" w:hAnsi="宋体"/>
          <w:sz w:val="24"/>
        </w:rPr>
      </w:pPr>
      <w:r>
        <w:rPr>
          <w:rFonts w:hint="eastAsia" w:ascii="宋体" w:hAnsi="宋体"/>
          <w:sz w:val="24"/>
        </w:rPr>
        <w:t>6、本项目不接受联合体投标。</w:t>
      </w:r>
    </w:p>
    <w:p>
      <w:pPr>
        <w:spacing w:line="400" w:lineRule="exact"/>
        <w:rPr>
          <w:rFonts w:ascii="宋体" w:hAnsi="宋体"/>
          <w:b/>
          <w:sz w:val="24"/>
        </w:rPr>
      </w:pPr>
      <w:r>
        <w:rPr>
          <w:rFonts w:hint="eastAsia" w:ascii="宋体" w:hAnsi="宋体"/>
          <w:b/>
          <w:sz w:val="24"/>
        </w:rPr>
        <w:t>二、申请人的资格要求：</w:t>
      </w:r>
      <w:bookmarkEnd w:id="5"/>
      <w:bookmarkEnd w:id="6"/>
      <w:bookmarkEnd w:id="7"/>
      <w:bookmarkEnd w:id="8"/>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bookmarkStart w:id="9" w:name="_Toc28359004"/>
      <w:bookmarkStart w:id="10" w:name="_Toc28359081"/>
      <w:r>
        <w:rPr>
          <w:rFonts w:hint="eastAsia" w:ascii="宋体" w:hAnsi="宋体"/>
          <w:sz w:val="24"/>
        </w:rPr>
        <w:t>2、未被“信用中国”网站、“中国政府采购网”列入失信被执行人、重大税收违法案件当事人名单、政府采购严重违法失信行为信息记录名单；</w:t>
      </w:r>
    </w:p>
    <w:p>
      <w:pPr>
        <w:spacing w:line="400" w:lineRule="exact"/>
        <w:ind w:firstLine="480" w:firstLineChars="200"/>
        <w:rPr>
          <w:rFonts w:ascii="宋体" w:hAnsi="宋体"/>
          <w:sz w:val="24"/>
        </w:rPr>
      </w:pPr>
      <w:r>
        <w:rPr>
          <w:rFonts w:hint="eastAsia" w:ascii="宋体" w:hAnsi="宋体"/>
          <w:sz w:val="24"/>
        </w:rPr>
        <w:t>3、落实政府采购政策需满足的资格要求：详见招标文件；</w:t>
      </w:r>
    </w:p>
    <w:p>
      <w:pPr>
        <w:adjustRightInd w:val="0"/>
        <w:snapToGrid w:val="0"/>
        <w:spacing w:line="400" w:lineRule="exact"/>
        <w:ind w:firstLine="480" w:firstLineChars="200"/>
        <w:rPr>
          <w:rFonts w:ascii="宋体" w:hAnsi="宋体"/>
          <w:sz w:val="24"/>
        </w:rPr>
      </w:pPr>
      <w:r>
        <w:rPr>
          <w:rFonts w:hint="eastAsia" w:ascii="宋体" w:hAnsi="宋体"/>
          <w:sz w:val="24"/>
        </w:rPr>
        <w:t>4、本项目的特定资格要求：</w:t>
      </w:r>
      <w:bookmarkStart w:id="11" w:name="_Toc35393623"/>
      <w:bookmarkStart w:id="12" w:name="_Toc35393792"/>
      <w:r>
        <w:rPr>
          <w:rFonts w:hint="eastAsia" w:ascii="宋体" w:hAnsi="宋体"/>
          <w:sz w:val="24"/>
          <w:highlight w:val="none"/>
        </w:rPr>
        <w:t>投标人须具备国家能源局派出机构</w:t>
      </w:r>
      <w:r>
        <w:rPr>
          <w:rFonts w:hint="eastAsia" w:ascii="宋体" w:hAnsi="宋体"/>
          <w:sz w:val="24"/>
          <w:highlight w:val="none"/>
          <w:lang w:eastAsia="zh-CN"/>
        </w:rPr>
        <w:t>颁发</w:t>
      </w:r>
      <w:r>
        <w:rPr>
          <w:rFonts w:hint="eastAsia" w:ascii="宋体" w:hAnsi="宋体"/>
          <w:sz w:val="24"/>
        </w:rPr>
        <w:t>的承装、承修、承试电力设施许可证及安全生产许可证。</w:t>
      </w:r>
    </w:p>
    <w:p>
      <w:pPr>
        <w:spacing w:line="400" w:lineRule="exact"/>
        <w:rPr>
          <w:rFonts w:ascii="宋体" w:hAnsi="宋体"/>
          <w:b/>
          <w:sz w:val="24"/>
        </w:rPr>
      </w:pPr>
      <w:r>
        <w:rPr>
          <w:rFonts w:hint="eastAsia" w:ascii="宋体" w:hAnsi="宋体"/>
          <w:b/>
          <w:sz w:val="24"/>
        </w:rPr>
        <w:t>三、获取招标文件</w:t>
      </w:r>
      <w:bookmarkEnd w:id="9"/>
      <w:bookmarkEnd w:id="10"/>
      <w:bookmarkEnd w:id="11"/>
      <w:bookmarkEnd w:id="12"/>
      <w:r>
        <w:rPr>
          <w:rFonts w:hint="eastAsia" w:ascii="宋体" w:hAnsi="宋体"/>
          <w:b/>
          <w:sz w:val="24"/>
        </w:rPr>
        <w:t>：</w:t>
      </w:r>
    </w:p>
    <w:p>
      <w:pPr>
        <w:spacing w:line="400" w:lineRule="exact"/>
        <w:ind w:firstLine="480" w:firstLineChars="200"/>
        <w:rPr>
          <w:rFonts w:ascii="宋体" w:hAnsi="宋体" w:cs="宋体"/>
          <w:sz w:val="24"/>
        </w:rPr>
      </w:pPr>
      <w:r>
        <w:rPr>
          <w:rFonts w:hint="eastAsia" w:ascii="宋体" w:hAnsi="宋体" w:cs="宋体"/>
          <w:sz w:val="24"/>
        </w:rPr>
        <w:t>供应商可于开标时间前至江阴市公共资源交易中心网站国企采购专栏中免费下载采购文件。</w:t>
      </w:r>
    </w:p>
    <w:p>
      <w:pPr>
        <w:spacing w:line="400" w:lineRule="exact"/>
        <w:rPr>
          <w:rFonts w:ascii="宋体" w:hAnsi="宋体"/>
          <w:b/>
          <w:sz w:val="24"/>
        </w:rPr>
      </w:pPr>
      <w:bookmarkStart w:id="13" w:name="_Toc35393624"/>
      <w:bookmarkStart w:id="14" w:name="_Toc28359082"/>
      <w:bookmarkStart w:id="15" w:name="_Toc35393793"/>
      <w:bookmarkStart w:id="16" w:name="_Toc28359005"/>
      <w:r>
        <w:rPr>
          <w:rFonts w:hint="eastAsia" w:ascii="宋体" w:hAnsi="宋体"/>
          <w:b/>
          <w:sz w:val="24"/>
        </w:rPr>
        <w:t>四、提</w:t>
      </w:r>
      <w:bookmarkEnd w:id="13"/>
      <w:bookmarkEnd w:id="14"/>
      <w:bookmarkEnd w:id="15"/>
      <w:bookmarkEnd w:id="16"/>
      <w:r>
        <w:rPr>
          <w:rFonts w:hint="eastAsia" w:ascii="宋体" w:hAnsi="宋体"/>
          <w:b/>
          <w:sz w:val="24"/>
        </w:rPr>
        <w:t>交投标文件截止时间、开标时间和地点：</w:t>
      </w:r>
    </w:p>
    <w:p>
      <w:pPr>
        <w:spacing w:line="400" w:lineRule="exact"/>
        <w:ind w:firstLine="480" w:firstLineChars="200"/>
        <w:rPr>
          <w:rFonts w:ascii="宋体" w:hAnsi="宋体" w:cs="宋体"/>
          <w:sz w:val="24"/>
        </w:rPr>
      </w:pPr>
      <w:r>
        <w:rPr>
          <w:rFonts w:hint="eastAsia" w:ascii="宋体" w:hAnsi="宋体" w:cs="宋体"/>
          <w:sz w:val="24"/>
        </w:rPr>
        <w:t>1、提交投标文件开始时间：2021年</w:t>
      </w:r>
      <w:r>
        <w:rPr>
          <w:rFonts w:hint="default" w:ascii="宋体" w:hAnsi="宋体" w:cs="宋体"/>
          <w:sz w:val="24"/>
          <w:lang w:val="en-US"/>
        </w:rPr>
        <w:t>12</w:t>
      </w:r>
      <w:r>
        <w:rPr>
          <w:rFonts w:hint="eastAsia" w:ascii="宋体" w:hAnsi="宋体" w:cs="宋体"/>
          <w:sz w:val="24"/>
        </w:rPr>
        <w:t>月</w:t>
      </w:r>
      <w:r>
        <w:rPr>
          <w:rFonts w:hint="default" w:ascii="宋体" w:hAnsi="宋体" w:cs="宋体"/>
          <w:sz w:val="24"/>
          <w:lang w:val="en-US"/>
        </w:rPr>
        <w:t>10</w:t>
      </w:r>
      <w:r>
        <w:rPr>
          <w:rFonts w:hint="eastAsia" w:ascii="宋体" w:hAnsi="宋体" w:cs="宋体"/>
          <w:sz w:val="24"/>
        </w:rPr>
        <w:t>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09</w:t>
      </w:r>
      <w:r>
        <w:rPr>
          <w:rFonts w:hint="eastAsia" w:ascii="宋体" w:hAnsi="宋体" w:cs="宋体"/>
          <w:sz w:val="24"/>
        </w:rPr>
        <w:t>:00（北京时间）</w:t>
      </w:r>
    </w:p>
    <w:p>
      <w:pPr>
        <w:spacing w:line="400" w:lineRule="exact"/>
        <w:ind w:firstLine="480" w:firstLineChars="200"/>
        <w:rPr>
          <w:rFonts w:ascii="宋体" w:hAnsi="宋体" w:cs="宋体"/>
          <w:sz w:val="24"/>
        </w:rPr>
      </w:pPr>
      <w:r>
        <w:rPr>
          <w:rFonts w:hint="eastAsia" w:ascii="宋体" w:hAnsi="宋体" w:cs="宋体"/>
          <w:sz w:val="24"/>
        </w:rPr>
        <w:t>2、提交投标文件截止时间：2021年</w:t>
      </w:r>
      <w:r>
        <w:rPr>
          <w:rFonts w:hint="default" w:ascii="宋体" w:hAnsi="宋体" w:cs="宋体"/>
          <w:sz w:val="24"/>
          <w:lang w:val="en-US"/>
        </w:rPr>
        <w:t>12</w:t>
      </w:r>
      <w:r>
        <w:rPr>
          <w:rFonts w:hint="eastAsia" w:ascii="宋体" w:hAnsi="宋体" w:cs="宋体"/>
          <w:sz w:val="24"/>
        </w:rPr>
        <w:t>月</w:t>
      </w:r>
      <w:r>
        <w:rPr>
          <w:rFonts w:hint="default" w:ascii="宋体" w:hAnsi="宋体" w:cs="宋体"/>
          <w:sz w:val="24"/>
          <w:lang w:val="en-US"/>
        </w:rPr>
        <w:t>10</w:t>
      </w:r>
      <w:r>
        <w:rPr>
          <w:rFonts w:hint="eastAsia" w:ascii="宋体" w:hAnsi="宋体" w:cs="宋体"/>
          <w:sz w:val="24"/>
        </w:rPr>
        <w:t>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09</w:t>
      </w:r>
      <w:r>
        <w:rPr>
          <w:rFonts w:hint="eastAsia" w:ascii="宋体" w:hAnsi="宋体" w:cs="宋体"/>
          <w:sz w:val="24"/>
        </w:rPr>
        <w:t>:30（北京时间）</w:t>
      </w:r>
    </w:p>
    <w:p>
      <w:pPr>
        <w:spacing w:line="400" w:lineRule="exact"/>
        <w:ind w:firstLine="480" w:firstLineChars="200"/>
        <w:rPr>
          <w:rFonts w:ascii="宋体" w:hAnsi="宋体" w:cs="宋体"/>
          <w:sz w:val="24"/>
        </w:rPr>
      </w:pPr>
      <w:r>
        <w:rPr>
          <w:rFonts w:hint="eastAsia" w:ascii="宋体" w:hAnsi="宋体" w:cs="宋体"/>
          <w:sz w:val="24"/>
        </w:rPr>
        <w:t>3、开标时间：2021年</w:t>
      </w:r>
      <w:r>
        <w:rPr>
          <w:rFonts w:hint="default" w:ascii="宋体" w:hAnsi="宋体" w:cs="宋体"/>
          <w:sz w:val="24"/>
          <w:lang w:val="en-US"/>
        </w:rPr>
        <w:t>12</w:t>
      </w:r>
      <w:r>
        <w:rPr>
          <w:rFonts w:hint="eastAsia" w:ascii="宋体" w:hAnsi="宋体" w:cs="宋体"/>
          <w:sz w:val="24"/>
        </w:rPr>
        <w:t>月</w:t>
      </w:r>
      <w:r>
        <w:rPr>
          <w:rFonts w:hint="default" w:ascii="宋体" w:hAnsi="宋体" w:cs="宋体"/>
          <w:sz w:val="24"/>
          <w:lang w:val="en-US"/>
        </w:rPr>
        <w:t>10</w:t>
      </w:r>
      <w:r>
        <w:rPr>
          <w:rFonts w:hint="eastAsia" w:ascii="宋体" w:hAnsi="宋体" w:cs="宋体"/>
          <w:sz w:val="24"/>
        </w:rPr>
        <w:t>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09</w:t>
      </w:r>
      <w:r>
        <w:rPr>
          <w:rFonts w:hint="eastAsia" w:ascii="宋体" w:hAnsi="宋体" w:cs="宋体"/>
          <w:sz w:val="24"/>
        </w:rPr>
        <w:t>:30（北京时间）</w:t>
      </w:r>
    </w:p>
    <w:p>
      <w:pPr>
        <w:spacing w:line="400" w:lineRule="exact"/>
        <w:ind w:firstLine="480" w:firstLineChars="200"/>
        <w:rPr>
          <w:rFonts w:ascii="宋体" w:hAnsi="宋体" w:cs="宋体"/>
          <w:sz w:val="24"/>
        </w:rPr>
      </w:pPr>
      <w:r>
        <w:rPr>
          <w:rFonts w:hint="eastAsia" w:ascii="宋体" w:hAnsi="宋体" w:cs="宋体"/>
          <w:sz w:val="24"/>
        </w:rPr>
        <w:t>4、提交投标文件及开标地点：江阴市长江路188号江阴市政务服务中心四楼第二开标室</w:t>
      </w:r>
    </w:p>
    <w:p>
      <w:pPr>
        <w:spacing w:line="400" w:lineRule="exact"/>
        <w:rPr>
          <w:rFonts w:ascii="宋体" w:hAnsi="宋体"/>
          <w:b/>
          <w:sz w:val="24"/>
        </w:rPr>
      </w:pPr>
      <w:bookmarkStart w:id="17" w:name="_Toc28359007"/>
      <w:bookmarkStart w:id="18" w:name="_Toc35393794"/>
      <w:bookmarkStart w:id="19" w:name="_Toc28359084"/>
      <w:bookmarkStart w:id="20" w:name="_Toc35393625"/>
      <w:r>
        <w:rPr>
          <w:rFonts w:hint="eastAsia" w:ascii="宋体" w:hAnsi="宋体"/>
          <w:b/>
          <w:sz w:val="24"/>
        </w:rPr>
        <w:t>五、公告期限</w:t>
      </w:r>
      <w:bookmarkEnd w:id="17"/>
      <w:bookmarkEnd w:id="18"/>
      <w:bookmarkEnd w:id="19"/>
      <w:bookmarkEnd w:id="20"/>
      <w:r>
        <w:rPr>
          <w:rFonts w:hint="eastAsia" w:ascii="宋体" w:hAnsi="宋体"/>
          <w:b/>
          <w:sz w:val="24"/>
        </w:rPr>
        <w:t>：</w:t>
      </w:r>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21" w:name="_Toc35393626"/>
      <w:bookmarkStart w:id="22" w:name="_Toc35393795"/>
      <w:r>
        <w:rPr>
          <w:rFonts w:hint="eastAsia" w:ascii="宋体" w:hAnsi="宋体"/>
          <w:b/>
          <w:sz w:val="24"/>
        </w:rPr>
        <w:t>六、其他补充事宜</w:t>
      </w:r>
      <w:bookmarkEnd w:id="21"/>
      <w:bookmarkEnd w:id="22"/>
      <w:r>
        <w:rPr>
          <w:rFonts w:hint="eastAsia" w:ascii="宋体" w:hAnsi="宋体"/>
          <w:b/>
          <w:sz w:val="24"/>
        </w:rPr>
        <w:t>：</w:t>
      </w:r>
    </w:p>
    <w:p>
      <w:pPr>
        <w:spacing w:line="400" w:lineRule="exact"/>
        <w:ind w:firstLine="480" w:firstLineChars="200"/>
        <w:rPr>
          <w:rFonts w:ascii="宋体" w:hAnsi="宋体"/>
          <w:sz w:val="24"/>
        </w:rPr>
      </w:pPr>
      <w:bookmarkStart w:id="23" w:name="_Toc35393796"/>
      <w:bookmarkStart w:id="24" w:name="_Toc35393627"/>
      <w:bookmarkStart w:id="25" w:name="_Toc28359085"/>
      <w:bookmarkStart w:id="26" w:name="_Toc28359008"/>
      <w:r>
        <w:rPr>
          <w:rFonts w:hint="eastAsia" w:ascii="宋体" w:hAnsi="宋体"/>
          <w:sz w:val="24"/>
        </w:rPr>
        <w:t>1、根据江阴市政府采购全流程电子化平台的要求，凡有意参加本项目的供应商，应进行供应商注册登记。</w:t>
      </w:r>
    </w:p>
    <w:p>
      <w:pPr>
        <w:pStyle w:val="5"/>
        <w:spacing w:before="0" w:after="0" w:line="400" w:lineRule="exact"/>
        <w:ind w:firstLine="480" w:firstLineChars="200"/>
        <w:rPr>
          <w:rFonts w:asciiTheme="minorEastAsia" w:hAnsiTheme="minorEastAsia" w:eastAsiaTheme="minorEastAsia"/>
          <w:b w:val="0"/>
          <w:bCs w:val="0"/>
          <w:sz w:val="24"/>
          <w:szCs w:val="28"/>
        </w:rPr>
      </w:pPr>
      <w:r>
        <w:rPr>
          <w:rFonts w:hint="eastAsia" w:asciiTheme="minorEastAsia" w:hAnsiTheme="minorEastAsia" w:eastAsiaTheme="minor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pPr>
        <w:spacing w:line="40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（2）供应商电子化采购的操作流程详见《江阴市政府采购电子招投标供应商操作手册》，具体前往江阴市公共资源交易中心网“政府采购”栏目——＞“资料下载（供应商）”中下载查看。</w:t>
      </w:r>
    </w:p>
    <w:p>
      <w:pPr>
        <w:spacing w:line="400" w:lineRule="exact"/>
        <w:ind w:firstLine="482" w:firstLineChars="200"/>
        <w:rPr>
          <w:rFonts w:ascii="宋体" w:hAnsi="宋体"/>
          <w:b/>
          <w:sz w:val="24"/>
        </w:rPr>
      </w:pPr>
      <w:r>
        <w:rPr>
          <w:rFonts w:hint="eastAsia" w:ascii="宋体" w:hAnsi="宋体"/>
          <w:b/>
          <w:sz w:val="24"/>
        </w:rPr>
        <w:t>2、本项目需提交纸制投标文件参加投标。</w:t>
      </w:r>
    </w:p>
    <w:p>
      <w:pPr>
        <w:spacing w:line="400" w:lineRule="exact"/>
        <w:ind w:firstLine="480" w:firstLineChars="200"/>
        <w:rPr>
          <w:rFonts w:ascii="宋体" w:hAnsi="宋体"/>
          <w:sz w:val="24"/>
        </w:rPr>
      </w:pPr>
      <w:r>
        <w:rPr>
          <w:rFonts w:hint="eastAsia" w:ascii="宋体" w:hAnsi="宋体"/>
          <w:sz w:val="24"/>
        </w:rPr>
        <w:t>3、如供应商未按上述要求操作，将自行承担所产生的风险。</w:t>
      </w:r>
    </w:p>
    <w:p>
      <w:pPr>
        <w:spacing w:line="400" w:lineRule="exact"/>
        <w:rPr>
          <w:rFonts w:ascii="宋体" w:hAnsi="宋体"/>
          <w:b/>
          <w:sz w:val="24"/>
        </w:rPr>
      </w:pPr>
      <w:r>
        <w:rPr>
          <w:rFonts w:hint="eastAsia" w:ascii="宋体" w:hAnsi="宋体"/>
          <w:b/>
          <w:sz w:val="24"/>
        </w:rPr>
        <w:t>七、对本次招标提出询问，请按以下方式联系</w:t>
      </w:r>
      <w:bookmarkEnd w:id="23"/>
      <w:bookmarkEnd w:id="24"/>
      <w:bookmarkEnd w:id="25"/>
      <w:bookmarkEnd w:id="26"/>
      <w:r>
        <w:rPr>
          <w:rFonts w:hint="eastAsia" w:ascii="宋体" w:hAnsi="宋体"/>
          <w:b/>
          <w:sz w:val="24"/>
        </w:rPr>
        <w:t>：</w:t>
      </w:r>
    </w:p>
    <w:p>
      <w:pPr>
        <w:widowControl/>
        <w:spacing w:line="400" w:lineRule="exact"/>
        <w:ind w:firstLine="480" w:firstLineChars="200"/>
        <w:jc w:val="left"/>
        <w:rPr>
          <w:rFonts w:ascii="宋体" w:hAnsi="宋体"/>
          <w:sz w:val="24"/>
        </w:rPr>
      </w:pPr>
      <w:bookmarkStart w:id="27" w:name="_Toc28359086"/>
      <w:bookmarkStart w:id="28" w:name="_Toc28359009"/>
      <w:r>
        <w:rPr>
          <w:rFonts w:hint="eastAsia" w:ascii="宋体" w:hAnsi="宋体" w:cs="宋体"/>
          <w:sz w:val="24"/>
        </w:rPr>
        <w:t>1、采购人信息</w:t>
      </w:r>
    </w:p>
    <w:p>
      <w:pPr>
        <w:spacing w:line="400" w:lineRule="exact"/>
        <w:ind w:firstLine="480" w:firstLineChars="200"/>
        <w:jc w:val="left"/>
        <w:rPr>
          <w:rFonts w:ascii="宋体" w:hAnsi="宋体"/>
          <w:sz w:val="24"/>
        </w:rPr>
      </w:pPr>
      <w:r>
        <w:rPr>
          <w:rFonts w:hint="eastAsia" w:ascii="宋体" w:hAnsi="宋体"/>
          <w:sz w:val="24"/>
        </w:rPr>
        <w:t>名　　称：江阴澄辉照明科技发展有限公司</w:t>
      </w:r>
    </w:p>
    <w:p>
      <w:pPr>
        <w:spacing w:line="400" w:lineRule="exact"/>
        <w:ind w:firstLine="480" w:firstLineChars="200"/>
        <w:jc w:val="left"/>
        <w:rPr>
          <w:rFonts w:ascii="宋体" w:hAnsi="宋体"/>
          <w:sz w:val="24"/>
        </w:rPr>
      </w:pPr>
      <w:r>
        <w:rPr>
          <w:rFonts w:hint="eastAsia" w:ascii="宋体" w:hAnsi="宋体"/>
          <w:sz w:val="24"/>
        </w:rPr>
        <w:t>地　　址：江阴市东外环路188号</w:t>
      </w:r>
    </w:p>
    <w:p>
      <w:pPr>
        <w:spacing w:line="400" w:lineRule="exact"/>
        <w:ind w:firstLine="480" w:firstLineChars="200"/>
        <w:jc w:val="left"/>
        <w:rPr>
          <w:rFonts w:ascii="宋体" w:hAnsi="宋体"/>
          <w:sz w:val="24"/>
        </w:rPr>
      </w:pPr>
      <w:r>
        <w:rPr>
          <w:rFonts w:hint="eastAsia" w:ascii="宋体" w:hAnsi="宋体"/>
          <w:sz w:val="24"/>
        </w:rPr>
        <w:t>项目联系人：袁女士</w:t>
      </w:r>
    </w:p>
    <w:p>
      <w:pPr>
        <w:spacing w:line="400" w:lineRule="exact"/>
        <w:ind w:firstLine="480" w:firstLineChars="200"/>
        <w:jc w:val="left"/>
        <w:rPr>
          <w:rFonts w:ascii="宋体" w:hAnsi="宋体"/>
          <w:sz w:val="24"/>
        </w:rPr>
      </w:pPr>
      <w:r>
        <w:rPr>
          <w:rFonts w:hint="eastAsia" w:ascii="宋体" w:hAnsi="宋体"/>
          <w:sz w:val="24"/>
        </w:rPr>
        <w:t>联系电话：0510-88015022</w:t>
      </w:r>
    </w:p>
    <w:p>
      <w:pPr>
        <w:spacing w:line="400" w:lineRule="exact"/>
        <w:ind w:firstLine="480" w:firstLineChars="200"/>
        <w:jc w:val="left"/>
        <w:rPr>
          <w:rFonts w:ascii="宋体" w:hAnsi="宋体"/>
          <w:sz w:val="24"/>
        </w:rPr>
      </w:pPr>
      <w:r>
        <w:rPr>
          <w:rFonts w:hint="eastAsia" w:ascii="宋体" w:hAnsi="宋体" w:cs="宋体"/>
          <w:sz w:val="24"/>
        </w:rPr>
        <w:t>2、采购代理机构信息</w:t>
      </w:r>
      <w:bookmarkEnd w:id="27"/>
      <w:bookmarkEnd w:id="28"/>
    </w:p>
    <w:p>
      <w:pPr>
        <w:spacing w:line="400" w:lineRule="exact"/>
        <w:ind w:firstLine="480" w:firstLineChars="200"/>
        <w:rPr>
          <w:rFonts w:ascii="宋体" w:hAnsi="宋体"/>
          <w:sz w:val="24"/>
        </w:rPr>
      </w:pPr>
      <w:r>
        <w:rPr>
          <w:rFonts w:hint="eastAsia" w:ascii="宋体" w:hAnsi="宋体"/>
          <w:sz w:val="24"/>
        </w:rPr>
        <w:t>名　　称：江阴市公共资源交易中心</w:t>
      </w:r>
    </w:p>
    <w:p>
      <w:pPr>
        <w:spacing w:line="400" w:lineRule="exact"/>
        <w:ind w:firstLine="480" w:firstLineChars="200"/>
        <w:rPr>
          <w:rFonts w:ascii="宋体" w:hAnsi="宋体"/>
          <w:sz w:val="24"/>
        </w:rPr>
      </w:pPr>
      <w:r>
        <w:rPr>
          <w:rFonts w:hint="eastAsia" w:ascii="宋体" w:hAnsi="宋体"/>
          <w:sz w:val="24"/>
        </w:rPr>
        <w:t>地　　址：江阴市长江路188号江阴市政务服务中心六楼619室</w:t>
      </w:r>
    </w:p>
    <w:p>
      <w:pPr>
        <w:spacing w:line="400" w:lineRule="exact"/>
        <w:ind w:firstLine="480" w:firstLineChars="200"/>
        <w:jc w:val="left"/>
        <w:rPr>
          <w:rFonts w:ascii="宋体" w:hAnsi="宋体"/>
          <w:sz w:val="24"/>
        </w:rPr>
      </w:pPr>
      <w:r>
        <w:rPr>
          <w:rFonts w:hint="eastAsia" w:ascii="宋体" w:hAnsi="宋体"/>
          <w:sz w:val="24"/>
        </w:rPr>
        <w:t>项目联系人：朱女士</w:t>
      </w:r>
    </w:p>
    <w:p>
      <w:pPr>
        <w:spacing w:line="400" w:lineRule="exact"/>
        <w:ind w:firstLine="480" w:firstLineChars="200"/>
        <w:jc w:val="left"/>
        <w:rPr>
          <w:rFonts w:ascii="宋体" w:hAnsi="宋体"/>
          <w:sz w:val="24"/>
        </w:rPr>
      </w:pPr>
      <w:r>
        <w:rPr>
          <w:rFonts w:hint="eastAsia" w:ascii="宋体" w:hAnsi="宋体"/>
          <w:sz w:val="24"/>
        </w:rPr>
        <w:t>联系电话：</w:t>
      </w:r>
      <w:r>
        <w:rPr>
          <w:rFonts w:ascii="宋体" w:hAnsi="宋体"/>
          <w:sz w:val="24"/>
        </w:rPr>
        <w:t>0510-88027618</w:t>
      </w:r>
    </w:p>
    <w:p>
      <w:pPr>
        <w:spacing w:line="400" w:lineRule="exact"/>
        <w:ind w:firstLine="480" w:firstLineChars="200"/>
        <w:jc w:val="right"/>
        <w:rPr>
          <w:rFonts w:ascii="宋体" w:hAnsi="宋体"/>
          <w:sz w:val="24"/>
        </w:rPr>
      </w:pPr>
    </w:p>
    <w:p>
      <w:pPr>
        <w:spacing w:line="400" w:lineRule="exact"/>
        <w:jc w:val="right"/>
        <w:rPr>
          <w:rFonts w:ascii="宋体" w:hAnsi="宋体"/>
          <w:sz w:val="24"/>
        </w:rPr>
      </w:pPr>
      <w:r>
        <w:rPr>
          <w:rFonts w:hint="eastAsia" w:ascii="宋体" w:hAnsi="宋体"/>
          <w:sz w:val="24"/>
        </w:rPr>
        <w:t>江阴市公共资源交易中心</w:t>
      </w:r>
    </w:p>
    <w:p>
      <w:pPr>
        <w:adjustRightInd w:val="0"/>
        <w:snapToGrid w:val="0"/>
        <w:spacing w:line="400" w:lineRule="exact"/>
        <w:ind w:right="480" w:firstLine="480" w:firstLineChars="200"/>
        <w:jc w:val="right"/>
        <w:rPr>
          <w:rFonts w:ascii="宋体" w:hAnsi="宋体"/>
          <w:sz w:val="24"/>
        </w:rPr>
      </w:pPr>
      <w:r>
        <w:rPr>
          <w:rFonts w:hint="eastAsia" w:ascii="宋体" w:hAnsi="宋体"/>
          <w:sz w:val="24"/>
          <w:lang w:val="en-US" w:eastAsia="zh-CN"/>
        </w:rPr>
        <w:t xml:space="preserve">    </w:t>
      </w:r>
      <w:r>
        <w:rPr>
          <w:rFonts w:hint="eastAsia" w:ascii="宋体" w:hAnsi="宋体"/>
          <w:sz w:val="24"/>
        </w:rPr>
        <w:t>2021年11月</w:t>
      </w:r>
      <w:r>
        <w:rPr>
          <w:rFonts w:hint="eastAsia" w:ascii="宋体" w:hAnsi="宋体"/>
          <w:sz w:val="24"/>
          <w:lang w:val="en-US" w:eastAsia="zh-CN"/>
        </w:rPr>
        <w:t>1</w:t>
      </w:r>
      <w:r>
        <w:rPr>
          <w:rFonts w:hint="default" w:ascii="宋体" w:hAnsi="宋体"/>
          <w:sz w:val="24"/>
          <w:lang w:val="en-US" w:eastAsia="zh-CN"/>
        </w:rPr>
        <w:t>9</w:t>
      </w:r>
      <w:r>
        <w:rPr>
          <w:rFonts w:hint="eastAsia" w:ascii="宋体" w:hAnsi="宋体"/>
          <w:sz w:val="24"/>
        </w:rPr>
        <w:t>日</w:t>
      </w:r>
    </w:p>
    <w:p>
      <w:pPr>
        <w:pStyle w:val="35"/>
        <w:spacing w:line="400" w:lineRule="exact"/>
        <w:jc w:val="center"/>
        <w:rPr>
          <w:rFonts w:ascii="黑体" w:eastAsia="黑体"/>
          <w:sz w:val="24"/>
        </w:rPr>
      </w:pPr>
    </w:p>
    <w:p>
      <w:pPr>
        <w:adjustRightInd w:val="0"/>
        <w:snapToGrid w:val="0"/>
        <w:spacing w:line="400" w:lineRule="exact"/>
        <w:jc w:val="center"/>
        <w:rPr>
          <w:rFonts w:ascii="黑体" w:eastAsia="黑体"/>
          <w:sz w:val="30"/>
          <w:szCs w:val="30"/>
        </w:rPr>
      </w:pPr>
      <w:bookmarkStart w:id="29" w:name="_Toc251268359"/>
      <w:bookmarkStart w:id="30" w:name="_Toc251268360"/>
    </w:p>
    <w:p>
      <w:pPr>
        <w:adjustRightInd w:val="0"/>
        <w:snapToGrid w:val="0"/>
        <w:spacing w:line="400" w:lineRule="exact"/>
        <w:jc w:val="center"/>
        <w:rPr>
          <w:rFonts w:ascii="黑体" w:eastAsia="黑体"/>
          <w:sz w:val="30"/>
          <w:szCs w:val="30"/>
        </w:rPr>
      </w:pPr>
    </w:p>
    <w:p>
      <w:pPr>
        <w:adjustRightInd w:val="0"/>
        <w:snapToGrid w:val="0"/>
        <w:spacing w:line="400" w:lineRule="exact"/>
        <w:jc w:val="center"/>
        <w:rPr>
          <w:rFonts w:ascii="黑体" w:eastAsia="黑体"/>
          <w:sz w:val="30"/>
          <w:szCs w:val="30"/>
        </w:rPr>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adjustRightInd w:val="0"/>
        <w:snapToGrid w:val="0"/>
        <w:spacing w:line="400" w:lineRule="exact"/>
        <w:jc w:val="center"/>
        <w:rPr>
          <w:rFonts w:ascii="黑体" w:eastAsia="黑体"/>
          <w:sz w:val="30"/>
          <w:szCs w:val="30"/>
        </w:rPr>
      </w:pPr>
      <w:r>
        <w:rPr>
          <w:rFonts w:hint="eastAsia" w:ascii="黑体" w:eastAsia="黑体"/>
          <w:sz w:val="30"/>
          <w:szCs w:val="30"/>
        </w:rPr>
        <w:t>第二章　投标人须知前附表</w:t>
      </w:r>
      <w:bookmarkEnd w:id="29"/>
    </w:p>
    <w:p>
      <w:pPr>
        <w:adjustRightInd w:val="0"/>
        <w:snapToGrid w:val="0"/>
        <w:spacing w:line="400" w:lineRule="exact"/>
        <w:jc w:val="center"/>
        <w:rPr>
          <w:rFonts w:ascii="黑体" w:eastAsia="黑体"/>
          <w:sz w:val="30"/>
          <w:szCs w:val="30"/>
        </w:rPr>
      </w:pP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8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tcPr>
          <w:p>
            <w:pPr>
              <w:spacing w:line="400" w:lineRule="exact"/>
              <w:jc w:val="center"/>
              <w:rPr>
                <w:rFonts w:ascii="黑体" w:hAnsi="宋体" w:eastAsia="黑体"/>
                <w:bCs/>
                <w:sz w:val="24"/>
              </w:rPr>
            </w:pPr>
            <w:r>
              <w:rPr>
                <w:rFonts w:hint="eastAsia" w:ascii="黑体" w:hAnsi="宋体" w:eastAsia="黑体"/>
                <w:bCs/>
                <w:sz w:val="24"/>
              </w:rPr>
              <w:t>序号</w:t>
            </w:r>
          </w:p>
        </w:tc>
        <w:tc>
          <w:tcPr>
            <w:tcW w:w="8889" w:type="dxa"/>
            <w:vAlign w:val="center"/>
          </w:tcPr>
          <w:p>
            <w:pPr>
              <w:spacing w:line="400" w:lineRule="exact"/>
              <w:jc w:val="center"/>
              <w:rPr>
                <w:rFonts w:ascii="黑体" w:hAnsi="宋体" w:eastAsia="黑体"/>
                <w:bCs/>
                <w:sz w:val="24"/>
              </w:rPr>
            </w:pPr>
            <w:r>
              <w:rPr>
                <w:rFonts w:hint="eastAsia" w:ascii="黑体" w:hAnsi="宋体" w:eastAsia="黑体"/>
                <w:bCs/>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8889" w:type="dxa"/>
          </w:tcPr>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项目名称：</w:t>
            </w:r>
            <w:r>
              <w:rPr>
                <w:rFonts w:hint="eastAsia" w:asciiTheme="minorEastAsia" w:hAnsiTheme="minorEastAsia" w:eastAsiaTheme="minorEastAsia"/>
                <w:sz w:val="24"/>
                <w:lang w:eastAsia="zh-CN"/>
              </w:rPr>
              <w:t>江阴市2022-2024年度路灯箱式变电站维护项目</w:t>
            </w:r>
          </w:p>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项目编号：</w:t>
            </w:r>
            <w:r>
              <w:rPr>
                <w:rFonts w:hint="eastAsia" w:asciiTheme="minorEastAsia" w:hAnsiTheme="minorEastAsia" w:eastAsiaTheme="minorEastAsia"/>
                <w:sz w:val="24"/>
                <w:lang w:eastAsia="zh-CN"/>
              </w:rPr>
              <w:t>JYGQ2021G030</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 购 人：江阴澄辉照明科技发展有限公司</w:t>
            </w:r>
          </w:p>
          <w:p>
            <w:pPr>
              <w:spacing w:line="400" w:lineRule="exact"/>
              <w:jc w:val="left"/>
              <w:rPr>
                <w:rFonts w:asciiTheme="minorEastAsia" w:hAnsiTheme="minorEastAsia" w:eastAsiaTheme="minorEastAsia"/>
                <w:bCs/>
                <w:sz w:val="24"/>
              </w:rPr>
            </w:pPr>
            <w:r>
              <w:rPr>
                <w:rFonts w:hint="eastAsia" w:asciiTheme="minorEastAsia" w:hAnsiTheme="minorEastAsia" w:eastAsiaTheme="minorEastAsia"/>
                <w:sz w:val="24"/>
              </w:rPr>
              <w:t>采购方式：公开招标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集中采购机构：江阴市公共资源交易中心</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地址：江阴市长江路188号江阴市政务服务中心619、621室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投标保证金：</w:t>
            </w:r>
            <w:r>
              <w:rPr>
                <w:rFonts w:hint="eastAsia" w:ascii="黑体" w:hAnsi="黑体" w:eastAsia="黑体"/>
                <w:sz w:val="24"/>
              </w:rPr>
              <w:t>本项目免收投标保证金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8889"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投标有效期：开标后90天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8889" w:type="dxa"/>
            <w:vAlign w:val="center"/>
          </w:tcPr>
          <w:p>
            <w:pPr>
              <w:spacing w:line="400" w:lineRule="exact"/>
              <w:rPr>
                <w:rFonts w:ascii="黑体" w:hAnsi="黑体" w:eastAsia="黑体"/>
                <w:sz w:val="24"/>
              </w:rPr>
            </w:pPr>
            <w:r>
              <w:rPr>
                <w:rFonts w:hint="eastAsia" w:ascii="黑体" w:hAnsi="黑体" w:eastAsia="黑体"/>
                <w:sz w:val="24"/>
              </w:rPr>
              <w:t>供应商必须通过江阴市公共资源交易平台会员系统确认参加本项目投标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投标文件接收时间：2021年</w:t>
            </w:r>
            <w:r>
              <w:rPr>
                <w:rFonts w:hint="default" w:asciiTheme="minorEastAsia" w:hAnsiTheme="minorEastAsia" w:eastAsiaTheme="minorEastAsia"/>
                <w:sz w:val="24"/>
                <w:lang w:val="en-US"/>
              </w:rPr>
              <w:t>12</w:t>
            </w:r>
            <w:r>
              <w:rPr>
                <w:rFonts w:hint="eastAsia" w:asciiTheme="minorEastAsia" w:hAnsiTheme="minorEastAsia" w:eastAsiaTheme="minorEastAsia"/>
                <w:sz w:val="24"/>
              </w:rPr>
              <w:t>月</w:t>
            </w:r>
            <w:r>
              <w:rPr>
                <w:rFonts w:hint="default" w:asciiTheme="minorEastAsia" w:hAnsiTheme="minorEastAsia" w:eastAsiaTheme="minorEastAsia"/>
                <w:sz w:val="24"/>
                <w:lang w:val="en-US"/>
              </w:rPr>
              <w:t>10</w:t>
            </w:r>
            <w:r>
              <w:rPr>
                <w:rFonts w:hint="eastAsia" w:asciiTheme="minorEastAsia" w:hAnsiTheme="minorEastAsia" w:eastAsiaTheme="minorEastAsia"/>
                <w:sz w:val="24"/>
              </w:rPr>
              <w:t xml:space="preserve">日  </w:t>
            </w:r>
            <w:r>
              <w:rPr>
                <w:rFonts w:hint="eastAsia" w:asciiTheme="minorEastAsia" w:hAnsiTheme="minorEastAsia" w:eastAsiaTheme="minorEastAsia"/>
                <w:sz w:val="24"/>
                <w:lang w:eastAsia="zh-CN"/>
              </w:rPr>
              <w:t>上</w:t>
            </w:r>
            <w:r>
              <w:rPr>
                <w:rFonts w:hint="eastAsia" w:asciiTheme="minorEastAsia" w:hAnsiTheme="minorEastAsia" w:eastAsiaTheme="minorEastAsia"/>
                <w:sz w:val="24"/>
              </w:rPr>
              <w:t>午</w:t>
            </w:r>
            <w:r>
              <w:rPr>
                <w:rFonts w:hint="eastAsia" w:asciiTheme="minorEastAsia" w:hAnsiTheme="minorEastAsia" w:eastAsiaTheme="minorEastAsia"/>
                <w:sz w:val="24"/>
                <w:lang w:val="en-US" w:eastAsia="zh-CN"/>
              </w:rPr>
              <w:t>09</w:t>
            </w:r>
            <w:r>
              <w:rPr>
                <w:rFonts w:hint="eastAsia" w:asciiTheme="minorEastAsia" w:hAnsiTheme="minorEastAsia" w:eastAsiaTheme="minorEastAsia"/>
                <w:sz w:val="24"/>
              </w:rPr>
              <w:t xml:space="preserve">:00 —— </w:t>
            </w:r>
            <w:r>
              <w:rPr>
                <w:rFonts w:hint="eastAsia" w:asciiTheme="minorEastAsia" w:hAnsiTheme="minorEastAsia" w:eastAsiaTheme="minorEastAsia"/>
                <w:sz w:val="24"/>
                <w:lang w:val="en-US" w:eastAsia="zh-CN"/>
              </w:rPr>
              <w:t>09</w:t>
            </w:r>
            <w:r>
              <w:rPr>
                <w:rFonts w:hint="eastAsia" w:asciiTheme="minorEastAsia" w:hAnsiTheme="minorEastAsia" w:eastAsiaTheme="minorEastAsia"/>
                <w:sz w:val="24"/>
              </w:rPr>
              <w:t>:30 止</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投标文件接收地点：江阴市长江路188号江阴市政务服务中心四楼第二开标室</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截止期后的投标文件，恕不接受。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开标时间：2021年</w:t>
            </w:r>
            <w:r>
              <w:rPr>
                <w:rFonts w:hint="default" w:asciiTheme="minorEastAsia" w:hAnsiTheme="minorEastAsia" w:eastAsiaTheme="minorEastAsia"/>
                <w:sz w:val="24"/>
                <w:lang w:val="en-US"/>
              </w:rPr>
              <w:t>12</w:t>
            </w:r>
            <w:r>
              <w:rPr>
                <w:rFonts w:hint="eastAsia" w:asciiTheme="minorEastAsia" w:hAnsiTheme="minorEastAsia" w:eastAsiaTheme="minorEastAsia"/>
                <w:sz w:val="24"/>
              </w:rPr>
              <w:t>月</w:t>
            </w:r>
            <w:r>
              <w:rPr>
                <w:rFonts w:hint="default" w:asciiTheme="minorEastAsia" w:hAnsiTheme="minorEastAsia" w:eastAsiaTheme="minorEastAsia"/>
                <w:sz w:val="24"/>
                <w:lang w:val="en-US"/>
              </w:rPr>
              <w:t>10</w:t>
            </w:r>
            <w:r>
              <w:rPr>
                <w:rFonts w:hint="eastAsia" w:asciiTheme="minorEastAsia" w:hAnsiTheme="minorEastAsia" w:eastAsiaTheme="minorEastAsia"/>
                <w:sz w:val="24"/>
              </w:rPr>
              <w:t xml:space="preserve">日  </w:t>
            </w:r>
            <w:r>
              <w:rPr>
                <w:rFonts w:hint="eastAsia" w:asciiTheme="minorEastAsia" w:hAnsiTheme="minorEastAsia" w:eastAsiaTheme="minorEastAsia"/>
                <w:sz w:val="24"/>
                <w:lang w:eastAsia="zh-CN"/>
              </w:rPr>
              <w:t>上</w:t>
            </w:r>
            <w:r>
              <w:rPr>
                <w:rFonts w:hint="eastAsia" w:asciiTheme="minorEastAsia" w:hAnsiTheme="minorEastAsia" w:eastAsiaTheme="minorEastAsia"/>
                <w:sz w:val="24"/>
              </w:rPr>
              <w:t>午</w:t>
            </w:r>
            <w:r>
              <w:rPr>
                <w:rFonts w:hint="eastAsia" w:asciiTheme="minorEastAsia" w:hAnsiTheme="minorEastAsia" w:eastAsiaTheme="minorEastAsia"/>
                <w:sz w:val="24"/>
                <w:lang w:val="en-US" w:eastAsia="zh-CN"/>
              </w:rPr>
              <w:t>09</w:t>
            </w:r>
            <w:r>
              <w:rPr>
                <w:rFonts w:hint="eastAsia" w:asciiTheme="minorEastAsia" w:hAnsiTheme="minorEastAsia" w:eastAsiaTheme="minorEastAsia"/>
                <w:sz w:val="24"/>
              </w:rPr>
              <w:t xml:space="preserve">:30起 </w:t>
            </w:r>
          </w:p>
          <w:p>
            <w:pPr>
              <w:spacing w:line="400" w:lineRule="exact"/>
              <w:rPr>
                <w:rFonts w:asciiTheme="minorEastAsia" w:hAnsiTheme="minorEastAsia" w:eastAsiaTheme="minorEastAsia"/>
                <w:b/>
                <w:sz w:val="24"/>
              </w:rPr>
            </w:pPr>
            <w:r>
              <w:rPr>
                <w:rFonts w:hint="eastAsia" w:asciiTheme="minorEastAsia" w:hAnsiTheme="minorEastAsia" w:eastAsiaTheme="minorEastAsia"/>
                <w:sz w:val="24"/>
              </w:rPr>
              <w:t>地点：江阴市长江路188号江阴市政务服务中心四楼第二开标室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确定中标单位时间：评审结束后</w:t>
            </w:r>
            <w:bookmarkStart w:id="40" w:name="_GoBack"/>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888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投标文件正本份数：1份</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highlight w:val="none"/>
              </w:rPr>
              <w:t>投标文件副本份数：</w:t>
            </w: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8889" w:type="dxa"/>
          </w:tcPr>
          <w:p>
            <w:pPr>
              <w:widowControl/>
              <w:spacing w:line="400" w:lineRule="exact"/>
              <w:jc w:val="left"/>
              <w:rPr>
                <w:rFonts w:ascii="宋体" w:hAnsi="宋体"/>
                <w:b/>
                <w:sz w:val="24"/>
              </w:rPr>
            </w:pPr>
            <w:r>
              <w:rPr>
                <w:rFonts w:hint="eastAsia" w:ascii="宋体" w:hAnsi="宋体" w:cs="宋体"/>
                <w:b/>
                <w:sz w:val="24"/>
              </w:rPr>
              <w:t>采购人信息</w:t>
            </w:r>
          </w:p>
          <w:p>
            <w:pPr>
              <w:spacing w:line="400" w:lineRule="exact"/>
              <w:jc w:val="left"/>
              <w:rPr>
                <w:rFonts w:ascii="宋体" w:hAnsi="宋体"/>
                <w:sz w:val="24"/>
              </w:rPr>
            </w:pPr>
            <w:r>
              <w:rPr>
                <w:rFonts w:hint="eastAsia" w:ascii="宋体" w:hAnsi="宋体"/>
                <w:sz w:val="24"/>
              </w:rPr>
              <w:t>名　　称：江阴澄辉照明科技发展有限公司</w:t>
            </w:r>
          </w:p>
          <w:p>
            <w:pPr>
              <w:spacing w:line="400" w:lineRule="exact"/>
              <w:jc w:val="left"/>
              <w:rPr>
                <w:rFonts w:ascii="宋体" w:hAnsi="宋体"/>
                <w:sz w:val="24"/>
              </w:rPr>
            </w:pPr>
            <w:r>
              <w:rPr>
                <w:rFonts w:hint="eastAsia" w:ascii="宋体" w:hAnsi="宋体"/>
                <w:sz w:val="24"/>
              </w:rPr>
              <w:t>地　　址：江阴市东外环路188号</w:t>
            </w:r>
          </w:p>
          <w:p>
            <w:pPr>
              <w:spacing w:line="400" w:lineRule="exact"/>
              <w:jc w:val="left"/>
              <w:rPr>
                <w:rFonts w:ascii="宋体" w:hAnsi="宋体"/>
                <w:sz w:val="24"/>
              </w:rPr>
            </w:pPr>
            <w:r>
              <w:rPr>
                <w:rFonts w:hint="eastAsia" w:ascii="宋体" w:hAnsi="宋体"/>
                <w:sz w:val="24"/>
              </w:rPr>
              <w:t>项目联系人：袁女士</w:t>
            </w:r>
          </w:p>
          <w:p>
            <w:pPr>
              <w:spacing w:line="400" w:lineRule="exact"/>
              <w:jc w:val="left"/>
              <w:rPr>
                <w:rFonts w:ascii="宋体" w:hAnsi="宋体"/>
                <w:sz w:val="24"/>
              </w:rPr>
            </w:pPr>
            <w:r>
              <w:rPr>
                <w:rFonts w:hint="eastAsia" w:ascii="宋体" w:hAnsi="宋体"/>
                <w:sz w:val="24"/>
              </w:rPr>
              <w:t>联系电话：0510-88015022</w:t>
            </w:r>
          </w:p>
          <w:p>
            <w:pPr>
              <w:spacing w:line="400" w:lineRule="exact"/>
              <w:jc w:val="left"/>
              <w:rPr>
                <w:rFonts w:ascii="宋体" w:hAnsi="宋体"/>
                <w:b/>
                <w:sz w:val="24"/>
              </w:rPr>
            </w:pPr>
            <w:r>
              <w:rPr>
                <w:rFonts w:hint="eastAsia" w:ascii="宋体" w:hAnsi="宋体" w:cs="宋体"/>
                <w:b/>
                <w:sz w:val="24"/>
              </w:rPr>
              <w:t>采购代理机构信息</w:t>
            </w:r>
          </w:p>
          <w:p>
            <w:pPr>
              <w:spacing w:line="400" w:lineRule="exact"/>
              <w:rPr>
                <w:rFonts w:ascii="宋体" w:hAnsi="宋体"/>
                <w:sz w:val="24"/>
              </w:rPr>
            </w:pPr>
            <w:r>
              <w:rPr>
                <w:rFonts w:hint="eastAsia" w:ascii="宋体" w:hAnsi="宋体"/>
                <w:sz w:val="24"/>
              </w:rPr>
              <w:t>名　　称：江阴市公共资源交易中心</w:t>
            </w:r>
          </w:p>
          <w:p>
            <w:pPr>
              <w:spacing w:line="400" w:lineRule="exact"/>
              <w:rPr>
                <w:rFonts w:ascii="宋体" w:hAnsi="宋体"/>
                <w:sz w:val="24"/>
              </w:rPr>
            </w:pPr>
            <w:r>
              <w:rPr>
                <w:rFonts w:hint="eastAsia" w:ascii="宋体" w:hAnsi="宋体"/>
                <w:sz w:val="24"/>
              </w:rPr>
              <w:t>地　　址：江阴市长江路188号江阴市政务服务中心六楼619室</w:t>
            </w:r>
          </w:p>
          <w:p>
            <w:pPr>
              <w:spacing w:line="400" w:lineRule="exact"/>
              <w:jc w:val="left"/>
              <w:rPr>
                <w:rFonts w:ascii="宋体" w:hAnsi="宋体"/>
                <w:sz w:val="24"/>
              </w:rPr>
            </w:pPr>
            <w:r>
              <w:rPr>
                <w:rFonts w:hint="eastAsia" w:ascii="宋体" w:hAnsi="宋体"/>
                <w:sz w:val="24"/>
              </w:rPr>
              <w:t>项目联系人：朱女士</w:t>
            </w:r>
          </w:p>
          <w:p>
            <w:pPr>
              <w:spacing w:line="400" w:lineRule="exact"/>
              <w:jc w:val="left"/>
              <w:rPr>
                <w:rFonts w:ascii="宋体" w:hAnsi="宋体"/>
                <w:sz w:val="24"/>
              </w:rPr>
            </w:pPr>
            <w:r>
              <w:rPr>
                <w:rFonts w:hint="eastAsia" w:ascii="宋体" w:hAnsi="宋体"/>
                <w:sz w:val="24"/>
              </w:rPr>
              <w:t>联系电话：</w:t>
            </w:r>
            <w:r>
              <w:rPr>
                <w:rFonts w:ascii="宋体" w:hAnsi="宋体"/>
                <w:sz w:val="24"/>
              </w:rPr>
              <w:t>0510-88027618</w:t>
            </w:r>
          </w:p>
        </w:tc>
      </w:tr>
    </w:tbl>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p>
    <w:p>
      <w:pPr>
        <w:spacing w:line="400" w:lineRule="exact"/>
        <w:jc w:val="center"/>
        <w:outlineLvl w:val="0"/>
        <w:rPr>
          <w:rFonts w:ascii="黑体" w:eastAsia="黑体"/>
          <w:sz w:val="30"/>
          <w:szCs w:val="30"/>
        </w:rPr>
      </w:pPr>
      <w:r>
        <w:rPr>
          <w:rFonts w:hint="eastAsia" w:ascii="黑体" w:eastAsia="黑体"/>
          <w:sz w:val="30"/>
          <w:szCs w:val="30"/>
        </w:rPr>
        <w:t>第三章　投标人须知</w:t>
      </w:r>
      <w:bookmarkEnd w:id="30"/>
    </w:p>
    <w:p>
      <w:pPr>
        <w:spacing w:line="600" w:lineRule="exact"/>
        <w:rPr>
          <w:rFonts w:ascii="黑体" w:eastAsia="黑体"/>
          <w:sz w:val="28"/>
        </w:rPr>
      </w:pPr>
      <w:r>
        <w:rPr>
          <w:rFonts w:hint="eastAsia" w:ascii="黑体" w:eastAsia="黑体"/>
          <w:sz w:val="28"/>
        </w:rPr>
        <w:t>一、总体要求及遵循原则：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1、本项目根据江阴市市属国有企业集中采购管理办法（澄财发【2021】5号），参照《中华人民共和国政府采购法》及其相关法律法规，进行集中采购。</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2、公开透明原则、公平竞争原则、公正原则和诚实信用原则。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3、如有本采购文件与政府采购法律法规不一致部分，以本采购文件为准。</w:t>
      </w:r>
    </w:p>
    <w:p>
      <w:pPr>
        <w:spacing w:line="600" w:lineRule="exact"/>
        <w:rPr>
          <w:rFonts w:ascii="黑体" w:eastAsia="黑体"/>
          <w:sz w:val="24"/>
        </w:rPr>
      </w:pPr>
      <w:r>
        <w:rPr>
          <w:rFonts w:hint="eastAsia" w:ascii="黑体" w:eastAsia="黑体"/>
          <w:sz w:val="28"/>
        </w:rPr>
        <w:t>二、招标文件：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1、招标文件包括本文件目录所列全部内容，投标人应仔细阅读，并在投标文件中充分反映招标文件的所有要求。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2、招标文件中的“法定代表人”是指投标人的营业执照或相关部门的有效登记证明文件中的“法定代表人”或“负责人”。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3、投标人应在江阴市公共资源交易中心网免费下载招标文件及有关资料，按招标文件要求提交全部资料并对招标文件各项内容做出实质性响应，否则投标无效。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4、投标人一旦参加本项目，即被认为接受了本招标文件中的所有条件和规定。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5、招标文件仅作为本次采购投标使用。</w:t>
      </w:r>
    </w:p>
    <w:p>
      <w:pPr>
        <w:spacing w:line="600" w:lineRule="exact"/>
        <w:rPr>
          <w:rFonts w:ascii="黑体" w:eastAsia="黑体"/>
          <w:sz w:val="24"/>
        </w:rPr>
      </w:pPr>
      <w:r>
        <w:rPr>
          <w:rFonts w:hint="eastAsia" w:ascii="黑体" w:eastAsia="黑体"/>
          <w:sz w:val="28"/>
        </w:rPr>
        <w:t>三、招标文件的解释：</w:t>
      </w:r>
      <w:r>
        <w:rPr>
          <w:rFonts w:hint="eastAsia" w:ascii="黑体" w:eastAsia="黑体"/>
          <w:sz w:val="24"/>
        </w:rPr>
        <w:tab/>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1、投标单位如有需要对招标文件要求澄清的问题，均应在开标前十五日以书面形式提出（加盖公章），并送至江阴市公共资源交易中心。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2、本文件的最终解释权归江阴市公共资源交易中心。</w:t>
      </w:r>
    </w:p>
    <w:p>
      <w:pPr>
        <w:spacing w:line="600" w:lineRule="exact"/>
        <w:rPr>
          <w:rFonts w:ascii="黑体" w:eastAsia="黑体"/>
          <w:sz w:val="28"/>
        </w:rPr>
      </w:pPr>
      <w:r>
        <w:rPr>
          <w:rFonts w:hint="eastAsia" w:ascii="黑体" w:eastAsia="黑体"/>
          <w:sz w:val="28"/>
        </w:rPr>
        <w:t xml:space="preserve">四、招标文件的补充或修正：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1、江阴市公共资源交易中心可以对已发出的招标文件进行必要的澄清或者修改。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3、澄清或者修改的内容可能影响投标文件编制的，江阴市公共资源交易中心将在投标截止时间至少15日前发布澄清公告；不足15日的顺延提交投标文件的截止时间和开标时间。</w:t>
      </w:r>
    </w:p>
    <w:p>
      <w:pPr>
        <w:spacing w:line="600" w:lineRule="exact"/>
        <w:rPr>
          <w:rFonts w:ascii="黑体" w:eastAsia="黑体"/>
          <w:sz w:val="28"/>
        </w:rPr>
      </w:pPr>
      <w:r>
        <w:rPr>
          <w:rFonts w:hint="eastAsia" w:ascii="黑体" w:eastAsia="黑体"/>
          <w:sz w:val="28"/>
        </w:rPr>
        <w:t>五、投标文件的要求：</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投标文件由下列部分组成：</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w:t>
      </w:r>
      <w:r>
        <w:rPr>
          <w:rFonts w:hint="eastAsia" w:asciiTheme="minorEastAsia" w:hAnsiTheme="minorEastAsia" w:eastAsiaTheme="minorEastAsia"/>
          <w:b/>
          <w:sz w:val="24"/>
        </w:rPr>
        <w:t>*</w:t>
      </w:r>
      <w:r>
        <w:rPr>
          <w:rFonts w:hint="eastAsia" w:asciiTheme="minorEastAsia" w:hAnsiTheme="minorEastAsia" w:eastAsiaTheme="minorEastAsia"/>
          <w:sz w:val="24"/>
        </w:rPr>
        <w:t>投标函；</w:t>
      </w:r>
    </w:p>
    <w:p>
      <w:pPr>
        <w:spacing w:line="400" w:lineRule="exact"/>
        <w:ind w:firstLine="480" w:firstLineChars="200"/>
        <w:rPr>
          <w:rFonts w:hint="eastAsia" w:asciiTheme="minorEastAsia" w:hAnsiTheme="minorEastAsia" w:eastAsiaTheme="minorEastAsia"/>
          <w:bCs/>
          <w:sz w:val="24"/>
        </w:rPr>
      </w:pPr>
      <w:r>
        <w:rPr>
          <w:rFonts w:hint="eastAsia" w:asciiTheme="minorEastAsia" w:hAnsiTheme="minorEastAsia" w:eastAsiaTheme="minorEastAsia"/>
          <w:sz w:val="24"/>
        </w:rPr>
        <w:t>（2）</w:t>
      </w:r>
      <w:r>
        <w:rPr>
          <w:rFonts w:hint="eastAsia" w:asciiTheme="minorEastAsia" w:hAnsiTheme="minorEastAsia" w:eastAsiaTheme="minorEastAsia"/>
          <w:b/>
          <w:bCs w:val="0"/>
          <w:sz w:val="24"/>
        </w:rPr>
        <w:t>*</w:t>
      </w:r>
      <w:r>
        <w:rPr>
          <w:rFonts w:hint="eastAsia" w:asciiTheme="minorEastAsia" w:hAnsiTheme="minorEastAsia" w:eastAsiaTheme="minorEastAsia"/>
          <w:bCs/>
          <w:sz w:val="24"/>
        </w:rPr>
        <w:t>开标一览表；</w:t>
      </w:r>
    </w:p>
    <w:p>
      <w:pPr>
        <w:spacing w:line="400" w:lineRule="exact"/>
        <w:ind w:firstLine="480" w:firstLineChars="200"/>
        <w:rPr>
          <w:rFonts w:hint="eastAsia" w:asciiTheme="minorEastAsia" w:hAnsiTheme="minorEastAsia" w:eastAsiaTheme="minorEastAsia"/>
          <w:bCs/>
          <w:sz w:val="24"/>
          <w:lang w:val="en-US" w:eastAsia="zh-CN"/>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b/>
          <w:bCs w:val="0"/>
          <w:sz w:val="24"/>
        </w:rPr>
        <w:t>*</w:t>
      </w:r>
      <w:r>
        <w:rPr>
          <w:rFonts w:hint="eastAsia" w:asciiTheme="minorEastAsia" w:hAnsiTheme="minorEastAsia" w:eastAsiaTheme="minorEastAsia"/>
          <w:bCs/>
          <w:sz w:val="24"/>
          <w:lang w:val="en-US" w:eastAsia="zh-CN"/>
        </w:rPr>
        <w:t>报价明细表；</w:t>
      </w:r>
    </w:p>
    <w:p>
      <w:pPr>
        <w:spacing w:line="400" w:lineRule="exact"/>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
          <w:bCs w:val="0"/>
          <w:sz w:val="24"/>
        </w:rPr>
        <w:t>*</w:t>
      </w:r>
      <w:r>
        <w:rPr>
          <w:rFonts w:hint="eastAsia" w:asciiTheme="minorEastAsia" w:hAnsiTheme="minorEastAsia" w:eastAsiaTheme="minorEastAsia"/>
          <w:bCs/>
          <w:sz w:val="24"/>
        </w:rPr>
        <w:t>项目服务方案；</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w:t>
      </w:r>
      <w:r>
        <w:rPr>
          <w:rFonts w:hint="eastAsia" w:asciiTheme="minorEastAsia" w:hAnsiTheme="minorEastAsia" w:eastAsiaTheme="minorEastAsia"/>
          <w:b/>
          <w:sz w:val="24"/>
        </w:rPr>
        <w:t>*</w:t>
      </w:r>
      <w:r>
        <w:rPr>
          <w:rFonts w:hint="eastAsia" w:asciiTheme="minorEastAsia" w:hAnsiTheme="minorEastAsia" w:eastAsiaTheme="minorEastAsia"/>
          <w:sz w:val="24"/>
        </w:rPr>
        <w:t>商务、</w:t>
      </w:r>
      <w:r>
        <w:rPr>
          <w:rFonts w:hint="eastAsia" w:asciiTheme="minorEastAsia" w:hAnsiTheme="minorEastAsia" w:eastAsiaTheme="minorEastAsia"/>
          <w:bCs/>
          <w:sz w:val="24"/>
        </w:rPr>
        <w:t>技术要求响应及偏离表；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w:t>
      </w:r>
      <w:r>
        <w:rPr>
          <w:rFonts w:hint="eastAsia" w:asciiTheme="minorEastAsia" w:hAnsiTheme="minorEastAsia" w:eastAsiaTheme="minorEastAsia"/>
          <w:b/>
          <w:sz w:val="24"/>
        </w:rPr>
        <w:t>*</w:t>
      </w:r>
      <w:r>
        <w:rPr>
          <w:rFonts w:hint="eastAsia" w:asciiTheme="minorEastAsia" w:hAnsiTheme="minorEastAsia" w:eastAsiaTheme="minorEastAsia"/>
          <w:sz w:val="24"/>
        </w:rPr>
        <w:t>投标人综合实力</w:t>
      </w:r>
      <w:r>
        <w:rPr>
          <w:rFonts w:hint="eastAsia" w:asciiTheme="minorEastAsia" w:hAnsiTheme="minorEastAsia" w:eastAsiaTheme="minorEastAsia"/>
          <w:bCs/>
          <w:sz w:val="24"/>
        </w:rPr>
        <w:t>；</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w:t>
      </w:r>
      <w:r>
        <w:rPr>
          <w:rFonts w:hint="eastAsia" w:asciiTheme="minorEastAsia" w:hAnsiTheme="minorEastAsia" w:eastAsiaTheme="minorEastAsia"/>
          <w:b/>
          <w:sz w:val="24"/>
        </w:rPr>
        <w:t>*</w:t>
      </w:r>
      <w:r>
        <w:rPr>
          <w:rFonts w:hint="eastAsia" w:asciiTheme="minorEastAsia" w:hAnsiTheme="minorEastAsia" w:eastAsiaTheme="minorEastAsia"/>
          <w:sz w:val="24"/>
        </w:rPr>
        <w:t>项目经理具备注册建造师（机电工程专业）资格。</w:t>
      </w:r>
      <w:r>
        <w:rPr>
          <w:rFonts w:hint="eastAsia" w:ascii="宋体" w:hAnsi="宋体"/>
          <w:sz w:val="24"/>
        </w:rPr>
        <w:t>【须提供</w:t>
      </w:r>
      <w:r>
        <w:rPr>
          <w:rFonts w:hint="eastAsia" w:asciiTheme="minorEastAsia" w:hAnsiTheme="minorEastAsia" w:eastAsiaTheme="minorEastAsia"/>
          <w:bCs/>
          <w:sz w:val="24"/>
        </w:rPr>
        <w:t>证书复印件及</w:t>
      </w:r>
      <w:r>
        <w:rPr>
          <w:rFonts w:hint="eastAsia" w:ascii="宋体" w:hAnsi="宋体"/>
          <w:sz w:val="24"/>
        </w:rPr>
        <w:t>本单位连续6个月（且至少包含近3个月中任意1个月份&lt;不含投标当月&gt;）为其缴纳社保的证明复印件】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w:t>
      </w:r>
      <w:r>
        <w:rPr>
          <w:rFonts w:hint="eastAsia" w:asciiTheme="minorEastAsia" w:hAnsiTheme="minorEastAsia" w:eastAsiaTheme="minorEastAsia"/>
          <w:b/>
          <w:sz w:val="24"/>
        </w:rPr>
        <w:t>*</w:t>
      </w:r>
      <w:r>
        <w:rPr>
          <w:rFonts w:hint="eastAsia" w:asciiTheme="minorEastAsia" w:hAnsiTheme="minorEastAsia" w:eastAsiaTheme="minorEastAsia"/>
          <w:sz w:val="24"/>
        </w:rPr>
        <w:t>资格证明文件：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1</w:t>
      </w:r>
      <w:r>
        <w:rPr>
          <w:rFonts w:hint="eastAsia" w:asciiTheme="minorEastAsia" w:hAnsiTheme="minorEastAsia" w:eastAsiaTheme="minorEastAsia"/>
          <w:b/>
          <w:bCs/>
          <w:sz w:val="24"/>
        </w:rPr>
        <w:t>：</w:t>
      </w:r>
      <w:r>
        <w:rPr>
          <w:rFonts w:hint="eastAsia" w:asciiTheme="minorEastAsia" w:hAnsiTheme="minorEastAsia" w:eastAsiaTheme="minorEastAsia"/>
          <w:bCs/>
          <w:sz w:val="24"/>
        </w:rPr>
        <w:t>企业法人营业执照副本或其他有效登记证书（复印件）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w:t>
      </w:r>
      <w:r>
        <w:rPr>
          <w:rFonts w:asciiTheme="minorEastAsia" w:hAnsiTheme="minorEastAsia" w:eastAsiaTheme="minorEastAsia"/>
          <w:b/>
          <w:bCs/>
          <w:sz w:val="24"/>
        </w:rPr>
        <w:t>2</w:t>
      </w:r>
      <w:r>
        <w:rPr>
          <w:rFonts w:hint="eastAsia" w:asciiTheme="minorEastAsia" w:hAnsiTheme="minorEastAsia" w:eastAsiaTheme="minorEastAsia"/>
          <w:b/>
          <w:bCs/>
          <w:sz w:val="24"/>
        </w:rPr>
        <w:t>：</w:t>
      </w:r>
      <w:r>
        <w:rPr>
          <w:rFonts w:hint="eastAsia" w:asciiTheme="minorEastAsia" w:hAnsiTheme="minorEastAsia" w:eastAsiaTheme="minorEastAsia"/>
          <w:bCs/>
          <w:sz w:val="24"/>
        </w:rPr>
        <w:t>财务状况报告</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（提供投标人近5个月中任意1个月份(不含投标当月)的财务状况报告（资产负债表和利润表）或由会计师事务所出具的近两年中任意一个年度的审计报告和所附已审财务报告复印件）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w:t>
      </w:r>
      <w:r>
        <w:rPr>
          <w:rFonts w:asciiTheme="minorEastAsia" w:hAnsiTheme="minorEastAsia" w:eastAsiaTheme="minorEastAsia"/>
          <w:b/>
          <w:bCs/>
          <w:sz w:val="24"/>
        </w:rPr>
        <w:t>3</w:t>
      </w:r>
      <w:r>
        <w:rPr>
          <w:rFonts w:hint="eastAsia" w:asciiTheme="minorEastAsia" w:hAnsiTheme="minorEastAsia" w:eastAsiaTheme="minorEastAsia"/>
          <w:b/>
          <w:bCs/>
          <w:sz w:val="24"/>
        </w:rPr>
        <w:t>：</w:t>
      </w:r>
      <w:r>
        <w:rPr>
          <w:rFonts w:hint="eastAsia" w:asciiTheme="minorEastAsia" w:hAnsiTheme="minorEastAsia" w:eastAsiaTheme="minorEastAsia"/>
          <w:bCs/>
          <w:sz w:val="24"/>
        </w:rPr>
        <w:t>依法缴纳税收和社会保障资金的相关材料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（提供投标人近5个月中任意1个月份(不含投标当月)的依法缴纳税收的相关材料（提供相关主管部门证明或银行代扣证明）复印件）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（提供投标人近5个月中任意1个月份(不含投标当月)的依法缴纳社会保障资金的相关材料（提供相关主管部门证明或银行代扣证明）复印件）</w:t>
      </w:r>
      <w:r>
        <w:rPr>
          <w:rFonts w:hint="eastAsia" w:asciiTheme="minorEastAsia" w:hAnsiTheme="minorEastAsia" w:eastAsiaTheme="minorEastAsia"/>
          <w:bCs/>
          <w:sz w:val="24"/>
        </w:rPr>
        <w:br w:type="textWrapping"/>
      </w:r>
      <w:r>
        <w:rPr>
          <w:rFonts w:hint="eastAsia" w:asciiTheme="minorEastAsia" w:hAnsiTheme="minorEastAsia" w:eastAsiaTheme="minorEastAsia"/>
          <w:b/>
          <w:bCs/>
          <w:sz w:val="24"/>
        </w:rPr>
        <w:t xml:space="preserve">    文件4：</w:t>
      </w:r>
      <w:r>
        <w:rPr>
          <w:rFonts w:hint="eastAsia" w:asciiTheme="minorEastAsia" w:hAnsiTheme="minorEastAsia" w:eastAsiaTheme="minorEastAsia"/>
          <w:bCs/>
          <w:sz w:val="24"/>
        </w:rPr>
        <w:t>具备履行合同所必需的设备和专业技术能力的书面声明（原件,格式见附件）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文件5：</w:t>
      </w:r>
      <w:r>
        <w:rPr>
          <w:rFonts w:hint="eastAsia" w:asciiTheme="minorEastAsia" w:hAnsiTheme="minorEastAsia" w:eastAsiaTheme="minorEastAsia"/>
          <w:bCs/>
          <w:sz w:val="24"/>
        </w:rPr>
        <w:t>参加国企采购活动前3年内在经营活动中没有重大违法记录的书面声明（原件,格式见附件）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文件6：</w:t>
      </w:r>
      <w:r>
        <w:rPr>
          <w:rFonts w:hint="eastAsia" w:asciiTheme="minorEastAsia" w:hAnsiTheme="minorEastAsia" w:eastAsiaTheme="minorEastAsia"/>
          <w:bCs/>
          <w:sz w:val="24"/>
        </w:rPr>
        <w:t>法定代表人授权委托书（法定代表人签署投标文件且亲自参与的不需提供）【授权委托人必须提供本单位连续6个月（且至少包含近3个月中任意1个月份&lt;不含投标当月&gt;）为其缴纳社保的证明复印件】</w:t>
      </w:r>
    </w:p>
    <w:p>
      <w:pPr>
        <w:spacing w:line="400" w:lineRule="exact"/>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文件7：</w:t>
      </w:r>
      <w:r>
        <w:rPr>
          <w:rFonts w:hint="eastAsia" w:asciiTheme="minorEastAsia" w:hAnsiTheme="minorEastAsia" w:eastAsiaTheme="minorEastAsia"/>
          <w:bCs/>
          <w:sz w:val="24"/>
        </w:rPr>
        <w:t>关于资格的声明函</w:t>
      </w:r>
    </w:p>
    <w:p>
      <w:pPr>
        <w:adjustRightInd w:val="0"/>
        <w:snapToGrid w:val="0"/>
        <w:spacing w:line="400" w:lineRule="exact"/>
        <w:ind w:firstLine="482" w:firstLineChars="200"/>
      </w:pPr>
      <w:r>
        <w:rPr>
          <w:rFonts w:hint="eastAsia" w:asciiTheme="minorEastAsia" w:hAnsiTheme="minorEastAsia" w:eastAsiaTheme="minorEastAsia"/>
          <w:b/>
          <w:bCs/>
          <w:sz w:val="24"/>
        </w:rPr>
        <w:t>文件8：</w:t>
      </w:r>
      <w:r>
        <w:rPr>
          <w:rFonts w:hint="eastAsia" w:asciiTheme="minorEastAsia" w:hAnsiTheme="minorEastAsia" w:eastAsiaTheme="minorEastAsia"/>
          <w:b w:val="0"/>
          <w:bCs w:val="0"/>
          <w:sz w:val="24"/>
        </w:rPr>
        <w:t>投标人须具备国家能源局派出机构</w:t>
      </w:r>
      <w:r>
        <w:rPr>
          <w:rFonts w:hint="eastAsia" w:asciiTheme="minorEastAsia" w:hAnsiTheme="minorEastAsia" w:eastAsiaTheme="minorEastAsia"/>
          <w:b w:val="0"/>
          <w:bCs w:val="0"/>
          <w:sz w:val="24"/>
          <w:lang w:eastAsia="zh-CN"/>
        </w:rPr>
        <w:t>颁发</w:t>
      </w:r>
      <w:r>
        <w:rPr>
          <w:rFonts w:hint="eastAsia" w:asciiTheme="minorEastAsia" w:hAnsiTheme="minorEastAsia" w:eastAsiaTheme="minorEastAsia"/>
          <w:b w:val="0"/>
          <w:bCs w:val="0"/>
          <w:sz w:val="24"/>
        </w:rPr>
        <w:t>的承装、承修、承试电力设施许可证及安全生产许可证。</w:t>
      </w:r>
      <w:r>
        <w:rPr>
          <w:rFonts w:hint="eastAsia" w:asciiTheme="minorEastAsia" w:hAnsiTheme="minorEastAsia" w:eastAsiaTheme="minorEastAsia"/>
          <w:bCs/>
          <w:sz w:val="24"/>
        </w:rPr>
        <w:t>（复印件）</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lang w:val="en-US" w:eastAsia="zh-CN"/>
        </w:rPr>
        <w:t>9</w:t>
      </w:r>
      <w:r>
        <w:rPr>
          <w:rFonts w:hint="eastAsia" w:asciiTheme="minorEastAsia" w:hAnsiTheme="minorEastAsia" w:eastAsiaTheme="minorEastAsia"/>
          <w:sz w:val="24"/>
          <w:szCs w:val="28"/>
        </w:rPr>
        <w:t>）</w:t>
      </w:r>
      <w:r>
        <w:rPr>
          <w:rFonts w:hint="eastAsia" w:asciiTheme="minorEastAsia" w:hAnsiTheme="minorEastAsia" w:eastAsiaTheme="minorEastAsia"/>
          <w:bCs/>
          <w:sz w:val="24"/>
          <w:szCs w:val="28"/>
        </w:rPr>
        <w:t>评分标准中对应的其它所需证明材料</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lang w:val="en-US" w:eastAsia="zh-CN"/>
        </w:rPr>
        <w:t>10</w:t>
      </w:r>
      <w:r>
        <w:rPr>
          <w:rFonts w:hint="eastAsia" w:asciiTheme="minorEastAsia" w:hAnsiTheme="minorEastAsia" w:eastAsiaTheme="minorEastAsia"/>
          <w:sz w:val="24"/>
          <w:szCs w:val="28"/>
        </w:rPr>
        <w:t>）投标人</w:t>
      </w:r>
      <w:r>
        <w:rPr>
          <w:rFonts w:asciiTheme="minorEastAsia" w:hAnsiTheme="minorEastAsia" w:eastAsiaTheme="minorEastAsia"/>
          <w:sz w:val="24"/>
          <w:szCs w:val="28"/>
        </w:rPr>
        <w:t>认为需要提供的其他证明文件</w:t>
      </w:r>
    </w:p>
    <w:p>
      <w:pPr>
        <w:spacing w:line="400" w:lineRule="exact"/>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①其中加“*”项目若有缺失或无效，将作为无效投标文件。</w:t>
      </w:r>
    </w:p>
    <w:p>
      <w:pPr>
        <w:spacing w:line="400" w:lineRule="exact"/>
        <w:ind w:firstLine="470" w:firstLineChars="196"/>
        <w:rPr>
          <w:rFonts w:ascii="Tahoma" w:hAnsi="Tahoma" w:cs="Tahoma"/>
          <w:sz w:val="24"/>
        </w:rPr>
      </w:pPr>
      <w:r>
        <w:rPr>
          <w:rFonts w:hint="eastAsia" w:asciiTheme="minorEastAsia" w:hAnsiTheme="minorEastAsia" w:eastAsiaTheme="minorEastAsia"/>
          <w:sz w:val="24"/>
        </w:rPr>
        <w:t>②</w:t>
      </w:r>
      <w:r>
        <w:rPr>
          <w:rFonts w:hint="eastAsia" w:ascii="Tahoma" w:hAnsi="Tahoma" w:cs="Tahoma"/>
          <w:sz w:val="24"/>
        </w:rPr>
        <w:t>如上述资格证明文件若遇年检、换证等未能提供的情况，则必须提供法定年检、换证单位出具的有效证明。</w:t>
      </w:r>
      <w:r>
        <w:rPr>
          <w:rFonts w:hint="eastAsia" w:ascii="Tahoma" w:hAnsi="Tahoma" w:cs="Tahoma"/>
          <w:b/>
          <w:sz w:val="24"/>
        </w:rPr>
        <w:t>提供以人事代理、控股子公司等代收代缴形式</w:t>
      </w:r>
      <w:r>
        <w:rPr>
          <w:rFonts w:hint="eastAsia" w:asciiTheme="minorEastAsia" w:hAnsiTheme="minorEastAsia" w:eastAsiaTheme="minorEastAsia"/>
          <w:b/>
          <w:bCs/>
          <w:sz w:val="24"/>
        </w:rPr>
        <w:t>缴纳社会保障资金的证明，属于无效证明文件。</w:t>
      </w:r>
      <w:r>
        <w:rPr>
          <w:rFonts w:hint="eastAsia" w:ascii="Tahoma" w:hAnsi="Tahoma" w:cs="Tahoma"/>
          <w:sz w:val="24"/>
        </w:rPr>
        <w:t>如上述资格证明文件遇有国家相关政策规定可不具备的，必须提供相关政策规定或相关单位出具的有效证明。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w:t>
      </w:r>
      <w:r>
        <w:rPr>
          <w:rFonts w:hint="eastAsia" w:ascii="Tahoma" w:hAnsi="Tahoma" w:cs="Tahoma"/>
          <w:sz w:val="24"/>
        </w:rPr>
        <w:t>新成立的单位若不能提供上述资格证明文件中的</w:t>
      </w:r>
      <w:r>
        <w:rPr>
          <w:rFonts w:hint="eastAsia" w:asciiTheme="minorEastAsia" w:hAnsiTheme="minorEastAsia" w:eastAsiaTheme="minorEastAsia"/>
          <w:bCs/>
          <w:sz w:val="24"/>
        </w:rPr>
        <w:t>文件2、3或授权委托人的社保缴纳证明</w:t>
      </w:r>
      <w:r>
        <w:rPr>
          <w:rFonts w:hint="eastAsia" w:ascii="Tahoma" w:hAnsi="Tahoma" w:cs="Tahoma"/>
          <w:sz w:val="24"/>
        </w:rPr>
        <w:t>，可提供自成立以来的相关证明。新成立的单位是指营业执照颁发日期在本项目开标之日前六个月内。</w:t>
      </w:r>
    </w:p>
    <w:p>
      <w:pPr>
        <w:spacing w:line="600" w:lineRule="exact"/>
        <w:rPr>
          <w:rFonts w:ascii="黑体" w:eastAsia="黑体"/>
          <w:sz w:val="28"/>
        </w:rPr>
      </w:pPr>
      <w:r>
        <w:rPr>
          <w:rFonts w:hint="eastAsia" w:ascii="黑体" w:eastAsia="黑体"/>
          <w:sz w:val="28"/>
        </w:rPr>
        <w:t>六、投标文件的制作：</w:t>
      </w:r>
    </w:p>
    <w:p>
      <w:pPr>
        <w:tabs>
          <w:tab w:val="left" w:pos="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1、所有文件、往来函件均应使用简体中文（规格、型号辅助符号例外）。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2、投标文件由投标单位按给定格式如实填写（编写），须有法人、法定代表人或法定代表人授权委托人签字（盖章），方为有效，未尽事宜可自行补充。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3、投标单位投标一律以人民币为投标结算货币,结算单位为“元”。</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4、投标文件格式部分，应由投标单位按给定格式提供，不得更改。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5、投标文件应打印或用不褪色的黑色墨水书写。</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6、投标文件可用A4纸装订成册并加以密封。份数为正本一份</w:t>
      </w:r>
      <w:r>
        <w:rPr>
          <w:rFonts w:hint="eastAsia" w:asciiTheme="minorEastAsia" w:hAnsiTheme="minorEastAsia" w:eastAsiaTheme="minorEastAsia"/>
          <w:sz w:val="24"/>
          <w:highlight w:val="none"/>
        </w:rPr>
        <w:t>，副本</w:t>
      </w: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份</w:t>
      </w:r>
      <w:r>
        <w:rPr>
          <w:rFonts w:hint="eastAsia" w:asciiTheme="minorEastAsia" w:hAnsiTheme="minorEastAsia" w:eastAsiaTheme="minorEastAsia"/>
          <w:sz w:val="24"/>
        </w:rPr>
        <w:t>。密封袋表面注明项目名称、项目编号、投标单位名称，并加盖投标人公章。任何单位和个人不得在开标前开启投标文件。逾期送达或者未密封的投标文件，江阴市公共资源交易中心将予以拒收。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7、投标书不应有涂改、增删和潦草之处，如有必须修改时，修改处必须有法人、法定代表人或法定代表人授权委托人的签章。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9、投标的有效期为开标后90天。</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10、投标费用自理。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11、投标人所递交的全部投标文件均按保密文件处理，不予退还。</w:t>
      </w:r>
    </w:p>
    <w:p>
      <w:pPr>
        <w:spacing w:line="600" w:lineRule="exact"/>
        <w:rPr>
          <w:rFonts w:ascii="黑体" w:eastAsia="黑体"/>
          <w:sz w:val="28"/>
        </w:rPr>
      </w:pPr>
      <w:r>
        <w:rPr>
          <w:rFonts w:hint="eastAsia" w:ascii="黑体" w:eastAsia="黑体"/>
          <w:sz w:val="28"/>
        </w:rPr>
        <w:t>七、无效投标文件的确认：</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（一）投标人存在下列情况之一的，其投标无效：</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1、投标文件未按招标文件要求签署、盖章的；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2、不具备招标文件中规定的资格要求的；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3、报价超过招标文件中规定的预算金额或者最高限价的；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4、投标文件含有采购人不能接受的附加条件的;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5、投标文件未按规定的期限、地点送达的；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6、投标文件内容未实质性响应或不符合法律法规和招标文件中规定的其它实质性要求的；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7、投标文件中同一方案有选择性报价且未声明以哪一个为准的；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8、不响应招标文件中的付款方式的；</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9、未通过江阴市公共资源交易平台会员系统确认参加投标的。</w:t>
      </w:r>
    </w:p>
    <w:p>
      <w:pPr>
        <w:tabs>
          <w:tab w:val="left" w:pos="1050"/>
        </w:tabs>
        <w:spacing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（二）投标人有下列情形之一的，视为串通投标，其投标无效，并参照《政府采购法》第七十七条规定追究法律责任：</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1、投标单位直接或间接从采购人或采购代理机构处获得其他投标单位的投标情况，并修改其投标文件；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2、评审活动开始前投标单位直接或间接从采购人或采购代理机构处获得评标委员会组成人员情况；</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3、投标单位接受采购人或采购代理机构授意撤换、修改投标文件；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4、投标单位之间协商投标报价、技术方案等投标文件实质性内容；</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5、属于同一集团、协会、商会等组织成员的投标单位按照该组织要求协同投标；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6、投标单位之间事先约定由某一特定投标单位中标；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7、投标单位之间商定部分投标单位放弃投标或者放弃中标；</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8、投标单位与采购人或采购代理机构之间、投标单位相互之间为谋求特定投标单位中标成交或者排斥其他投标单位的其他串通行为；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9、不同投标人的投标文件由同一单位或者个人编制；</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10、不同投标人委托同一单位或者个人办理投标事宜；</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11、不同投标人的投标文件载明的项目管理成员为同一人；</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12、不同投标人的投标文件异常一致或者投标报价呈规律性差异；</w:t>
      </w:r>
    </w:p>
    <w:p>
      <w:pPr>
        <w:tabs>
          <w:tab w:val="left" w:pos="1050"/>
        </w:tabs>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13、不同投标人的投标文件相互混装。</w:t>
      </w:r>
    </w:p>
    <w:p>
      <w:pPr>
        <w:spacing w:line="600" w:lineRule="exact"/>
        <w:rPr>
          <w:rFonts w:ascii="黑体" w:eastAsia="黑体"/>
          <w:sz w:val="28"/>
        </w:rPr>
      </w:pPr>
      <w:r>
        <w:rPr>
          <w:rFonts w:hint="eastAsia" w:ascii="黑体" w:eastAsia="黑体"/>
          <w:sz w:val="28"/>
        </w:rPr>
        <w:t>八、开标、评标：</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（一）开标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bCs/>
          <w:sz w:val="24"/>
        </w:rPr>
        <w:t>开标由江阴市公共资源交易中心主持，并请投标人代表查验投标文件的密封情况，经确认无误后，由江阴市公共资源交易中心工作人员当众拆封，宣读、记录各投标人《开标一览表》。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开标过程由</w:t>
      </w:r>
      <w:r>
        <w:rPr>
          <w:rFonts w:hint="eastAsia" w:asciiTheme="minorEastAsia" w:hAnsiTheme="minorEastAsia" w:eastAsiaTheme="minorEastAsia"/>
          <w:sz w:val="24"/>
        </w:rPr>
        <w:t>江阴市公共资源交易中心</w:t>
      </w:r>
      <w:r>
        <w:rPr>
          <w:rFonts w:asciiTheme="minorEastAsia" w:hAnsiTheme="minorEastAsia" w:eastAsiaTheme="minorEastAsia"/>
          <w:sz w:val="24"/>
        </w:rPr>
        <w:t>负责记录，</w:t>
      </w:r>
      <w:r>
        <w:rPr>
          <w:rFonts w:hint="eastAsia" w:asciiTheme="minorEastAsia" w:hAnsiTheme="minorEastAsia" w:eastAsiaTheme="minorEastAsia"/>
          <w:sz w:val="24"/>
        </w:rPr>
        <w:t>并</w:t>
      </w:r>
      <w:r>
        <w:rPr>
          <w:rFonts w:asciiTheme="minorEastAsia" w:hAnsiTheme="minorEastAsia" w:eastAsiaTheme="minorEastAsia"/>
          <w:sz w:val="24"/>
        </w:rPr>
        <w:t>由参加开标的各投标人代表和相关工作人员签字确认。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投标人未参加开标的，视同认可开标结果。</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工作由江阴市公共资源交易中心负责组织，具体评标事务由依法组建的评标委员会负责。采购人和江阴市公共资源交易中心依法组成资格审查小组，对投标人的资格进行审查。采购人代表和评审专家依法组建评标委员会，评审专家实行回避制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2、投标文件初审。初审分为资格性检查和符合性检查。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A、资格性检查：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（1）依据法律法规和招标文件的规定，资格审查小组对投标文件组成中的资格证明文件（文件1-文件8）等进行审查，以确定投标单位是否具备投标资格。</w:t>
      </w:r>
    </w:p>
    <w:p>
      <w:pPr>
        <w:spacing w:line="400" w:lineRule="exact"/>
        <w:ind w:firstLine="480" w:firstLineChars="200"/>
        <w:rPr>
          <w:rFonts w:asciiTheme="minorEastAsia" w:hAnsiTheme="minorEastAsia" w:eastAsiaTheme="minorEastAsia"/>
          <w:sz w:val="24"/>
        </w:rPr>
      </w:pPr>
      <w:r>
        <w:rPr>
          <w:rFonts w:hint="eastAsia"/>
          <w:bCs/>
          <w:sz w:val="24"/>
        </w:rPr>
        <w:t>（2）</w:t>
      </w:r>
      <w:r>
        <w:rPr>
          <w:bCs/>
          <w:sz w:val="24"/>
        </w:rPr>
        <w:t>通过“信用中国”网站、中国政府采购网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r>
        <w:rPr>
          <w:rFonts w:hint="eastAsia" w:asciiTheme="minorEastAsia" w:hAnsiTheme="minorEastAsia" w:eastAsiaTheme="minorEastAsia"/>
          <w:sz w:val="24"/>
        </w:rPr>
        <w:t>接受联合体的项目，两个以上的自然人、法人或者其他组织组成一个联合体，以一个投标单位的身份共同参加政府采购活动的，联合体成员存在不良信用记录的，视同联合体存在不良应用记录。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B、符合性检查：</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（1）评标委员会依据招标文件的规定，从投标文件的有效性、完整性和对招标文件的响应程度进行审查，以确定是否对招标文件的实质性要求作出响应。</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（a）投标文件没有投标单位法定代表人或授权委托人签字和加盖公章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（b）投标文件载明的采购项目的完成期限超过招标文件规定的期限</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（c）投标文件严重背离招标文件中确定的技术功能要求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（d）投标文件附有采购人不能接受的商务条件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（e）不符合招标文件中规定的其他实质性要求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确定投标文件的响应性只根据投标文件本身的内容，而不寻求外部证据。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如果投标文件没有实质上响应招标文件的要求，江阴市公共资源交易中心将予以拒绝。投标人不得通过修正或撤消不合要求的偏离或保留从而使其投标成为实质上响应的投标。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投标供应商通过初审的，方可进入比较与评价程序。</w:t>
      </w:r>
      <w:r>
        <w:rPr>
          <w:rFonts w:asciiTheme="minorEastAsia" w:hAnsiTheme="minorEastAsia" w:eastAsiaTheme="minorEastAsia"/>
          <w:sz w:val="24"/>
        </w:rPr>
        <w:t>评标委员会应当按照招标文件中规定的评标方法和标准，对符合性审查合格的投标文件进行商务和技术评估，综合比较与评价。</w:t>
      </w:r>
      <w:r>
        <w:rPr>
          <w:rFonts w:hint="eastAsia" w:asciiTheme="minorEastAsia" w:hAnsiTheme="minorEastAsia" w:eastAsiaTheme="minorEastAsia"/>
          <w:sz w:val="24"/>
        </w:rPr>
        <w:t>具体办法和标准详见招标文件第五章《评标方法和评标标准》。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4、投标文件的澄清：</w:t>
      </w:r>
      <w:r>
        <w:rPr>
          <w:rFonts w:asciiTheme="minorEastAsia" w:hAnsiTheme="minorEastAsia" w:eastAsiaTheme="minorEastAsia"/>
          <w:sz w:val="24"/>
        </w:rPr>
        <w:t>对于投标文件中含义不明确、同类问题表述不一致或者有明显文字和计算错误的内容，评标委员会应当以书面形式要求投标人作出必要的澄清、说明或者补正。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投标人的澄清、说明或者补正应当采用书面形式，并加盖公章，或者由法定代表人或其授权</w:t>
      </w:r>
      <w:r>
        <w:rPr>
          <w:rFonts w:hint="eastAsia" w:asciiTheme="minorEastAsia" w:hAnsiTheme="minorEastAsia" w:eastAsiaTheme="minorEastAsia"/>
          <w:sz w:val="24"/>
        </w:rPr>
        <w:t>委托人</w:t>
      </w:r>
      <w:r>
        <w:rPr>
          <w:rFonts w:asciiTheme="minorEastAsia" w:hAnsiTheme="minorEastAsia" w:eastAsiaTheme="minorEastAsia"/>
          <w:sz w:val="24"/>
        </w:rPr>
        <w:t>签字。投标人的澄清、说明或者补正不得超出投标文件的范围或者改变投标文件的实质性内容。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投标文件报价出现前后不一致的，按照下列规定修正：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（一）投标文件中开标一览表（报价表）内容与投标文件中相应内容不一致的，以开标一览表（报价表）为准；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（二）大写金额和小写金额不一致的，以大写金额为准；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（三）单价金额小数点或者百分比有明显错位的，以开标一览表的总价为准，并修改单价；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（四）总价金额与按单价汇总金额不一致的，以单价金额计算结果为准。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同时出现两种以上不一致的，按照前款规定的顺序修正。修正后的报价</w:t>
      </w:r>
      <w:r>
        <w:rPr>
          <w:rFonts w:hint="eastAsia" w:asciiTheme="minorEastAsia" w:hAnsiTheme="minorEastAsia" w:eastAsiaTheme="minorEastAsia"/>
          <w:sz w:val="24"/>
        </w:rPr>
        <w:t>参</w:t>
      </w:r>
      <w:r>
        <w:rPr>
          <w:rFonts w:asciiTheme="minorEastAsia" w:hAnsiTheme="minorEastAsia" w:eastAsiaTheme="minorEastAsia"/>
          <w:sz w:val="24"/>
        </w:rPr>
        <w:t>照</w:t>
      </w:r>
      <w:r>
        <w:rPr>
          <w:rFonts w:hint="eastAsia" w:asciiTheme="minorEastAsia" w:hAnsiTheme="minorEastAsia" w:eastAsiaTheme="minorEastAsia"/>
          <w:sz w:val="24"/>
        </w:rPr>
        <w:t>《政府采购货物和服务招标投标管理办法》</w:t>
      </w:r>
      <w:r>
        <w:rPr>
          <w:rFonts w:asciiTheme="minorEastAsia" w:hAnsiTheme="minorEastAsia" w:eastAsiaTheme="minorEastAsia"/>
          <w:sz w:val="24"/>
        </w:rPr>
        <w:t>第五十一条第二款的规定经投标人确认后产生约束力，投标人不确认的，其投标无效。</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评标委员会发现招标文件存在歧义、重大缺陷导致评标工作无法进行，或者招标文件内容违反国家有关强制性规定的，应当停止评标工作，与采购人或者</w:t>
      </w:r>
      <w:r>
        <w:rPr>
          <w:rFonts w:hint="eastAsia" w:asciiTheme="minorEastAsia" w:hAnsiTheme="minorEastAsia" w:eastAsiaTheme="minorEastAsia"/>
          <w:sz w:val="24"/>
        </w:rPr>
        <w:t>江阴市公共交易交易中心</w:t>
      </w:r>
      <w:r>
        <w:rPr>
          <w:rFonts w:asciiTheme="minorEastAsia" w:hAnsiTheme="minorEastAsia" w:eastAsiaTheme="minorEastAsia"/>
          <w:sz w:val="24"/>
        </w:rPr>
        <w:t>沟通并作书面记录。采购人或者</w:t>
      </w:r>
      <w:r>
        <w:rPr>
          <w:rFonts w:hint="eastAsia" w:asciiTheme="minorEastAsia" w:hAnsiTheme="minorEastAsia" w:eastAsiaTheme="minorEastAsia"/>
          <w:sz w:val="24"/>
        </w:rPr>
        <w:t>江阴市公共交易交易中心</w:t>
      </w:r>
      <w:r>
        <w:rPr>
          <w:rFonts w:asciiTheme="minorEastAsia" w:hAnsiTheme="minorEastAsia" w:eastAsiaTheme="minorEastAsia"/>
          <w:sz w:val="24"/>
        </w:rPr>
        <w:t>确认后，应当修改招标文件，重新组织采购活动。</w:t>
      </w:r>
    </w:p>
    <w:p>
      <w:pPr>
        <w:spacing w:line="600" w:lineRule="exact"/>
        <w:rPr>
          <w:rFonts w:ascii="黑体" w:eastAsia="黑体"/>
          <w:sz w:val="28"/>
        </w:rPr>
      </w:pPr>
      <w:r>
        <w:rPr>
          <w:rFonts w:hint="eastAsia" w:ascii="黑体" w:eastAsia="黑体"/>
          <w:sz w:val="28"/>
        </w:rPr>
        <w:t>九、确定中标单位：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1、评标委员会根据</w:t>
      </w:r>
      <w:r>
        <w:rPr>
          <w:rFonts w:hint="eastAsia" w:asciiTheme="minorEastAsia" w:hAnsiTheme="minorEastAsia" w:eastAsiaTheme="minorEastAsia"/>
          <w:bCs/>
          <w:sz w:val="24"/>
        </w:rPr>
        <w:t>评标方法和评标标准确定</w:t>
      </w:r>
      <w:r>
        <w:rPr>
          <w:rFonts w:hint="eastAsia" w:asciiTheme="minorEastAsia" w:hAnsiTheme="minorEastAsia" w:eastAsiaTheme="minorEastAsia"/>
          <w:sz w:val="24"/>
        </w:rPr>
        <w:t>中标候选单位。江阴市公共资源交易中心将评选结果通知所有参加评标的未中标单位，并宣布中标单位。如有质疑，参照《中华人民共和国政府采购法》、《</w:t>
      </w:r>
      <w:r>
        <w:rPr>
          <w:rFonts w:asciiTheme="minorEastAsia" w:hAnsiTheme="minorEastAsia" w:eastAsiaTheme="minorEastAsia"/>
          <w:sz w:val="24"/>
        </w:rPr>
        <w:t>中华人民共和国政府采购法实施条例</w:t>
      </w:r>
      <w:r>
        <w:rPr>
          <w:rFonts w:hint="eastAsia" w:asciiTheme="minorEastAsia" w:hAnsiTheme="minorEastAsia" w:eastAsiaTheme="minorEastAsia"/>
          <w:sz w:val="24"/>
        </w:rPr>
        <w:t>》、财政部《政府采购货物和服务招标投标管理办法》有关规定处理。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2、确定中标单位2个工作日内发布中标公告，并向中标单位发出中标通知书。</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3、投标、评标及确定中标单位的整个过程均由相关部门进行现场监督。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4、江阴市公共资源交易中心不负责向任何投标单位说明中标或不中标的原因。</w:t>
      </w:r>
    </w:p>
    <w:p>
      <w:pPr>
        <w:spacing w:line="600" w:lineRule="exact"/>
        <w:rPr>
          <w:rFonts w:ascii="黑体" w:eastAsia="黑体"/>
          <w:sz w:val="28"/>
        </w:rPr>
      </w:pPr>
      <w:r>
        <w:rPr>
          <w:rFonts w:hint="eastAsia" w:ascii="黑体" w:eastAsia="黑体"/>
          <w:sz w:val="28"/>
        </w:rPr>
        <w:t>十、质疑处理：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质疑参照《中华人民共和国政府采购法》、《中华人民共和国政府采购法实施条例》、《政府采购货物和服务招标投标管理办法》、《政府采购质疑和投诉办法》、《江苏省政府采购供应商监督管理暂行办法》有关规定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2、投标单位认为采购文件、采购过程和中标结果使自己的权益受到损害的，可以在知道或者应知其权益受到损害之日起七个工作日内，以书面形式向采购人提出质疑。</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3、投标单位提出质疑应当提交质疑函和必要的证明材料。质疑函应当包括下列内容：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（1）投标单位的姓名或者名称、地址、邮编、联系人及联系电话；</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（2）质疑项目的名称、编号；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（3）具体、明确的质疑事项和与质疑事项相关的请求；</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（4）事实依据；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（5）必要的法律依据；</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（6）提出质疑的日期。</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（7）质疑函格式请到江阴市公共资源交易中心网站的“国企采购</w:t>
      </w:r>
      <w:r>
        <w:rPr>
          <w:rFonts w:hint="eastAsia" w:ascii="宋体" w:hAnsi="宋体"/>
          <w:bCs/>
          <w:sz w:val="24"/>
        </w:rPr>
        <w:t>——＞</w:t>
      </w:r>
      <w:r>
        <w:rPr>
          <w:rFonts w:hint="eastAsia" w:asciiTheme="minorEastAsia" w:hAnsiTheme="minorEastAsia" w:eastAsiaTheme="minorEastAsia"/>
          <w:sz w:val="24"/>
        </w:rPr>
        <w:t>资料下载”中下载《质疑书格式》；</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（8）未按上述要求提交的质疑函（仅限于原件）江阴市公共资源交易中心有权不予受理。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4、投标单位须在法定质疑期内一次性提出针对同一采购程序环节的质疑。提出质疑的投标单位应当是参与所质疑项目采购活动的投标单位。</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投标单位提出质疑的应当有明确的请求和必要的证明材料，投标人提出书面质疑必须有理、有据，不得恶意质疑或提交虚假质疑。否则，一经查实，江阴市公共资源交易中心有权依据国企采购的有关规定，报请江阴市国资监管部门对该投标人进行相应的行政处罚。</w:t>
      </w:r>
    </w:p>
    <w:p>
      <w:pPr>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sz w:val="24"/>
        </w:rPr>
        <w:t xml:space="preserve">8、采购人及江阴市公共资源交易中心将在收到投标单位的有效书面质疑函后七个工作日内作出答复，并以书面形式通知质疑投标单位和其他有关投标单位，但答复的内容不得涉及商业秘密。 </w:t>
      </w:r>
    </w:p>
    <w:p>
      <w:pPr>
        <w:spacing w:line="600" w:lineRule="exact"/>
        <w:rPr>
          <w:rFonts w:ascii="黑体" w:eastAsia="黑体"/>
          <w:sz w:val="28"/>
        </w:rPr>
      </w:pPr>
      <w:r>
        <w:rPr>
          <w:rFonts w:hint="eastAsia" w:ascii="黑体" w:eastAsia="黑体"/>
          <w:sz w:val="28"/>
        </w:rPr>
        <w:t>十一、采购项目的废标：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在评标采购中，出现下列情况之一的，应予废标；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1、符合专业条件的投标人或者对招标文件作出实质性响应的投标人不足三家的；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3、投标单位的报价均超过采购预算，采购人不能支付的；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满足《政府采购货物和服务招标投标管理办法》第四十三条的情形时，经评标委员会审查出具了“招标文件没有不合理条款、招标公告时间及程序符合规定、投标单位资格要求和采购需求等没有倾向性和限制性”书面意见的，并经</w:t>
      </w:r>
      <w:r>
        <w:rPr>
          <w:rFonts w:hint="eastAsia" w:asciiTheme="minorEastAsia" w:hAnsiTheme="minorEastAsia" w:eastAsiaTheme="minorEastAsia"/>
          <w:bCs/>
          <w:sz w:val="24"/>
        </w:rPr>
        <w:t>江阴市国资监管部门</w:t>
      </w:r>
      <w:r>
        <w:rPr>
          <w:rFonts w:hint="eastAsia" w:asciiTheme="minorEastAsia" w:hAnsiTheme="minorEastAsia" w:eastAsiaTheme="minorEastAsia"/>
          <w:sz w:val="24"/>
        </w:rPr>
        <w:t>批准同意后，可转为其他采购方式采购。</w:t>
      </w:r>
    </w:p>
    <w:p>
      <w:pPr>
        <w:spacing w:line="600" w:lineRule="exact"/>
        <w:rPr>
          <w:rFonts w:ascii="黑体" w:eastAsia="黑体"/>
          <w:sz w:val="28"/>
        </w:rPr>
      </w:pPr>
      <w:r>
        <w:rPr>
          <w:rFonts w:hint="eastAsia" w:ascii="黑体" w:eastAsia="黑体"/>
          <w:sz w:val="28"/>
        </w:rPr>
        <w:t>十二、投标保证金：</w:t>
      </w:r>
      <w:r>
        <w:rPr>
          <w:rFonts w:hint="eastAsia" w:asciiTheme="minorEastAsia" w:hAnsiTheme="minorEastAsia" w:eastAsiaTheme="minorEastAsia"/>
          <w:bCs/>
          <w:sz w:val="24"/>
        </w:rPr>
        <w:t>本项目免收投标保证金。</w:t>
      </w:r>
    </w:p>
    <w:p>
      <w:pPr>
        <w:spacing w:line="600" w:lineRule="exact"/>
        <w:rPr>
          <w:rFonts w:ascii="黑体" w:eastAsia="黑体"/>
          <w:sz w:val="28"/>
        </w:rPr>
      </w:pPr>
      <w:r>
        <w:rPr>
          <w:rFonts w:hint="eastAsia" w:ascii="黑体" w:eastAsia="黑体"/>
          <w:sz w:val="28"/>
        </w:rPr>
        <w:t>十三、中标无效的确认：</w:t>
      </w:r>
    </w:p>
    <w:p>
      <w:pPr>
        <w:pStyle w:val="36"/>
        <w:spacing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投标单位有下列情形之一的，处以采购金额千分之五以上千分之十以下的罚款，列入不良行为记录名单，在一至三年内禁止参加江阴市国有企业集中采购活动，有违法所得的，并处没收违法所得，情节严重的，由工商行政管理机关吊销营业执照；构成犯罪的，依法追究刑事责任：</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（一）提供虚假材料谋取中标、成交的；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（二）采取不正当手段诋毁、排挤其他投标单位的；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（三）与采购人、其他投标单位或者采购代理机构恶意串通的；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（四）向采购人、采购代理机构行贿或者提供其他不正当利益的；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（五）在招标采购过程中与采购人进行协商谈判的；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（六）拒绝有关部门监督检查或者提供虚假情况的。</w:t>
      </w:r>
      <w:r>
        <w:rPr>
          <w:rFonts w:hint="eastAsia" w:asciiTheme="minorEastAsia" w:hAnsiTheme="minorEastAsia" w:eastAsiaTheme="minorEastAsia"/>
          <w:bCs/>
          <w:sz w:val="24"/>
        </w:rPr>
        <w:br w:type="textWrapping"/>
      </w:r>
      <w:r>
        <w:rPr>
          <w:rFonts w:hint="eastAsia" w:asciiTheme="minorEastAsia" w:hAnsiTheme="minorEastAsia" w:eastAsiaTheme="minorEastAsia"/>
          <w:bCs/>
          <w:sz w:val="24"/>
        </w:rPr>
        <w:t>　　投标单位有前款第（一）至（五）项情形之一的，中标无效。</w:t>
      </w:r>
    </w:p>
    <w:p>
      <w:pPr>
        <w:spacing w:line="600" w:lineRule="exact"/>
        <w:rPr>
          <w:rFonts w:ascii="黑体" w:eastAsia="黑体"/>
          <w:sz w:val="28"/>
        </w:rPr>
      </w:pPr>
      <w:r>
        <w:rPr>
          <w:rFonts w:hint="eastAsia" w:ascii="黑体" w:eastAsia="黑体"/>
          <w:sz w:val="28"/>
        </w:rPr>
        <w:t>十四、签订合同：</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1、江阴市公共资源交易中心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江阴市公共资源交易中心见证。</w:t>
      </w:r>
    </w:p>
    <w:p>
      <w:pPr>
        <w:pStyle w:val="36"/>
        <w:spacing w:line="400" w:lineRule="exact"/>
        <w:ind w:firstLine="480"/>
        <w:rPr>
          <w:rFonts w:asciiTheme="minorEastAsia" w:hAnsiTheme="minorEastAsia" w:eastAsiaTheme="minorEastAsia"/>
          <w:bCs/>
          <w:sz w:val="24"/>
        </w:rPr>
      </w:pPr>
      <w:r>
        <w:rPr>
          <w:rFonts w:asciiTheme="minorEastAsia" w:hAnsiTheme="minorEastAsia" w:eastAsiaTheme="minorEastAsia"/>
          <w:sz w:val="24"/>
        </w:rPr>
        <w:t>2、履约保证金的收取：合同签署前，中标方向采购单位缴纳履约保证金。</w:t>
      </w:r>
      <w:r>
        <w:rPr>
          <w:rFonts w:hint="eastAsia" w:asciiTheme="minorEastAsia" w:hAnsiTheme="minorEastAsia" w:eastAsiaTheme="minorEastAsia"/>
          <w:bCs/>
          <w:sz w:val="24"/>
        </w:rPr>
        <w:t>中标方向采购单位缴纳的履约保证金不超过政府采购合同金额的10%。收取履约保证金的，采购人应当允许</w:t>
      </w:r>
      <w:r>
        <w:rPr>
          <w:rFonts w:asciiTheme="minorEastAsia" w:hAnsiTheme="minorEastAsia" w:eastAsiaTheme="minorEastAsia"/>
          <w:bCs/>
          <w:sz w:val="24"/>
        </w:rPr>
        <w:t>供应商自主选择以支票、 汇票、 本票、 保函等非现金形式缴纳或提交，</w:t>
      </w:r>
      <w:r>
        <w:rPr>
          <w:rFonts w:hint="eastAsia" w:asciiTheme="minorEastAsia" w:hAnsiTheme="minorEastAsia" w:eastAsiaTheme="minorEastAsia"/>
          <w:bCs/>
          <w:sz w:val="24"/>
        </w:rPr>
        <w:t>并与中标供应商在采购合同中约定履约保证金退还的方式、时间、条件和不予退还的情形，明确逾期退还履约保证金的违约责任。</w:t>
      </w:r>
      <w:r>
        <w:rPr>
          <w:rFonts w:hint="eastAsia" w:asciiTheme="minorEastAsia" w:hAnsiTheme="minorEastAsia" w:eastAsiaTheme="minorEastAsia"/>
          <w:sz w:val="24"/>
        </w:rPr>
        <w:t>采购单位收到缴纳的履约保证金后需向中标单位出具有效的履约保证金收款凭证。</w:t>
      </w:r>
    </w:p>
    <w:p>
      <w:pPr>
        <w:pStyle w:val="36"/>
        <w:spacing w:line="400" w:lineRule="exact"/>
        <w:ind w:firstLine="480"/>
        <w:rPr>
          <w:rFonts w:asciiTheme="minorEastAsia" w:hAnsiTheme="minorEastAsia" w:eastAsiaTheme="minorEastAsia"/>
          <w:sz w:val="24"/>
        </w:rPr>
      </w:pPr>
      <w:r>
        <w:rPr>
          <w:rFonts w:asciiTheme="minorEastAsia" w:hAnsiTheme="minorEastAsia" w:eastAsiaTheme="minorEastAsia"/>
          <w:sz w:val="24"/>
        </w:rPr>
        <w:t>3、履约保证金的管理及退还：采购单位应做好履约保证金的账务处理工作，实行专项管理，</w:t>
      </w:r>
      <w:r>
        <w:rPr>
          <w:rFonts w:hint="eastAsia" w:asciiTheme="minorEastAsia" w:hAnsiTheme="minorEastAsia" w:eastAsiaTheme="minorEastAsia"/>
          <w:sz w:val="24"/>
        </w:rPr>
        <w:t>不得违规收取、挪用、截留等</w:t>
      </w:r>
      <w:r>
        <w:rPr>
          <w:rFonts w:asciiTheme="minorEastAsia" w:hAnsiTheme="minorEastAsia" w:eastAsiaTheme="minorEastAsia"/>
          <w:sz w:val="24"/>
        </w:rPr>
        <w:t>其他用途。</w:t>
      </w:r>
      <w:r>
        <w:rPr>
          <w:rFonts w:hint="eastAsia" w:asciiTheme="minorEastAsia" w:hAnsiTheme="minorEastAsia" w:eastAsiaTheme="minorEastAsia"/>
          <w:sz w:val="24"/>
        </w:rPr>
        <w:t>项目验收合格后（货物类）或有效期结束后（服务类），采购单位应及时退还履约保证金，不计利息。</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4、江阴市公共资源交易中心监督合同的履行，协调和处理履约过程中的问题，同时对售后</w:t>
      </w:r>
      <w:r>
        <w:rPr>
          <w:rFonts w:hint="eastAsia" w:asciiTheme="minorEastAsia" w:hAnsiTheme="minorEastAsia" w:eastAsiaTheme="minorEastAsia"/>
          <w:bCs/>
          <w:sz w:val="24"/>
        </w:rPr>
        <w:t>服务进行评</w:t>
      </w:r>
      <w:r>
        <w:rPr>
          <w:rFonts w:hint="eastAsia" w:asciiTheme="minorEastAsia" w:hAnsiTheme="minorEastAsia" w:eastAsiaTheme="minorEastAsia"/>
          <w:sz w:val="24"/>
        </w:rPr>
        <w:t>价。中标方未履行招标文件、投标文件和合同规定的义务，江阴市公共资源交易中心将根据具体情况提请国企采购管理部门作出相应处理。不可抗力除外。</w:t>
      </w:r>
    </w:p>
    <w:p>
      <w:pPr>
        <w:spacing w:line="600" w:lineRule="exact"/>
        <w:rPr>
          <w:rFonts w:ascii="黑体" w:eastAsia="黑体"/>
          <w:sz w:val="28"/>
        </w:rPr>
      </w:pPr>
      <w:r>
        <w:rPr>
          <w:rFonts w:hint="eastAsia" w:ascii="黑体" w:eastAsia="黑体"/>
          <w:sz w:val="28"/>
        </w:rPr>
        <w:t>十五、付款方式：</w:t>
      </w:r>
      <w:r>
        <w:rPr>
          <w:rFonts w:hint="eastAsia" w:asciiTheme="minorEastAsia" w:hAnsiTheme="minorEastAsia" w:eastAsiaTheme="minorEastAsia"/>
          <w:sz w:val="24"/>
        </w:rPr>
        <w:t>详见项目要求。</w:t>
      </w:r>
    </w:p>
    <w:p>
      <w:pPr>
        <w:spacing w:line="600" w:lineRule="exact"/>
        <w:rPr>
          <w:rFonts w:ascii="黑体" w:eastAsia="黑体"/>
          <w:sz w:val="28"/>
        </w:rPr>
      </w:pPr>
      <w:r>
        <w:rPr>
          <w:rFonts w:hint="eastAsia" w:ascii="黑体" w:eastAsia="黑体"/>
          <w:sz w:val="28"/>
        </w:rPr>
        <w:t>十六、质量及验收：</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项目完毕后，中标方书面通知采购人验收，采购人依据为国家有关规定、招标文件、中标方的投标文件以及其他相关文件和资料，根据实际</w:t>
      </w:r>
      <w:r>
        <w:rPr>
          <w:rFonts w:hint="eastAsia" w:asciiTheme="minorEastAsia" w:hAnsiTheme="minorEastAsia" w:eastAsiaTheme="minorEastAsia"/>
          <w:sz w:val="24"/>
        </w:rPr>
        <w:t>参</w:t>
      </w:r>
      <w:r>
        <w:rPr>
          <w:rFonts w:asciiTheme="minorEastAsia" w:hAnsiTheme="minorEastAsia" w:eastAsiaTheme="minorEastAsia"/>
          <w:sz w:val="24"/>
        </w:rPr>
        <w:t>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pPr>
        <w:spacing w:line="600" w:lineRule="exact"/>
        <w:rPr>
          <w:rFonts w:ascii="黑体" w:eastAsia="黑体"/>
          <w:sz w:val="28"/>
        </w:rPr>
      </w:pPr>
      <w:r>
        <w:rPr>
          <w:rFonts w:hint="eastAsia" w:ascii="黑体" w:eastAsia="黑体"/>
          <w:sz w:val="28"/>
        </w:rPr>
        <w:t>十七、中标服务费：</w:t>
      </w:r>
    </w:p>
    <w:p>
      <w:pPr>
        <w:pStyle w:val="3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 xml:space="preserve">本次采购，江阴市公共资源交易中心为中标单位提供免费服务。 </w:t>
      </w:r>
    </w:p>
    <w:p>
      <w:pPr>
        <w:spacing w:line="400" w:lineRule="exact"/>
        <w:jc w:val="center"/>
        <w:outlineLvl w:val="0"/>
        <w:rPr>
          <w:rFonts w:ascii="黑体" w:hAnsi="楷体_GB2312" w:eastAsia="黑体"/>
          <w:sz w:val="30"/>
          <w:szCs w:val="30"/>
        </w:rPr>
      </w:pPr>
      <w:bookmarkStart w:id="31" w:name="_Toc251268361"/>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spacing w:line="400" w:lineRule="exact"/>
        <w:jc w:val="center"/>
        <w:outlineLvl w:val="0"/>
        <w:rPr>
          <w:rFonts w:ascii="黑体" w:hAnsi="楷体_GB2312" w:eastAsia="黑体"/>
          <w:sz w:val="30"/>
          <w:szCs w:val="30"/>
        </w:rPr>
      </w:pPr>
    </w:p>
    <w:p>
      <w:pPr>
        <w:pStyle w:val="2"/>
        <w:ind w:left="1470" w:right="1470"/>
      </w:pPr>
    </w:p>
    <w:p>
      <w:pPr>
        <w:pStyle w:val="2"/>
        <w:ind w:left="1470" w:right="1470"/>
      </w:pPr>
    </w:p>
    <w:p>
      <w:pPr>
        <w:spacing w:line="400" w:lineRule="exact"/>
        <w:jc w:val="both"/>
        <w:outlineLvl w:val="0"/>
        <w:rPr>
          <w:rFonts w:ascii="黑体" w:hAnsi="楷体_GB2312" w:eastAsia="黑体"/>
          <w:sz w:val="30"/>
          <w:szCs w:val="30"/>
        </w:rPr>
      </w:pPr>
    </w:p>
    <w:p>
      <w:pPr>
        <w:spacing w:line="400" w:lineRule="exact"/>
        <w:jc w:val="center"/>
        <w:outlineLvl w:val="0"/>
        <w:rPr>
          <w:rFonts w:ascii="楷体_GB2312" w:eastAsia="楷体_GB2312"/>
          <w:b/>
          <w:sz w:val="28"/>
          <w:szCs w:val="28"/>
        </w:rPr>
      </w:pPr>
      <w:r>
        <w:rPr>
          <w:rFonts w:hint="eastAsia" w:ascii="黑体" w:hAnsi="楷体_GB2312" w:eastAsia="黑体"/>
          <w:sz w:val="30"/>
          <w:szCs w:val="30"/>
        </w:rPr>
        <w:t>第四章　项目要求和有关说明</w:t>
      </w:r>
    </w:p>
    <w:p>
      <w:pPr>
        <w:spacing w:line="400" w:lineRule="exact"/>
        <w:jc w:val="center"/>
        <w:rPr>
          <w:rFonts w:asciiTheme="minorEastAsia" w:hAnsiTheme="minorEastAsia" w:eastAsiaTheme="minorEastAsia"/>
          <w:b/>
          <w:sz w:val="24"/>
        </w:rPr>
      </w:pPr>
      <w:bookmarkStart w:id="32" w:name="_Toc251268362"/>
      <w:r>
        <w:rPr>
          <w:rFonts w:hint="eastAsia" w:asciiTheme="minorEastAsia" w:hAnsiTheme="minorEastAsia" w:eastAsiaTheme="minorEastAsia"/>
          <w:b/>
          <w:sz w:val="24"/>
        </w:rPr>
        <w:t>（以下要求均为实质性要求）</w:t>
      </w:r>
    </w:p>
    <w:p>
      <w:pPr>
        <w:spacing w:line="400" w:lineRule="exact"/>
        <w:rPr>
          <w:rFonts w:ascii="黑体" w:hAnsi="黑体" w:eastAsia="黑体" w:cstheme="minorEastAsia"/>
          <w:bCs/>
          <w:sz w:val="28"/>
          <w:szCs w:val="28"/>
        </w:rPr>
      </w:pPr>
    </w:p>
    <w:p>
      <w:pPr>
        <w:spacing w:line="400" w:lineRule="exact"/>
        <w:rPr>
          <w:rFonts w:ascii="黑体" w:hAnsi="黑体" w:eastAsia="黑体" w:cstheme="minorEastAsia"/>
          <w:bCs/>
          <w:sz w:val="28"/>
          <w:szCs w:val="28"/>
        </w:rPr>
      </w:pPr>
      <w:r>
        <w:rPr>
          <w:rFonts w:hint="eastAsia" w:ascii="黑体" w:hAnsi="黑体" w:eastAsia="黑体" w:cstheme="minorEastAsia"/>
          <w:bCs/>
          <w:sz w:val="28"/>
          <w:szCs w:val="28"/>
        </w:rPr>
        <w:t>一、项目概况：</w:t>
      </w:r>
    </w:p>
    <w:p>
      <w:pPr>
        <w:adjustRightInd w:val="0"/>
        <w:snapToGrid w:val="0"/>
        <w:spacing w:line="400" w:lineRule="exact"/>
        <w:ind w:firstLine="480" w:firstLineChars="200"/>
        <w:rPr>
          <w:rFonts w:hint="eastAsia" w:ascii="宋体" w:hAnsi="宋体" w:eastAsia="宋体" w:cs="宋体"/>
          <w:color w:val="auto"/>
          <w:sz w:val="24"/>
          <w:highlight w:val="none"/>
        </w:rPr>
      </w:pPr>
      <w:r>
        <w:rPr>
          <w:rFonts w:hint="eastAsia" w:asciiTheme="minorEastAsia" w:hAnsiTheme="minorEastAsia" w:eastAsiaTheme="minorEastAsia"/>
          <w:sz w:val="24"/>
          <w:lang w:eastAsia="zh-CN"/>
        </w:rPr>
        <w:t>本项目为江阴市2022-2024年度路灯箱式变电站维护项目</w:t>
      </w:r>
      <w:r>
        <w:rPr>
          <w:rFonts w:hint="eastAsia" w:ascii="宋体" w:hAnsi="宋体" w:cs="宋体"/>
          <w:color w:val="auto"/>
          <w:sz w:val="24"/>
          <w:highlight w:val="none"/>
          <w:lang w:eastAsia="zh-CN"/>
        </w:rPr>
        <w:t>，</w:t>
      </w:r>
      <w:r>
        <w:rPr>
          <w:rFonts w:hint="eastAsia" w:asciiTheme="minorEastAsia" w:hAnsiTheme="minorEastAsia" w:eastAsiaTheme="minorEastAsia"/>
          <w:sz w:val="24"/>
          <w:lang w:eastAsia="zh-CN"/>
        </w:rPr>
        <w:t>本项目最高限价为1100000元（一年），包含维护168台箱式变电站、更换60扇箱门、箱变外壳做防水10台</w:t>
      </w:r>
      <w:r>
        <w:rPr>
          <w:rFonts w:hint="eastAsia" w:ascii="宋体" w:hAnsi="宋体" w:eastAsia="宋体" w:cs="宋体"/>
          <w:color w:val="auto"/>
          <w:sz w:val="24"/>
          <w:highlight w:val="none"/>
        </w:rPr>
        <w:t>。</w:t>
      </w:r>
    </w:p>
    <w:p>
      <w:pPr>
        <w:pStyle w:val="36"/>
        <w:spacing w:line="360" w:lineRule="exact"/>
        <w:ind w:firstLine="480"/>
        <w:rPr>
          <w:rFonts w:hint="eastAsia" w:ascii="宋体" w:hAnsi="宋体" w:eastAsia="宋体" w:cs="宋体"/>
          <w:sz w:val="24"/>
          <w:highlight w:val="none"/>
        </w:rPr>
      </w:pPr>
      <w:r>
        <w:rPr>
          <w:rFonts w:hint="eastAsia" w:asciiTheme="minorEastAsia" w:hAnsiTheme="minorEastAsia" w:eastAsiaTheme="minorEastAsia"/>
          <w:sz w:val="24"/>
          <w:lang w:eastAsia="zh-CN"/>
        </w:rPr>
        <w:t>灯箱式变电站维护项目</w:t>
      </w:r>
      <w:r>
        <w:rPr>
          <w:rFonts w:hint="eastAsia" w:ascii="宋体" w:hAnsi="宋体" w:eastAsia="宋体" w:cs="宋体"/>
          <w:sz w:val="24"/>
          <w:highlight w:val="none"/>
        </w:rPr>
        <w:t>包含两部分：</w:t>
      </w:r>
    </w:p>
    <w:p>
      <w:pPr>
        <w:pStyle w:val="36"/>
        <w:spacing w:line="360" w:lineRule="exact"/>
        <w:ind w:left="0" w:leftChars="0" w:firstLine="480" w:firstLineChars="200"/>
        <w:rPr>
          <w:rFonts w:hint="eastAsia" w:ascii="宋体" w:hAnsi="宋体" w:eastAsia="宋体" w:cs="宋体"/>
          <w:sz w:val="24"/>
          <w:highlight w:val="none"/>
          <w:lang w:eastAsia="zh-CN"/>
        </w:rPr>
      </w:pPr>
      <w:r>
        <w:rPr>
          <w:rFonts w:hint="eastAsia" w:cs="宋体"/>
          <w:sz w:val="24"/>
          <w:highlight w:val="none"/>
          <w:lang w:eastAsia="zh-CN"/>
        </w:rPr>
        <w:t>（</w:t>
      </w:r>
      <w:r>
        <w:rPr>
          <w:rFonts w:hint="eastAsia" w:ascii="宋体" w:hAnsi="宋体" w:eastAsia="宋体" w:cs="宋体"/>
          <w:sz w:val="24"/>
          <w:highlight w:val="none"/>
        </w:rPr>
        <w:t>1</w:t>
      </w:r>
      <w:r>
        <w:rPr>
          <w:rFonts w:hint="eastAsia" w:cs="宋体"/>
          <w:sz w:val="24"/>
          <w:highlight w:val="none"/>
          <w:lang w:eastAsia="zh-CN"/>
        </w:rPr>
        <w:t>）</w:t>
      </w:r>
      <w:r>
        <w:rPr>
          <w:rFonts w:hint="eastAsia" w:ascii="宋体" w:hAnsi="宋体" w:eastAsia="宋体" w:cs="宋体"/>
          <w:sz w:val="24"/>
          <w:highlight w:val="none"/>
        </w:rPr>
        <w:t>已进入维护期部分，该部分由</w:t>
      </w:r>
      <w:r>
        <w:rPr>
          <w:rFonts w:hint="eastAsia" w:ascii="宋体" w:hAnsi="宋体" w:eastAsia="宋体" w:cs="宋体"/>
          <w:sz w:val="24"/>
          <w:highlight w:val="none"/>
          <w:lang w:eastAsia="zh-CN"/>
        </w:rPr>
        <w:t>中标单位</w:t>
      </w:r>
      <w:r>
        <w:rPr>
          <w:rFonts w:hint="eastAsia" w:ascii="宋体" w:hAnsi="宋体" w:eastAsia="宋体" w:cs="宋体"/>
          <w:sz w:val="24"/>
          <w:highlight w:val="none"/>
        </w:rPr>
        <w:t>直接进行维护并结算维护费用</w:t>
      </w:r>
      <w:r>
        <w:rPr>
          <w:rFonts w:hint="eastAsia" w:cs="宋体"/>
          <w:sz w:val="24"/>
          <w:highlight w:val="none"/>
          <w:lang w:eastAsia="zh-CN"/>
        </w:rPr>
        <w:t>。</w:t>
      </w:r>
    </w:p>
    <w:p>
      <w:pPr>
        <w:pStyle w:val="36"/>
        <w:spacing w:line="360" w:lineRule="exact"/>
        <w:ind w:left="0" w:leftChars="0" w:firstLine="480" w:firstLineChars="200"/>
        <w:rPr>
          <w:rFonts w:hint="eastAsia" w:ascii="宋体" w:hAnsi="宋体" w:eastAsia="宋体" w:cs="宋体"/>
          <w:sz w:val="24"/>
          <w:highlight w:val="none"/>
        </w:rPr>
      </w:pPr>
      <w:r>
        <w:rPr>
          <w:rFonts w:hint="eastAsia" w:cs="宋体"/>
          <w:sz w:val="24"/>
          <w:highlight w:val="none"/>
          <w:lang w:eastAsia="zh-CN"/>
        </w:rPr>
        <w:t>（</w:t>
      </w:r>
      <w:r>
        <w:rPr>
          <w:rFonts w:hint="eastAsia" w:ascii="宋体" w:hAnsi="宋体" w:eastAsia="宋体" w:cs="宋体"/>
          <w:sz w:val="24"/>
          <w:highlight w:val="none"/>
        </w:rPr>
        <w:t>2</w:t>
      </w:r>
      <w:r>
        <w:rPr>
          <w:rFonts w:hint="eastAsia" w:cs="宋体"/>
          <w:sz w:val="24"/>
          <w:highlight w:val="none"/>
          <w:lang w:eastAsia="zh-CN"/>
        </w:rPr>
        <w:t>）</w:t>
      </w:r>
      <w:r>
        <w:rPr>
          <w:rFonts w:hint="eastAsia" w:ascii="宋体" w:hAnsi="宋体" w:eastAsia="宋体" w:cs="宋体"/>
          <w:sz w:val="24"/>
          <w:highlight w:val="none"/>
        </w:rPr>
        <w:t>未进入维护期部分，待办理相关移交手续后方可由</w:t>
      </w:r>
      <w:r>
        <w:rPr>
          <w:rFonts w:hint="eastAsia" w:ascii="宋体" w:hAnsi="宋体" w:eastAsia="宋体" w:cs="宋体"/>
          <w:sz w:val="24"/>
          <w:highlight w:val="none"/>
          <w:lang w:eastAsia="zh-CN"/>
        </w:rPr>
        <w:t>中标单位</w:t>
      </w:r>
      <w:r>
        <w:rPr>
          <w:rFonts w:hint="eastAsia" w:ascii="宋体" w:hAnsi="宋体" w:eastAsia="宋体" w:cs="宋体"/>
          <w:sz w:val="24"/>
          <w:highlight w:val="none"/>
        </w:rPr>
        <w:t>进行维护，维护费用根据实际维护时间和本次中标单价予以结算。</w:t>
      </w:r>
    </w:p>
    <w:p>
      <w:pPr>
        <w:adjustRightInd w:val="0"/>
        <w:snapToGrid w:val="0"/>
        <w:spacing w:line="40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eastAsia="zh-CN"/>
        </w:rPr>
        <w:t>投标单位报价时，必须在《报价明细表</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lang w:eastAsia="zh-CN"/>
        </w:rPr>
        <w:t>内分别填写维护、箱门更换、箱变外壳做防水的价格，且每项总价均不得超过限价，即维护报价不得超过950000元，箱门更换报价不得超过85000元，箱变外壳做防水报价不得超过65000元。（详见招标文件）</w:t>
      </w:r>
    </w:p>
    <w:p>
      <w:pPr>
        <w:pStyle w:val="2"/>
        <w:ind w:left="0" w:leftChars="0"/>
      </w:pPr>
    </w:p>
    <w:p>
      <w:pPr>
        <w:numPr>
          <w:ilvl w:val="0"/>
          <w:numId w:val="1"/>
        </w:numPr>
        <w:spacing w:line="400" w:lineRule="exact"/>
        <w:rPr>
          <w:rFonts w:ascii="黑体" w:hAnsi="宋体" w:eastAsia="黑体" w:cs="宋体"/>
          <w:bCs/>
          <w:sz w:val="28"/>
          <w:szCs w:val="28"/>
        </w:rPr>
      </w:pPr>
      <w:r>
        <w:rPr>
          <w:rFonts w:hint="eastAsia" w:ascii="黑体" w:hAnsi="宋体" w:eastAsia="黑体" w:cs="宋体"/>
          <w:bCs/>
          <w:sz w:val="28"/>
          <w:szCs w:val="28"/>
        </w:rPr>
        <w:t>项目</w:t>
      </w:r>
      <w:r>
        <w:rPr>
          <w:rFonts w:hint="eastAsia" w:ascii="黑体" w:hAnsi="宋体" w:eastAsia="黑体" w:cs="宋体"/>
          <w:bCs/>
          <w:sz w:val="28"/>
          <w:szCs w:val="28"/>
          <w:lang w:eastAsia="zh-CN"/>
        </w:rPr>
        <w:t>要求</w:t>
      </w:r>
    </w:p>
    <w:p>
      <w:pPr>
        <w:spacing w:line="360" w:lineRule="exact"/>
        <w:ind w:firstLine="480" w:firstLineChars="200"/>
        <w:rPr>
          <w:rFonts w:hint="eastAsia" w:ascii="宋体" w:hAnsi="宋体" w:eastAsia="宋体" w:cs="宋体"/>
          <w:bCs/>
          <w:sz w:val="24"/>
          <w:highlight w:val="none"/>
          <w:lang w:eastAsia="zh-CN"/>
        </w:rPr>
      </w:pPr>
      <w:r>
        <w:rPr>
          <w:rFonts w:hint="eastAsia" w:ascii="宋体" w:hAnsi="宋体" w:cs="宋体"/>
          <w:bCs/>
          <w:sz w:val="24"/>
          <w:highlight w:val="none"/>
          <w:lang w:eastAsia="zh-CN"/>
        </w:rPr>
        <w:t>（一）维护项目情况说明</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1、箱变</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与路灯、景观亮化维护单位的责任分界点是低压侧总刀闸或总控开关上端。</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2、维护标段内的路灯箱变不论规格大小均按一台计算。</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3、各维护标段内的新建路灯箱变在保修期满移交验收合格后由该片区</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负责维修，维护费用按中标价及实际维护时间计算。</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4、目前已纳入维护的路灯箱变</w:t>
      </w:r>
      <w:r>
        <w:rPr>
          <w:rFonts w:hint="eastAsia" w:ascii="宋体" w:hAnsi="宋体" w:eastAsia="宋体" w:cs="宋体"/>
          <w:sz w:val="24"/>
          <w:highlight w:val="none"/>
        </w:rPr>
        <w:t>明细</w:t>
      </w:r>
      <w:r>
        <w:rPr>
          <w:rFonts w:hint="eastAsia" w:ascii="宋体" w:hAnsi="宋体" w:eastAsia="宋体" w:cs="宋体"/>
          <w:b/>
          <w:sz w:val="24"/>
          <w:highlight w:val="none"/>
        </w:rPr>
        <w:t>见附件</w:t>
      </w:r>
      <w:r>
        <w:rPr>
          <w:rFonts w:hint="eastAsia" w:ascii="宋体" w:hAnsi="宋体" w:eastAsia="宋体" w:cs="宋体"/>
          <w:b/>
          <w:sz w:val="24"/>
          <w:highlight w:val="none"/>
          <w:lang w:val="en-US" w:eastAsia="zh-CN"/>
        </w:rPr>
        <w:t>3</w:t>
      </w:r>
      <w:r>
        <w:rPr>
          <w:rFonts w:hint="eastAsia" w:ascii="宋体" w:hAnsi="宋体" w:eastAsia="宋体" w:cs="宋体"/>
          <w:sz w:val="24"/>
          <w:highlight w:val="none"/>
        </w:rPr>
        <w:t>。</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w:t>
      </w:r>
      <w:r>
        <w:rPr>
          <w:rFonts w:hint="eastAsia" w:ascii="宋体" w:hAnsi="宋体" w:cs="宋体"/>
          <w:b/>
          <w:bCs/>
          <w:sz w:val="24"/>
          <w:highlight w:val="none"/>
          <w:lang w:eastAsia="zh-CN"/>
        </w:rPr>
        <w:t>二</w:t>
      </w:r>
      <w:r>
        <w:rPr>
          <w:rFonts w:hint="eastAsia" w:ascii="宋体" w:hAnsi="宋体" w:eastAsia="宋体" w:cs="宋体"/>
          <w:b/>
          <w:bCs/>
          <w:sz w:val="24"/>
          <w:highlight w:val="none"/>
        </w:rPr>
        <w:t>）箱变设施的日常操作和维护管理</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A、维护主要内容：</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负责对所有路灯箱变的检查调试维修，电气元件更换（包括高压进线电缆等）；</w:t>
      </w:r>
    </w:p>
    <w:p>
      <w:pPr>
        <w:spacing w:line="36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负责箱变外壳整体的维护（包括低压室箱门等）；</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负责对所有路灯箱变进行预防性试验。（三年内对所有路灯箱变做到一次）</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运行值班：</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除正常维护外，还需做好各项领导检查、重大活动及节日保障活动；做好防盗工作，承担维护范围内发生的失窃、人为破坏等管护责任；</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B、保洁工作：</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负责路灯箱变的清洁工作；</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C、日常巡检：</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巡检人员每日都要对管辖内设备进行巡视检查，管理人员要保持24小时通讯畅通；</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定期进行电气元件、电气设备、电缆等运行参数检测、漏电安全检测、灵敏度检测、绝缘检测、老化检测；</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巡查设施运行情况、观察有无异常振动及噪声，检查电气控制柜中元件有无发黑的触点，电缆、电线是否有过热、变色、烧焦等现象；</w:t>
      </w:r>
    </w:p>
    <w:p>
      <w:pPr>
        <w:spacing w:line="4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维护期限内发生偷盗、车损、人为破坏</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含其他单位工程施工</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等非正常损坏</w:t>
      </w:r>
      <w:r>
        <w:rPr>
          <w:rFonts w:hint="eastAsia" w:ascii="宋体" w:hAnsi="宋体" w:eastAsia="宋体" w:cs="宋体"/>
          <w:bCs/>
          <w:sz w:val="24"/>
          <w:highlight w:val="none"/>
          <w:lang w:val="en-US" w:eastAsia="zh-CN"/>
        </w:rPr>
        <w:t>等</w:t>
      </w:r>
      <w:r>
        <w:rPr>
          <w:rFonts w:hint="eastAsia" w:ascii="宋体" w:hAnsi="宋体" w:eastAsia="宋体" w:cs="宋体"/>
          <w:bCs/>
          <w:sz w:val="24"/>
          <w:highlight w:val="none"/>
        </w:rPr>
        <w:t>由</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承担修复的所有费用（含修复时人行道板、绿化带开挖等造成的损失）。非正常损坏必须在第一时间内向采购人管理人员反映，同时向辖区内派出所报案</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并采取措施与肇事方协调解决，积极组织修复。</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D、故障维修说明：</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制定相关应急预案，如有意外事故发生应采取紧急处理措施，防止事故扩大化；</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进行维修更换作业时，应尊重原设计，尽可能原样恢复。特殊情况下，经采购人许可，方可使用替代品，但造价、品牌、质量不得低于原设计的材料设备质量标准；</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现场须有足够的备品备件，备品备件使用后要立即补足；</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人员及</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委派人员均须服从采购人代表及采购人现场派驻人员的管理，采购人现场派驻人员负责对</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日常维护工作进行监督、检查、维修工作量审核确定等工作；</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E、纪律约束：</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采购人有权对路灯箱变设施进行改造，</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须配合采购人工作，并对变更设施量继续承担维护责任；</w:t>
      </w:r>
    </w:p>
    <w:p>
      <w:pPr>
        <w:spacing w:line="40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须确保</w:t>
      </w:r>
      <w:r>
        <w:rPr>
          <w:rFonts w:hint="eastAsia" w:ascii="宋体" w:hAnsi="宋体" w:eastAsia="宋体" w:cs="宋体"/>
          <w:bCs/>
          <w:sz w:val="24"/>
          <w:highlight w:val="none"/>
          <w:lang w:val="en-US" w:eastAsia="zh-CN"/>
        </w:rPr>
        <w:t>箱变</w:t>
      </w:r>
      <w:r>
        <w:rPr>
          <w:rFonts w:hint="eastAsia" w:ascii="宋体" w:hAnsi="宋体" w:eastAsia="宋体" w:cs="宋体"/>
          <w:bCs/>
          <w:sz w:val="24"/>
          <w:highlight w:val="none"/>
        </w:rPr>
        <w:t>设施正常运行，确保现场维护人员</w:t>
      </w:r>
      <w:r>
        <w:rPr>
          <w:rFonts w:hint="eastAsia" w:ascii="宋体" w:hAnsi="宋体" w:eastAsia="宋体" w:cs="宋体"/>
          <w:bCs/>
          <w:sz w:val="24"/>
          <w:highlight w:val="none"/>
          <w:lang w:val="en-US" w:eastAsia="zh-CN"/>
        </w:rPr>
        <w:t>及其他人员</w:t>
      </w:r>
      <w:r>
        <w:rPr>
          <w:rFonts w:hint="eastAsia" w:ascii="宋体" w:hAnsi="宋体" w:eastAsia="宋体" w:cs="宋体"/>
          <w:bCs/>
          <w:sz w:val="24"/>
          <w:highlight w:val="none"/>
        </w:rPr>
        <w:t>的安全，“无论何种原因”，发生人身安全</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财产损失</w:t>
      </w:r>
      <w:r>
        <w:rPr>
          <w:rFonts w:hint="eastAsia" w:ascii="宋体" w:hAnsi="宋体" w:eastAsia="宋体" w:cs="宋体"/>
          <w:bCs/>
          <w:sz w:val="24"/>
          <w:highlight w:val="none"/>
        </w:rPr>
        <w:t>等责任事故，</w:t>
      </w:r>
      <w:r>
        <w:rPr>
          <w:rFonts w:hint="eastAsia" w:ascii="宋体" w:hAnsi="宋体" w:cs="宋体"/>
          <w:bCs/>
          <w:color w:val="auto"/>
          <w:sz w:val="24"/>
          <w:highlight w:val="none"/>
          <w:lang w:eastAsia="zh-CN"/>
        </w:rPr>
        <w:t>一切损失</w:t>
      </w:r>
      <w:r>
        <w:rPr>
          <w:rFonts w:hint="eastAsia" w:ascii="宋体" w:hAnsi="宋体" w:eastAsia="宋体" w:cs="宋体"/>
          <w:bCs/>
          <w:color w:val="auto"/>
          <w:sz w:val="24"/>
          <w:highlight w:val="none"/>
        </w:rPr>
        <w:t>均由</w:t>
      </w:r>
      <w:r>
        <w:rPr>
          <w:rFonts w:hint="eastAsia" w:ascii="宋体" w:hAnsi="宋体" w:eastAsia="宋体" w:cs="宋体"/>
          <w:bCs/>
          <w:color w:val="auto"/>
          <w:sz w:val="24"/>
          <w:highlight w:val="none"/>
          <w:lang w:eastAsia="zh-CN"/>
        </w:rPr>
        <w:t>中标单位</w:t>
      </w:r>
      <w:r>
        <w:rPr>
          <w:rFonts w:hint="eastAsia" w:ascii="宋体" w:hAnsi="宋体" w:eastAsia="宋体" w:cs="宋体"/>
          <w:bCs/>
          <w:color w:val="auto"/>
          <w:sz w:val="24"/>
          <w:highlight w:val="none"/>
        </w:rPr>
        <w:t>承担</w:t>
      </w:r>
      <w:r>
        <w:rPr>
          <w:rFonts w:hint="eastAsia" w:ascii="宋体" w:hAnsi="宋体" w:eastAsia="宋体" w:cs="宋体"/>
          <w:bCs/>
          <w:sz w:val="24"/>
          <w:highlight w:val="none"/>
        </w:rPr>
        <w:t>。</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F、安全生产：</w:t>
      </w:r>
    </w:p>
    <w:p>
      <w:pPr>
        <w:spacing w:line="360" w:lineRule="exact"/>
        <w:ind w:firstLine="482" w:firstLineChars="200"/>
        <w:rPr>
          <w:rFonts w:hint="eastAsia" w:ascii="宋体" w:hAnsi="宋体" w:eastAsia="宋体" w:cs="宋体"/>
          <w:b/>
          <w:bCs w:val="0"/>
          <w:sz w:val="24"/>
          <w:highlight w:val="none"/>
        </w:rPr>
      </w:pPr>
      <w:r>
        <w:rPr>
          <w:rFonts w:hint="eastAsia" w:ascii="宋体" w:hAnsi="宋体" w:eastAsia="宋体" w:cs="宋体"/>
          <w:b/>
          <w:bCs w:val="0"/>
          <w:sz w:val="24"/>
          <w:highlight w:val="none"/>
          <w:lang w:eastAsia="zh-CN"/>
        </w:rPr>
        <w:t>中标单位</w:t>
      </w:r>
      <w:r>
        <w:rPr>
          <w:rFonts w:hint="eastAsia" w:ascii="宋体" w:hAnsi="宋体" w:eastAsia="宋体" w:cs="宋体"/>
          <w:b/>
          <w:bCs w:val="0"/>
          <w:sz w:val="24"/>
          <w:highlight w:val="none"/>
        </w:rPr>
        <w:t>应严格按照相关安全规范和要求维护本项目，认真做好本项目的安全工作，</w:t>
      </w:r>
      <w:r>
        <w:rPr>
          <w:rFonts w:hint="eastAsia" w:ascii="宋体" w:hAnsi="宋体" w:eastAsia="宋体" w:cs="宋体"/>
          <w:b/>
          <w:bCs w:val="0"/>
          <w:sz w:val="24"/>
          <w:highlight w:val="none"/>
          <w:lang w:eastAsia="zh-CN"/>
        </w:rPr>
        <w:t>维护</w:t>
      </w:r>
      <w:r>
        <w:rPr>
          <w:rFonts w:hint="eastAsia" w:ascii="宋体" w:hAnsi="宋体" w:eastAsia="宋体" w:cs="宋体"/>
          <w:b/>
          <w:bCs w:val="0"/>
          <w:sz w:val="24"/>
          <w:highlight w:val="none"/>
        </w:rPr>
        <w:t>期间所发生的一切安全事故均由</w:t>
      </w:r>
      <w:r>
        <w:rPr>
          <w:rFonts w:hint="eastAsia" w:ascii="宋体" w:hAnsi="宋体" w:eastAsia="宋体" w:cs="宋体"/>
          <w:b/>
          <w:bCs w:val="0"/>
          <w:sz w:val="24"/>
          <w:highlight w:val="none"/>
          <w:lang w:eastAsia="zh-CN"/>
        </w:rPr>
        <w:t>中标单位</w:t>
      </w:r>
      <w:r>
        <w:rPr>
          <w:rFonts w:hint="eastAsia" w:ascii="宋体" w:hAnsi="宋体" w:eastAsia="宋体" w:cs="宋体"/>
          <w:b/>
          <w:bCs w:val="0"/>
          <w:sz w:val="24"/>
          <w:highlight w:val="none"/>
        </w:rPr>
        <w:t>自行负责。</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应结合本项目特点制定健全的安全管理制度和安全生产责任制。安全管理制度至少应包括员工安全教育、安全检查、车辆安全管理、工器具的安全管理、安全防护用品的管理、安全操作规程、安全事故的处理等内容。</w:t>
      </w:r>
    </w:p>
    <w:p>
      <w:pPr>
        <w:spacing w:line="360" w:lineRule="exact"/>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应建立有效的安全管控体系，且控制措施到位完善</w:t>
      </w:r>
      <w:r>
        <w:rPr>
          <w:rFonts w:hint="eastAsia" w:ascii="宋体" w:hAnsi="宋体" w:eastAsia="宋体" w:cs="宋体"/>
          <w:bCs/>
          <w:sz w:val="24"/>
          <w:highlight w:val="none"/>
          <w:lang w:eastAsia="zh-CN"/>
        </w:rPr>
        <w:t>。</w:t>
      </w:r>
    </w:p>
    <w:p>
      <w:pPr>
        <w:spacing w:line="360" w:lineRule="exact"/>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应编制有效合理的应急预案，并有计划的定期组织演练</w:t>
      </w:r>
      <w:r>
        <w:rPr>
          <w:rFonts w:hint="eastAsia" w:ascii="宋体" w:hAnsi="宋体" w:eastAsia="宋体" w:cs="宋体"/>
          <w:bCs/>
          <w:sz w:val="24"/>
          <w:highlight w:val="none"/>
          <w:lang w:eastAsia="zh-CN"/>
        </w:rPr>
        <w:t>。</w:t>
      </w:r>
    </w:p>
    <w:p>
      <w:pPr>
        <w:spacing w:line="360" w:lineRule="exact"/>
        <w:ind w:firstLine="480" w:firstLineChars="20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应有计划的进行定期和不定期的设施隐患排查，并及时上报和整改</w:t>
      </w:r>
      <w:r>
        <w:rPr>
          <w:rFonts w:hint="eastAsia" w:ascii="宋体" w:hAnsi="宋体" w:eastAsia="宋体" w:cs="宋体"/>
          <w:bCs/>
          <w:sz w:val="24"/>
          <w:highlight w:val="none"/>
          <w:lang w:eastAsia="zh-CN"/>
        </w:rPr>
        <w:t>。</w:t>
      </w:r>
    </w:p>
    <w:p>
      <w:pPr>
        <w:pStyle w:val="36"/>
        <w:spacing w:line="400" w:lineRule="exact"/>
        <w:ind w:firstLine="480"/>
        <w:rPr>
          <w:rFonts w:hint="eastAsia" w:ascii="宋体" w:hAnsi="宋体" w:eastAsia="宋体" w:cs="宋体"/>
          <w:b/>
          <w:bCs/>
          <w:color w:val="auto"/>
          <w:sz w:val="24"/>
          <w:highlight w:val="none"/>
          <w:u w:val="none"/>
          <w:lang w:val="en-US" w:eastAsia="zh-CN"/>
        </w:rPr>
      </w:pPr>
      <w:r>
        <w:rPr>
          <w:rFonts w:hint="eastAsia" w:ascii="宋体" w:hAnsi="宋体" w:eastAsia="宋体" w:cs="宋体"/>
          <w:b/>
          <w:bCs/>
          <w:color w:val="auto"/>
          <w:sz w:val="24"/>
          <w:highlight w:val="none"/>
          <w:u w:val="none"/>
          <w:lang w:val="en-US" w:eastAsia="zh-CN"/>
        </w:rPr>
        <w:t>除日常维护外，中标单位必须根据采购人的要求完成以下任务：</w:t>
      </w:r>
    </w:p>
    <w:p>
      <w:pPr>
        <w:numPr>
          <w:ilvl w:val="0"/>
          <w:numId w:val="0"/>
        </w:numPr>
        <w:spacing w:line="400" w:lineRule="exact"/>
        <w:ind w:firstLine="482" w:firstLineChars="200"/>
        <w:rPr>
          <w:rFonts w:hint="eastAsia" w:ascii="宋体" w:hAnsi="宋体" w:cs="宋体"/>
          <w:b/>
          <w:bCs/>
          <w:sz w:val="24"/>
        </w:rPr>
      </w:pPr>
      <w:r>
        <w:rPr>
          <w:rFonts w:hint="eastAsia" w:ascii="宋体" w:hAnsi="宋体" w:cs="宋体"/>
          <w:b/>
          <w:bCs/>
          <w:sz w:val="24"/>
          <w:lang w:val="en-US" w:eastAsia="zh-CN"/>
        </w:rPr>
        <w:t>1、</w:t>
      </w:r>
      <w:r>
        <w:rPr>
          <w:rFonts w:hint="eastAsia" w:ascii="宋体" w:hAnsi="宋体" w:cs="宋体"/>
          <w:b/>
          <w:bCs/>
          <w:sz w:val="24"/>
        </w:rPr>
        <w:t>每年更换维护范围内箱式变电站的箱门60扇（箱门、门框等均需采用铝合金材质）。具体更换的及完成时间中标后根据采购人发出的任务单为准。（箱门的具体要求详见附件1）</w:t>
      </w:r>
      <w:r>
        <w:rPr>
          <w:rFonts w:hint="eastAsia" w:ascii="宋体" w:hAnsi="宋体" w:cs="宋体"/>
          <w:b/>
          <w:bCs/>
          <w:sz w:val="24"/>
        </w:rPr>
        <w:br w:type="textWrapping"/>
      </w:r>
      <w:r>
        <w:rPr>
          <w:rFonts w:hint="eastAsia" w:ascii="宋体" w:hAnsi="宋体" w:cs="宋体"/>
          <w:b/>
          <w:bCs/>
          <w:sz w:val="24"/>
          <w:lang w:val="en-US" w:eastAsia="zh-CN"/>
        </w:rPr>
        <w:t xml:space="preserve">    2、</w:t>
      </w:r>
      <w:r>
        <w:rPr>
          <w:rFonts w:hint="eastAsia" w:ascii="宋体" w:hAnsi="宋体" w:cs="宋体"/>
          <w:b/>
          <w:bCs/>
          <w:sz w:val="24"/>
        </w:rPr>
        <w:t>每年对维护范围内的10台箱式变电站外壳做防水。具体做防水的箱变清单及完成时间中标后根据采购人发出的任务单为准。（防水的具体要求详见附件2）</w:t>
      </w:r>
    </w:p>
    <w:p>
      <w:pPr>
        <w:numPr>
          <w:ilvl w:val="0"/>
          <w:numId w:val="0"/>
        </w:numPr>
        <w:spacing w:line="400" w:lineRule="exact"/>
        <w:rPr>
          <w:rFonts w:ascii="宋体" w:hAnsi="宋体" w:cs="宋体"/>
          <w:b/>
          <w:bCs/>
          <w:sz w:val="24"/>
        </w:rPr>
      </w:pPr>
      <w:r>
        <w:rPr>
          <w:rFonts w:hint="eastAsia" w:ascii="宋体" w:hAnsi="宋体" w:cs="宋体"/>
          <w:b/>
          <w:bCs/>
          <w:sz w:val="24"/>
        </w:rPr>
        <w:t>（</w:t>
      </w:r>
      <w:r>
        <w:rPr>
          <w:rFonts w:hint="eastAsia" w:ascii="宋体" w:hAnsi="宋体" w:cs="宋体"/>
          <w:b/>
          <w:bCs/>
          <w:sz w:val="24"/>
          <w:lang w:eastAsia="zh-CN"/>
        </w:rPr>
        <w:t>三</w:t>
      </w:r>
      <w:r>
        <w:rPr>
          <w:rFonts w:hint="eastAsia" w:ascii="宋体" w:hAnsi="宋体" w:cs="宋体"/>
          <w:b/>
          <w:bCs/>
          <w:sz w:val="24"/>
        </w:rPr>
        <w:t>）</w:t>
      </w:r>
      <w:r>
        <w:rPr>
          <w:rFonts w:hint="eastAsia" w:ascii="宋体" w:hAnsi="宋体" w:cs="宋体"/>
          <w:b/>
          <w:bCs/>
          <w:sz w:val="24"/>
          <w:lang w:eastAsia="zh-CN"/>
        </w:rPr>
        <w:t>中标单位</w:t>
      </w:r>
      <w:r>
        <w:rPr>
          <w:rFonts w:hint="eastAsia" w:ascii="宋体" w:hAnsi="宋体" w:cs="宋体"/>
          <w:b/>
          <w:bCs/>
          <w:sz w:val="24"/>
          <w:lang w:val="en-US" w:eastAsia="zh-CN"/>
        </w:rPr>
        <w:t>项目部</w:t>
      </w:r>
      <w:r>
        <w:rPr>
          <w:rFonts w:hint="eastAsia" w:ascii="宋体" w:hAnsi="宋体" w:cs="宋体"/>
          <w:b/>
          <w:bCs/>
          <w:sz w:val="24"/>
        </w:rPr>
        <w:t>及相关设备配备要求：</w:t>
      </w:r>
    </w:p>
    <w:p>
      <w:pPr>
        <w:spacing w:line="400" w:lineRule="exact"/>
        <w:ind w:firstLine="480" w:firstLineChars="200"/>
        <w:rPr>
          <w:rFonts w:ascii="宋体" w:hAnsi="宋体" w:cs="宋体"/>
          <w:bCs/>
          <w:sz w:val="24"/>
        </w:rPr>
      </w:pPr>
      <w:r>
        <w:rPr>
          <w:rFonts w:hint="eastAsia" w:ascii="宋体" w:hAnsi="宋体" w:cs="宋体"/>
          <w:bCs/>
          <w:sz w:val="24"/>
        </w:rPr>
        <w:t>1、项目经理具备注册建造师（</w:t>
      </w:r>
      <w:r>
        <w:rPr>
          <w:rFonts w:hint="eastAsia" w:ascii="宋体" w:hAnsi="宋体" w:cs="宋体"/>
          <w:bCs/>
          <w:sz w:val="24"/>
          <w:szCs w:val="28"/>
        </w:rPr>
        <w:t>机电工程专业</w:t>
      </w:r>
      <w:r>
        <w:rPr>
          <w:rFonts w:hint="eastAsia" w:ascii="宋体" w:hAnsi="宋体" w:cs="宋体"/>
          <w:bCs/>
          <w:sz w:val="24"/>
        </w:rPr>
        <w:t>）资格，有独立承担类似项目的业绩，中标后需常驻江阴。</w:t>
      </w:r>
      <w:r>
        <w:rPr>
          <w:rFonts w:hint="eastAsia" w:ascii="宋体" w:hAnsi="宋体"/>
          <w:sz w:val="24"/>
        </w:rPr>
        <w:t>【</w:t>
      </w:r>
      <w:r>
        <w:rPr>
          <w:rFonts w:hint="eastAsia" w:ascii="宋体" w:hAnsi="宋体" w:cs="宋体"/>
          <w:bCs/>
          <w:sz w:val="24"/>
        </w:rPr>
        <w:t>项目经理</w:t>
      </w:r>
      <w:r>
        <w:rPr>
          <w:rFonts w:hint="eastAsia" w:ascii="宋体" w:hAnsi="宋体"/>
          <w:sz w:val="24"/>
        </w:rPr>
        <w:t>须提供</w:t>
      </w:r>
      <w:r>
        <w:rPr>
          <w:rFonts w:hint="eastAsia" w:asciiTheme="minorEastAsia" w:hAnsiTheme="minorEastAsia" w:eastAsiaTheme="minorEastAsia"/>
          <w:bCs/>
          <w:sz w:val="24"/>
        </w:rPr>
        <w:t>证书复印件及</w:t>
      </w:r>
      <w:r>
        <w:rPr>
          <w:rFonts w:hint="eastAsia" w:ascii="宋体" w:hAnsi="宋体"/>
          <w:sz w:val="24"/>
        </w:rPr>
        <w:t>本单位连续6个月（且至少包含近3个月中任意1个月份&lt;不含投标当月&gt;）为其缴纳社保的证明复印件】</w:t>
      </w:r>
    </w:p>
    <w:p>
      <w:pPr>
        <w:spacing w:line="400" w:lineRule="exact"/>
        <w:ind w:firstLine="480" w:firstLineChars="200"/>
        <w:rPr>
          <w:rFonts w:hint="eastAsia" w:ascii="宋体" w:hAnsi="宋体" w:eastAsia="宋体" w:cs="宋体"/>
          <w:bCs/>
          <w:sz w:val="24"/>
          <w:lang w:eastAsia="zh-CN"/>
        </w:rPr>
      </w:pPr>
      <w:r>
        <w:rPr>
          <w:rFonts w:hint="eastAsia" w:ascii="宋体" w:hAnsi="宋体" w:cs="宋体"/>
          <w:bCs/>
          <w:sz w:val="24"/>
        </w:rPr>
        <w:t>维护期间要保持现场值班人员、维护队伍的稳定，</w:t>
      </w:r>
      <w:r>
        <w:rPr>
          <w:rFonts w:hint="eastAsia" w:ascii="宋体" w:hAnsi="宋体" w:eastAsia="宋体" w:cs="宋体"/>
          <w:bCs/>
          <w:sz w:val="24"/>
          <w:highlight w:val="none"/>
        </w:rPr>
        <w:t>投标文件中所承诺的项目部常驻现场人员（包括项目经理、技术负责人、专职安全员、质检员、技术工人等），不征得采购人同意不得变更</w:t>
      </w:r>
      <w:r>
        <w:rPr>
          <w:rFonts w:hint="eastAsia" w:ascii="宋体" w:hAnsi="宋体" w:cs="宋体"/>
          <w:bCs/>
          <w:sz w:val="24"/>
          <w:highlight w:val="none"/>
          <w:lang w:eastAsia="zh-CN"/>
        </w:rPr>
        <w:t>。</w:t>
      </w:r>
    </w:p>
    <w:p>
      <w:pPr>
        <w:spacing w:line="4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2、该项目承担众多重大保障任务，</w:t>
      </w:r>
      <w:r>
        <w:rPr>
          <w:rFonts w:hint="eastAsia" w:ascii="宋体" w:hAnsi="宋体" w:eastAsia="宋体" w:cs="宋体"/>
          <w:bCs/>
          <w:color w:val="auto"/>
          <w:sz w:val="24"/>
          <w:highlight w:val="none"/>
          <w:lang w:eastAsia="zh-CN"/>
        </w:rPr>
        <w:t>中标单位</w:t>
      </w:r>
      <w:r>
        <w:rPr>
          <w:rFonts w:hint="eastAsia" w:ascii="宋体" w:hAnsi="宋体" w:eastAsia="宋体" w:cs="宋体"/>
          <w:bCs/>
          <w:color w:val="auto"/>
          <w:sz w:val="24"/>
          <w:highlight w:val="none"/>
        </w:rPr>
        <w:t>人员的技能水平、个人</w:t>
      </w:r>
      <w:r>
        <w:rPr>
          <w:rFonts w:hint="eastAsia" w:ascii="宋体" w:hAnsi="宋体" w:eastAsia="宋体" w:cs="宋体"/>
          <w:bCs/>
          <w:color w:val="auto"/>
          <w:sz w:val="24"/>
          <w:highlight w:val="none"/>
          <w:lang w:val="en-US" w:eastAsia="zh-CN"/>
        </w:rPr>
        <w:t>素养</w:t>
      </w:r>
      <w:r>
        <w:rPr>
          <w:rFonts w:hint="eastAsia" w:ascii="宋体" w:hAnsi="宋体" w:eastAsia="宋体" w:cs="宋体"/>
          <w:bCs/>
          <w:color w:val="auto"/>
          <w:sz w:val="24"/>
          <w:highlight w:val="none"/>
        </w:rPr>
        <w:t>、责任意识、服务态度等均要符合采购人要求。基本要求如下：</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（1）统一服装、配戴胸卡、具备良好的精神风貌。</w:t>
      </w:r>
    </w:p>
    <w:p>
      <w:pPr>
        <w:spacing w:line="40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sz w:val="24"/>
          <w:highlight w:val="none"/>
        </w:rPr>
        <w:t>（2）项目部总人数不得少于</w:t>
      </w:r>
      <w:r>
        <w:rPr>
          <w:rFonts w:hint="eastAsia" w:ascii="宋体" w:hAnsi="宋体" w:eastAsia="宋体" w:cs="宋体"/>
          <w:bCs/>
          <w:sz w:val="24"/>
          <w:highlight w:val="none"/>
          <w:lang w:val="en-US" w:eastAsia="zh-CN"/>
        </w:rPr>
        <w:t>9</w:t>
      </w:r>
      <w:r>
        <w:rPr>
          <w:rFonts w:hint="eastAsia" w:ascii="宋体" w:hAnsi="宋体" w:eastAsia="宋体" w:cs="宋体"/>
          <w:bCs/>
          <w:sz w:val="24"/>
          <w:highlight w:val="none"/>
        </w:rPr>
        <w:t>人（包括项目经理、技术负责人、专职安全员、质检员、技术工人等），常驻人员</w:t>
      </w:r>
      <w:r>
        <w:rPr>
          <w:rFonts w:hint="eastAsia" w:ascii="宋体" w:hAnsi="宋体" w:eastAsia="宋体" w:cs="宋体"/>
          <w:bCs/>
          <w:sz w:val="24"/>
          <w:highlight w:val="none"/>
          <w:lang w:val="en-US" w:eastAsia="zh-CN"/>
        </w:rPr>
        <w:t>不得少于6人，</w:t>
      </w:r>
      <w:r>
        <w:rPr>
          <w:rFonts w:hint="eastAsia" w:ascii="宋体" w:hAnsi="宋体" w:eastAsia="宋体" w:cs="宋体"/>
          <w:bCs/>
          <w:sz w:val="24"/>
          <w:highlight w:val="none"/>
        </w:rPr>
        <w:t>尽可能一专多能，无证不得上岗。</w:t>
      </w:r>
    </w:p>
    <w:p>
      <w:pPr>
        <w:spacing w:line="360" w:lineRule="exact"/>
        <w:ind w:firstLine="480" w:firstLineChars="200"/>
        <w:rPr>
          <w:rFonts w:hint="eastAsia" w:ascii="宋体" w:hAnsi="宋体" w:eastAsia="宋体" w:cs="宋体"/>
          <w:sz w:val="24"/>
          <w:szCs w:val="28"/>
          <w:highlight w:val="none"/>
        </w:rPr>
      </w:pPr>
      <w:r>
        <w:rPr>
          <w:rFonts w:hint="eastAsia" w:ascii="宋体" w:hAnsi="宋体" w:eastAsia="宋体" w:cs="宋体"/>
          <w:bCs/>
          <w:sz w:val="24"/>
          <w:highlight w:val="none"/>
        </w:rPr>
        <w:t>3、</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需结合现场设施情况有针对性的建立完善的维护管理制度及工作台帐，至少包括以下内容：</w:t>
      </w:r>
      <w:r>
        <w:rPr>
          <w:rFonts w:hint="eastAsia" w:ascii="宋体" w:hAnsi="宋体" w:eastAsia="宋体" w:cs="宋体"/>
          <w:sz w:val="24"/>
          <w:szCs w:val="28"/>
          <w:highlight w:val="none"/>
        </w:rPr>
        <w:t>人员岗位管理、考勤值班、日常巡修、施工质量管理、服务承诺、安全生产管理、抢修应急预案、技术人员管理培训、设备材料管理、内部资料档案管理、</w:t>
      </w:r>
      <w:r>
        <w:rPr>
          <w:rFonts w:hint="eastAsia" w:ascii="宋体" w:hAnsi="宋体" w:eastAsia="宋体" w:cs="宋体"/>
          <w:sz w:val="24"/>
          <w:szCs w:val="28"/>
          <w:highlight w:val="none"/>
          <w:lang w:val="en-US" w:eastAsia="zh-CN"/>
        </w:rPr>
        <w:t>内部考核</w:t>
      </w:r>
      <w:r>
        <w:rPr>
          <w:rFonts w:hint="eastAsia" w:ascii="宋体" w:hAnsi="宋体" w:eastAsia="宋体" w:cs="宋体"/>
          <w:sz w:val="24"/>
          <w:szCs w:val="28"/>
          <w:highlight w:val="none"/>
        </w:rPr>
        <w:t>等各项制度，</w:t>
      </w:r>
      <w:r>
        <w:rPr>
          <w:rFonts w:hint="eastAsia" w:ascii="宋体" w:hAnsi="宋体" w:eastAsia="宋体" w:cs="宋体"/>
          <w:bCs/>
          <w:sz w:val="24"/>
          <w:highlight w:val="none"/>
        </w:rPr>
        <w:t>台帐格式需经采购人确认后实施。</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需配备巡检抢修车辆、重型专项作业车设备、电缆、电器件等易损易耗件、以及常用维修检测工具、电工工具、安全防护工具等（以上维护设施、备品备件需在投标文件中列清单反映并常备于维护现场，使用后应及时补充，采购人将定期检查考核）。</w:t>
      </w:r>
    </w:p>
    <w:p>
      <w:pPr>
        <w:spacing w:line="36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w:t>
      </w:r>
      <w:r>
        <w:rPr>
          <w:rFonts w:hint="eastAsia" w:ascii="宋体" w:hAnsi="宋体" w:cs="宋体"/>
          <w:b/>
          <w:bCs/>
          <w:sz w:val="24"/>
          <w:highlight w:val="none"/>
          <w:lang w:eastAsia="zh-CN"/>
        </w:rPr>
        <w:t>四</w:t>
      </w:r>
      <w:r>
        <w:rPr>
          <w:rFonts w:hint="eastAsia" w:ascii="宋体" w:hAnsi="宋体" w:eastAsia="宋体" w:cs="宋体"/>
          <w:b/>
          <w:bCs/>
          <w:sz w:val="24"/>
          <w:highlight w:val="none"/>
        </w:rPr>
        <w:t>）维护基地要求：</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需在维护区域中心区设置维护基地，确保任何地点发生故障均能在</w:t>
      </w:r>
      <w:r>
        <w:rPr>
          <w:rFonts w:hint="eastAsia" w:ascii="宋体" w:hAnsi="宋体" w:eastAsia="宋体" w:cs="宋体"/>
          <w:b/>
          <w:bCs/>
          <w:sz w:val="24"/>
          <w:highlight w:val="none"/>
          <w:lang w:val="en-US" w:eastAsia="zh-CN"/>
        </w:rPr>
        <w:t>4</w:t>
      </w:r>
      <w:r>
        <w:rPr>
          <w:rFonts w:hint="eastAsia" w:ascii="宋体" w:hAnsi="宋体" w:cs="宋体"/>
          <w:b/>
          <w:bCs/>
          <w:sz w:val="24"/>
          <w:highlight w:val="none"/>
          <w:lang w:val="en-US" w:eastAsia="zh-CN"/>
        </w:rPr>
        <w:t>5</w:t>
      </w:r>
      <w:r>
        <w:rPr>
          <w:rFonts w:hint="eastAsia" w:ascii="宋体" w:hAnsi="宋体" w:eastAsia="宋体" w:cs="宋体"/>
          <w:b/>
          <w:bCs/>
          <w:sz w:val="24"/>
          <w:highlight w:val="none"/>
        </w:rPr>
        <w:t>分钟内</w:t>
      </w:r>
      <w:r>
        <w:rPr>
          <w:rFonts w:hint="eastAsia" w:ascii="宋体" w:hAnsi="宋体" w:eastAsia="宋体" w:cs="宋体"/>
          <w:bCs/>
          <w:sz w:val="24"/>
          <w:highlight w:val="none"/>
        </w:rPr>
        <w:t>到达现场。</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2、维护基地需分别设置办公区、值班区、车辆停放区、器材堆放区等区域。办公区、值班区、器材堆放区面积总计不得小于</w:t>
      </w:r>
      <w:r>
        <w:rPr>
          <w:rFonts w:hint="eastAsia" w:ascii="宋体" w:hAnsi="宋体" w:eastAsia="宋体" w:cs="宋体"/>
          <w:bCs/>
          <w:sz w:val="24"/>
          <w:highlight w:val="none"/>
          <w:lang w:val="en-US" w:eastAsia="zh-CN"/>
        </w:rPr>
        <w:t>200</w:t>
      </w:r>
      <w:r>
        <w:rPr>
          <w:rFonts w:hint="eastAsia" w:ascii="宋体" w:hAnsi="宋体" w:eastAsia="宋体" w:cs="宋体"/>
          <w:bCs/>
          <w:sz w:val="24"/>
          <w:highlight w:val="none"/>
        </w:rPr>
        <w:t>平方米，车辆停放区面积总计不得小于面积不得小于150平方米。</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3、维护基地具体设置方案需报江阴澄辉照明科技发展有限公司同意。</w:t>
      </w:r>
    </w:p>
    <w:p>
      <w:pPr>
        <w:spacing w:line="400" w:lineRule="exact"/>
        <w:ind w:firstLine="482" w:firstLineChars="200"/>
        <w:rPr>
          <w:rFonts w:ascii="宋体" w:hAnsi="宋体" w:cs="宋体"/>
          <w:b/>
          <w:bCs/>
          <w:sz w:val="24"/>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五</w:t>
      </w:r>
      <w:r>
        <w:rPr>
          <w:rFonts w:hint="eastAsia" w:ascii="宋体" w:hAnsi="宋体" w:cs="宋体"/>
          <w:b/>
          <w:bCs/>
          <w:sz w:val="24"/>
          <w:highlight w:val="none"/>
        </w:rPr>
        <w:t>）</w:t>
      </w:r>
      <w:r>
        <w:rPr>
          <w:rFonts w:hint="eastAsia" w:ascii="宋体" w:hAnsi="宋体" w:cs="宋体"/>
          <w:b/>
          <w:bCs/>
          <w:sz w:val="24"/>
        </w:rPr>
        <w:t>维护费用</w:t>
      </w:r>
      <w:r>
        <w:rPr>
          <w:rFonts w:hint="eastAsia" w:ascii="宋体" w:hAnsi="宋体" w:cs="宋体"/>
          <w:b/>
          <w:bCs/>
          <w:sz w:val="24"/>
          <w:lang w:eastAsia="zh-CN"/>
        </w:rPr>
        <w:t>及施工</w:t>
      </w:r>
      <w:r>
        <w:rPr>
          <w:rFonts w:hint="eastAsia" w:ascii="宋体" w:hAnsi="宋体" w:cs="宋体"/>
          <w:b/>
          <w:bCs/>
          <w:sz w:val="24"/>
        </w:rPr>
        <w:t>说明</w:t>
      </w:r>
      <w:r>
        <w:rPr>
          <w:rFonts w:hint="eastAsia" w:ascii="宋体" w:hAnsi="宋体" w:cs="宋体"/>
          <w:b/>
          <w:bCs/>
          <w:sz w:val="24"/>
          <w:highlight w:val="none"/>
          <w:lang w:eastAsia="zh-CN"/>
        </w:rPr>
        <w:t>施工</w:t>
      </w:r>
      <w:r>
        <w:rPr>
          <w:rFonts w:hint="eastAsia" w:ascii="宋体" w:hAnsi="宋体" w:cs="宋体"/>
          <w:b/>
          <w:bCs/>
          <w:sz w:val="24"/>
          <w:highlight w:val="none"/>
        </w:rPr>
        <w:t>说明：</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1、在维护区域内如发生零星工程（如：零星路灯箱变迁移、拆除等），由</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负责施工（施工费用不包含在采购范围内，另外结算），</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按审定价的10%向</w:t>
      </w:r>
      <w:r>
        <w:rPr>
          <w:rFonts w:hint="eastAsia" w:ascii="宋体" w:hAnsi="宋体" w:eastAsia="宋体" w:cs="宋体"/>
          <w:bCs/>
          <w:sz w:val="24"/>
          <w:highlight w:val="none"/>
          <w:lang w:val="en-US" w:eastAsia="zh-CN"/>
        </w:rPr>
        <w:t>采购人</w:t>
      </w:r>
      <w:r>
        <w:rPr>
          <w:rFonts w:hint="eastAsia" w:ascii="宋体" w:hAnsi="宋体" w:eastAsia="宋体" w:cs="宋体"/>
          <w:bCs/>
          <w:sz w:val="24"/>
          <w:highlight w:val="none"/>
        </w:rPr>
        <w:t>固定让利。</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无正当理由不得拒绝施工。</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2、维护标段内的新建路灯箱变在保修期满移交验收合格后由该片区中标</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负责维修，维护费用按中标价及实际维护时间计算，</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不得拒绝维护。</w:t>
      </w:r>
      <w:r>
        <w:rPr>
          <w:rFonts w:hint="eastAsia" w:ascii="宋体" w:hAnsi="宋体" w:eastAsia="宋体" w:cs="宋体"/>
          <w:bCs/>
          <w:sz w:val="24"/>
          <w:highlight w:val="none"/>
          <w:lang w:val="en-US" w:eastAsia="zh-CN"/>
        </w:rPr>
        <w:t>中标单位需积极配合采购人对新建路灯箱变设施进行移交前的检查和验收。</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3、维护期内如遇部分路灯箱变设施</w:t>
      </w:r>
      <w:r>
        <w:rPr>
          <w:rFonts w:hint="eastAsia" w:ascii="宋体" w:hAnsi="宋体" w:eastAsia="宋体" w:cs="宋体"/>
          <w:bCs/>
          <w:sz w:val="24"/>
          <w:highlight w:val="none"/>
          <w:lang w:val="en-US" w:eastAsia="zh-CN"/>
        </w:rPr>
        <w:t>拆除、</w:t>
      </w:r>
      <w:r>
        <w:rPr>
          <w:rFonts w:hint="eastAsia" w:ascii="宋体" w:hAnsi="宋体" w:eastAsia="宋体" w:cs="宋体"/>
          <w:bCs/>
          <w:sz w:val="24"/>
          <w:highlight w:val="none"/>
        </w:rPr>
        <w:t>大修等情况，采购人有权单方面终止该改造部分的维护，维护费用扣除</w:t>
      </w:r>
      <w:r>
        <w:rPr>
          <w:rFonts w:hint="eastAsia" w:ascii="宋体" w:hAnsi="宋体" w:eastAsia="宋体" w:cs="宋体"/>
          <w:bCs/>
          <w:sz w:val="24"/>
          <w:highlight w:val="none"/>
          <w:lang w:val="en-US" w:eastAsia="zh-CN"/>
        </w:rPr>
        <w:t>拆除、</w:t>
      </w:r>
      <w:r>
        <w:rPr>
          <w:rFonts w:hint="eastAsia" w:ascii="宋体" w:hAnsi="宋体" w:eastAsia="宋体" w:cs="宋体"/>
          <w:bCs/>
          <w:sz w:val="24"/>
          <w:highlight w:val="none"/>
        </w:rPr>
        <w:t>大修部分，</w:t>
      </w:r>
      <w:r>
        <w:rPr>
          <w:rFonts w:hint="eastAsia" w:ascii="宋体" w:hAnsi="宋体" w:eastAsia="宋体" w:cs="宋体"/>
          <w:bCs/>
          <w:sz w:val="24"/>
          <w:highlight w:val="none"/>
          <w:lang w:eastAsia="zh-CN"/>
        </w:rPr>
        <w:t>中标单位</w:t>
      </w:r>
      <w:r>
        <w:rPr>
          <w:rFonts w:hint="eastAsia" w:ascii="宋体" w:hAnsi="宋体" w:eastAsia="宋体" w:cs="宋体"/>
          <w:bCs/>
          <w:sz w:val="24"/>
          <w:highlight w:val="none"/>
        </w:rPr>
        <w:t>不得因此终止履行该维护合同。</w:t>
      </w:r>
    </w:p>
    <w:p>
      <w:pPr>
        <w:spacing w:line="40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4、因新建路灯箱变移交、拆除、大修等原因造成的维护变动统一列入最后一个季度进行结算。</w:t>
      </w:r>
    </w:p>
    <w:p>
      <w:pPr>
        <w:spacing w:line="360" w:lineRule="exact"/>
        <w:ind w:firstLine="480" w:firstLineChars="200"/>
        <w:rPr>
          <w:rFonts w:hint="eastAsia" w:ascii="宋体" w:hAnsi="宋体" w:eastAsia="宋体" w:cs="宋体"/>
          <w:sz w:val="24"/>
          <w:highlight w:val="none"/>
        </w:rPr>
      </w:pP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、文明施工：</w:t>
      </w:r>
      <w:r>
        <w:rPr>
          <w:rFonts w:hint="eastAsia" w:ascii="宋体" w:hAnsi="宋体" w:eastAsia="宋体" w:cs="宋体"/>
          <w:sz w:val="24"/>
          <w:highlight w:val="none"/>
        </w:rPr>
        <w:t>施工应注意保护建筑物及周围环境，以免造成损坏引起漏水、影响市容环境等情况；安装、维修结束后，做好现场卫生清洁工作。因不文明施工引起的后果由</w:t>
      </w:r>
      <w:r>
        <w:rPr>
          <w:rFonts w:hint="eastAsia" w:ascii="宋体" w:hAnsi="宋体" w:eastAsia="宋体" w:cs="宋体"/>
          <w:sz w:val="24"/>
          <w:highlight w:val="none"/>
          <w:lang w:eastAsia="zh-CN"/>
        </w:rPr>
        <w:t>中标单位</w:t>
      </w:r>
      <w:r>
        <w:rPr>
          <w:rFonts w:hint="eastAsia" w:ascii="宋体" w:hAnsi="宋体" w:eastAsia="宋体" w:cs="宋体"/>
          <w:sz w:val="24"/>
          <w:highlight w:val="none"/>
        </w:rPr>
        <w:t>负全部责任。</w:t>
      </w:r>
    </w:p>
    <w:p>
      <w:pPr>
        <w:spacing w:line="360" w:lineRule="exact"/>
        <w:ind w:firstLine="480" w:firstLineChars="200"/>
        <w:rPr>
          <w:rFonts w:hint="eastAsia"/>
        </w:rPr>
      </w:pPr>
      <w:r>
        <w:rPr>
          <w:rFonts w:hint="eastAsia" w:ascii="宋体" w:hAnsi="宋体" w:eastAsia="宋体" w:cs="宋体"/>
          <w:bCs/>
          <w:sz w:val="24"/>
          <w:highlight w:val="none"/>
        </w:rPr>
        <w:t>6、由于不可抗力造成的损失（不包含偷盗等人为因素）由采购人提供主材，维护单位对已破坏设施进行原样恢复，并承担人工、辅材等其它相关一切费用。</w:t>
      </w:r>
    </w:p>
    <w:p>
      <w:pPr>
        <w:spacing w:line="400" w:lineRule="exact"/>
        <w:rPr>
          <w:rFonts w:hint="eastAsia" w:ascii="黑体" w:eastAsia="黑体"/>
          <w:sz w:val="28"/>
          <w:szCs w:val="28"/>
          <w:lang w:eastAsia="zh-CN"/>
        </w:rPr>
      </w:pPr>
    </w:p>
    <w:p>
      <w:pPr>
        <w:spacing w:line="400" w:lineRule="exact"/>
        <w:rPr>
          <w:rFonts w:hint="eastAsia" w:ascii="黑体" w:eastAsia="黑体"/>
          <w:sz w:val="28"/>
          <w:szCs w:val="28"/>
        </w:rPr>
      </w:pPr>
      <w:r>
        <w:rPr>
          <w:rFonts w:hint="eastAsia" w:ascii="黑体" w:eastAsia="黑体"/>
          <w:sz w:val="28"/>
          <w:szCs w:val="28"/>
          <w:lang w:eastAsia="zh-CN"/>
        </w:rPr>
        <w:t>三</w:t>
      </w:r>
      <w:r>
        <w:rPr>
          <w:rFonts w:hint="eastAsia" w:ascii="黑体" w:eastAsia="黑体"/>
          <w:sz w:val="28"/>
          <w:szCs w:val="28"/>
        </w:rPr>
        <w:t>、考核办法及细则</w:t>
      </w:r>
    </w:p>
    <w:p>
      <w:pPr>
        <w:spacing w:line="400" w:lineRule="exact"/>
        <w:ind w:firstLine="480"/>
        <w:rPr>
          <w:rFonts w:ascii="宋体" w:hAnsi="宋体" w:cs="宋体"/>
          <w:b/>
          <w:sz w:val="24"/>
        </w:rPr>
      </w:pPr>
      <w:r>
        <w:rPr>
          <w:rFonts w:hint="eastAsia" w:ascii="宋体" w:hAnsi="宋体" w:cs="宋体"/>
          <w:b/>
          <w:sz w:val="24"/>
          <w:highlight w:val="none"/>
        </w:rPr>
        <w:t>详细见附件</w:t>
      </w:r>
      <w:r>
        <w:rPr>
          <w:rFonts w:hint="eastAsia" w:ascii="宋体" w:hAnsi="宋体" w:cs="宋体"/>
          <w:b/>
          <w:sz w:val="24"/>
          <w:highlight w:val="none"/>
          <w:lang w:val="en-US" w:eastAsia="zh-CN"/>
        </w:rPr>
        <w:t>4</w:t>
      </w:r>
      <w:r>
        <w:rPr>
          <w:rFonts w:hint="eastAsia" w:ascii="宋体" w:hAnsi="宋体" w:cs="宋体"/>
          <w:b/>
          <w:sz w:val="24"/>
        </w:rPr>
        <w:t>（采购单位有权变更考核办法及细则）</w:t>
      </w:r>
    </w:p>
    <w:p>
      <w:pPr>
        <w:pStyle w:val="2"/>
        <w:ind w:left="1470" w:right="1470"/>
        <w:rPr>
          <w:rFonts w:ascii="宋体" w:hAnsi="宋体" w:cs="宋体"/>
          <w:b/>
          <w:sz w:val="24"/>
        </w:rPr>
      </w:pPr>
    </w:p>
    <w:p>
      <w:pPr>
        <w:spacing w:line="400" w:lineRule="exact"/>
        <w:rPr>
          <w:rFonts w:ascii="黑体" w:eastAsia="黑体"/>
          <w:sz w:val="28"/>
          <w:szCs w:val="28"/>
        </w:rPr>
      </w:pPr>
      <w:r>
        <w:rPr>
          <w:rFonts w:hint="eastAsia" w:ascii="黑体" w:eastAsia="黑体"/>
          <w:sz w:val="28"/>
          <w:szCs w:val="28"/>
          <w:lang w:eastAsia="zh-CN"/>
        </w:rPr>
        <w:t>四</w:t>
      </w:r>
      <w:r>
        <w:rPr>
          <w:rFonts w:hint="eastAsia" w:ascii="黑体" w:eastAsia="黑体"/>
          <w:sz w:val="28"/>
          <w:szCs w:val="28"/>
        </w:rPr>
        <w:t>、质量及验收</w:t>
      </w:r>
    </w:p>
    <w:p>
      <w:pPr>
        <w:pStyle w:val="36"/>
        <w:spacing w:line="400" w:lineRule="exact"/>
        <w:ind w:firstLine="480"/>
        <w:rPr>
          <w:rFonts w:cs="宋体"/>
          <w:bCs/>
          <w:sz w:val="24"/>
        </w:rPr>
      </w:pPr>
      <w:r>
        <w:rPr>
          <w:rFonts w:hint="eastAsia" w:ascii="宋体" w:hAnsi="宋体" w:eastAsia="宋体" w:cs="宋体"/>
          <w:sz w:val="24"/>
          <w:highlight w:val="none"/>
        </w:rPr>
        <w:t>由招标人</w:t>
      </w:r>
      <w:r>
        <w:rPr>
          <w:rFonts w:hint="eastAsia" w:ascii="宋体" w:hAnsi="宋体" w:eastAsia="宋体" w:cs="宋体"/>
          <w:bCs/>
          <w:sz w:val="24"/>
          <w:highlight w:val="none"/>
        </w:rPr>
        <w:t>根据招标文件中的维护要求内容及</w:t>
      </w:r>
      <w:r>
        <w:rPr>
          <w:rFonts w:hint="eastAsia" w:ascii="宋体" w:hAnsi="宋体" w:eastAsia="宋体" w:cs="宋体"/>
          <w:sz w:val="24"/>
          <w:highlight w:val="none"/>
        </w:rPr>
        <w:t>《江阴澄辉照明科技发展有限公司城市照明设施维护考核办法》、《江阴澄辉照明科技发展有限公司路灯箱式变电站维护考核细则》及相关验收办法组织验收</w:t>
      </w:r>
      <w:r>
        <w:rPr>
          <w:rFonts w:hint="eastAsia" w:ascii="宋体" w:hAnsi="宋体" w:eastAsia="宋体" w:cs="宋体"/>
          <w:bCs/>
          <w:sz w:val="24"/>
          <w:highlight w:val="none"/>
        </w:rPr>
        <w:t>。</w:t>
      </w:r>
    </w:p>
    <w:p>
      <w:pPr>
        <w:numPr>
          <w:ilvl w:val="0"/>
          <w:numId w:val="0"/>
        </w:numPr>
        <w:spacing w:line="400" w:lineRule="exact"/>
        <w:rPr>
          <w:rFonts w:hint="eastAsia" w:ascii="黑体" w:eastAsia="黑体"/>
          <w:sz w:val="28"/>
          <w:szCs w:val="28"/>
          <w:lang w:eastAsia="zh-CN"/>
        </w:rPr>
      </w:pPr>
    </w:p>
    <w:p>
      <w:pPr>
        <w:numPr>
          <w:ilvl w:val="0"/>
          <w:numId w:val="0"/>
        </w:numPr>
        <w:spacing w:line="400" w:lineRule="exact"/>
        <w:rPr>
          <w:rFonts w:hint="eastAsia" w:ascii="黑体" w:hAnsi="Times New Roman" w:eastAsia="黑体"/>
          <w:sz w:val="28"/>
          <w:szCs w:val="28"/>
        </w:rPr>
      </w:pPr>
      <w:r>
        <w:rPr>
          <w:rFonts w:hint="eastAsia" w:ascii="黑体" w:eastAsia="黑体"/>
          <w:sz w:val="28"/>
          <w:szCs w:val="28"/>
          <w:lang w:eastAsia="zh-CN"/>
        </w:rPr>
        <w:t>五、</w:t>
      </w:r>
      <w:r>
        <w:rPr>
          <w:rFonts w:hint="eastAsia" w:ascii="黑体" w:hAnsi="Times New Roman" w:eastAsia="黑体"/>
          <w:sz w:val="28"/>
          <w:szCs w:val="28"/>
        </w:rPr>
        <w:t>付款方式</w:t>
      </w:r>
    </w:p>
    <w:p>
      <w:pPr>
        <w:pStyle w:val="36"/>
        <w:spacing w:line="400" w:lineRule="exact"/>
        <w:ind w:firstLine="480"/>
        <w:rPr>
          <w:rFonts w:hint="eastAsia" w:ascii="宋体" w:hAnsi="宋体" w:eastAsia="宋体" w:cs="宋体"/>
          <w:bCs/>
          <w:sz w:val="24"/>
          <w:highlight w:val="none"/>
        </w:rPr>
      </w:pPr>
      <w:r>
        <w:rPr>
          <w:rFonts w:hint="eastAsia" w:ascii="宋体" w:hAnsi="宋体" w:eastAsia="宋体" w:cs="宋体"/>
          <w:bCs/>
          <w:sz w:val="24"/>
          <w:highlight w:val="none"/>
        </w:rPr>
        <w:t>按季度支付维护款，先维护后结算，合同价款的20%用于考核。</w:t>
      </w:r>
    </w:p>
    <w:p>
      <w:pPr>
        <w:pStyle w:val="36"/>
        <w:spacing w:line="400" w:lineRule="exact"/>
        <w:ind w:firstLine="480"/>
        <w:rPr>
          <w:rFonts w:hint="eastAsia" w:ascii="宋体" w:hAnsi="宋体" w:eastAsia="宋体" w:cs="宋体"/>
          <w:bCs/>
          <w:sz w:val="24"/>
          <w:highlight w:val="none"/>
        </w:rPr>
      </w:pPr>
      <w:r>
        <w:rPr>
          <w:rFonts w:hint="eastAsia" w:cs="宋体"/>
          <w:bCs/>
          <w:sz w:val="24"/>
          <w:highlight w:val="none"/>
          <w:lang w:eastAsia="zh-CN"/>
        </w:rPr>
        <w:t>（</w:t>
      </w:r>
      <w:r>
        <w:rPr>
          <w:rFonts w:hint="eastAsia" w:ascii="宋体" w:hAnsi="宋体" w:eastAsia="宋体" w:cs="宋体"/>
          <w:bCs/>
          <w:sz w:val="24"/>
          <w:highlight w:val="none"/>
        </w:rPr>
        <w:t>1</w:t>
      </w:r>
      <w:r>
        <w:rPr>
          <w:rFonts w:hint="eastAsia" w:cs="宋体"/>
          <w:bCs/>
          <w:sz w:val="24"/>
          <w:highlight w:val="none"/>
          <w:lang w:eastAsia="zh-CN"/>
        </w:rPr>
        <w:t>）</w:t>
      </w:r>
      <w:r>
        <w:rPr>
          <w:rFonts w:hint="eastAsia" w:ascii="宋体" w:hAnsi="宋体" w:eastAsia="宋体" w:cs="宋体"/>
          <w:bCs/>
          <w:sz w:val="24"/>
          <w:highlight w:val="none"/>
        </w:rPr>
        <w:t>每季度支付维护款金额=合同价款×80%÷合同期天数×当季度实际维护天数。</w:t>
      </w:r>
    </w:p>
    <w:p>
      <w:pPr>
        <w:pStyle w:val="36"/>
        <w:spacing w:line="400" w:lineRule="exact"/>
        <w:ind w:firstLine="480"/>
        <w:rPr>
          <w:rFonts w:hint="eastAsia" w:ascii="宋体" w:hAnsi="宋体" w:eastAsia="宋体" w:cs="宋体"/>
          <w:color w:val="auto"/>
          <w:sz w:val="24"/>
          <w:highlight w:val="none"/>
        </w:rPr>
      </w:pPr>
      <w:r>
        <w:rPr>
          <w:rFonts w:hint="eastAsia" w:cs="宋体"/>
          <w:bCs/>
          <w:color w:val="auto"/>
          <w:sz w:val="24"/>
          <w:highlight w:val="none"/>
          <w:lang w:eastAsia="zh-CN"/>
        </w:rPr>
        <w:t>（</w:t>
      </w:r>
      <w:r>
        <w:rPr>
          <w:rFonts w:hint="eastAsia" w:cs="宋体"/>
          <w:bCs/>
          <w:color w:val="auto"/>
          <w:sz w:val="24"/>
          <w:highlight w:val="none"/>
          <w:lang w:val="en-US" w:eastAsia="zh-CN"/>
        </w:rPr>
        <w:t>2）</w:t>
      </w:r>
      <w:r>
        <w:rPr>
          <w:rFonts w:hint="eastAsia" w:ascii="宋体" w:hAnsi="宋体" w:eastAsia="宋体" w:cs="宋体"/>
          <w:bCs/>
          <w:color w:val="auto"/>
          <w:sz w:val="24"/>
          <w:highlight w:val="none"/>
        </w:rPr>
        <w:t>20%</w:t>
      </w:r>
      <w:r>
        <w:rPr>
          <w:rFonts w:hint="eastAsia" w:cs="宋体"/>
          <w:bCs/>
          <w:color w:val="auto"/>
          <w:sz w:val="24"/>
          <w:highlight w:val="none"/>
          <w:lang w:val="en-US" w:eastAsia="zh-CN"/>
        </w:rPr>
        <w:t>考</w:t>
      </w:r>
      <w:r>
        <w:rPr>
          <w:rFonts w:hint="eastAsia" w:ascii="宋体" w:hAnsi="宋体" w:eastAsia="宋体" w:cs="宋体"/>
          <w:bCs/>
          <w:color w:val="auto"/>
          <w:sz w:val="24"/>
          <w:highlight w:val="none"/>
        </w:rPr>
        <w:t>核</w:t>
      </w:r>
      <w:r>
        <w:rPr>
          <w:rFonts w:hint="eastAsia" w:cs="宋体"/>
          <w:bCs/>
          <w:color w:val="auto"/>
          <w:sz w:val="24"/>
          <w:highlight w:val="none"/>
          <w:lang w:val="en-US" w:eastAsia="zh-CN"/>
        </w:rPr>
        <w:t>款待合同结束考核后支付，支</w:t>
      </w:r>
      <w:r>
        <w:rPr>
          <w:rFonts w:hint="eastAsia" w:ascii="宋体" w:hAnsi="宋体" w:eastAsia="宋体" w:cs="宋体"/>
          <w:bCs/>
          <w:color w:val="auto"/>
          <w:sz w:val="24"/>
          <w:highlight w:val="none"/>
        </w:rPr>
        <w:t>付金额=合同价款*20%-合同期考核扣款+维护变动的金额。</w:t>
      </w:r>
    </w:p>
    <w:p>
      <w:pPr>
        <w:pStyle w:val="2"/>
        <w:ind w:left="0" w:leftChars="0" w:right="1470"/>
      </w:pPr>
    </w:p>
    <w:p>
      <w:pPr>
        <w:spacing w:line="400" w:lineRule="exact"/>
        <w:rPr>
          <w:rFonts w:ascii="黑体" w:eastAsia="黑体"/>
          <w:bCs/>
          <w:sz w:val="28"/>
          <w:szCs w:val="28"/>
        </w:rPr>
      </w:pPr>
      <w:r>
        <w:rPr>
          <w:rFonts w:hint="eastAsia" w:ascii="黑体" w:eastAsia="黑体"/>
          <w:bCs/>
          <w:sz w:val="28"/>
          <w:szCs w:val="28"/>
          <w:lang w:eastAsia="zh-CN"/>
        </w:rPr>
        <w:t>六</w:t>
      </w:r>
      <w:r>
        <w:rPr>
          <w:rFonts w:hint="eastAsia" w:ascii="黑体" w:eastAsia="黑体"/>
          <w:bCs/>
          <w:sz w:val="28"/>
          <w:szCs w:val="28"/>
        </w:rPr>
        <w:t>、有关说明</w:t>
      </w:r>
    </w:p>
    <w:p>
      <w:pPr>
        <w:spacing w:line="360" w:lineRule="exact"/>
        <w:ind w:firstLine="480" w:firstLineChars="200"/>
        <w:rPr>
          <w:rFonts w:hint="eastAsia" w:ascii="宋体" w:hAnsi="宋体" w:eastAsia="宋体" w:cs="宋体"/>
          <w:sz w:val="24"/>
          <w:highlight w:val="none"/>
        </w:rPr>
      </w:pPr>
      <w:r>
        <w:rPr>
          <w:rFonts w:hint="eastAsia" w:ascii="宋体" w:hAnsi="宋体" w:eastAsia="宋体" w:cs="宋体"/>
          <w:bCs/>
          <w:sz w:val="24"/>
          <w:highlight w:val="none"/>
        </w:rPr>
        <w:t>1、</w:t>
      </w:r>
      <w:r>
        <w:rPr>
          <w:rFonts w:hint="eastAsia" w:ascii="宋体" w:hAnsi="宋体" w:eastAsia="宋体" w:cs="宋体"/>
          <w:b/>
          <w:bCs/>
          <w:sz w:val="24"/>
          <w:highlight w:val="none"/>
        </w:rPr>
        <w:t>公开招标为一次性报价，投标单位报价内容必须报全，不得漏项。</w:t>
      </w:r>
    </w:p>
    <w:p>
      <w:pPr>
        <w:spacing w:line="360" w:lineRule="exact"/>
        <w:ind w:firstLine="480" w:firstLineChars="200"/>
        <w:rPr>
          <w:rFonts w:hint="eastAsia" w:ascii="宋体" w:hAnsi="宋体" w:eastAsia="宋体" w:cs="宋体"/>
          <w:b/>
          <w:bCs/>
          <w:kern w:val="0"/>
          <w:sz w:val="24"/>
          <w:highlight w:val="none"/>
        </w:rPr>
      </w:pPr>
      <w:r>
        <w:rPr>
          <w:rFonts w:hint="eastAsia" w:ascii="宋体" w:hAnsi="宋体" w:eastAsia="宋体" w:cs="宋体"/>
          <w:bCs/>
          <w:sz w:val="24"/>
          <w:highlight w:val="none"/>
        </w:rPr>
        <w:t>合同总价（即投标最终价）</w:t>
      </w:r>
      <w:r>
        <w:rPr>
          <w:rFonts w:hint="eastAsia" w:ascii="宋体" w:hAnsi="宋体" w:eastAsia="宋体" w:cs="宋体"/>
          <w:bCs/>
          <w:kern w:val="0"/>
          <w:sz w:val="24"/>
          <w:highlight w:val="none"/>
        </w:rPr>
        <w:t>包括标段内全部标的物、辅助材料、安装、调试等费用，以及非正常损坏的风险、人工、机械、运输、仓储、保险、运费、各种税费、劳保、安全费等一切费用</w:t>
      </w:r>
      <w:r>
        <w:rPr>
          <w:rFonts w:hint="eastAsia" w:ascii="宋体" w:hAnsi="宋体" w:eastAsia="宋体" w:cs="宋体"/>
          <w:b/>
          <w:bCs/>
          <w:kern w:val="0"/>
          <w:sz w:val="24"/>
          <w:highlight w:val="none"/>
        </w:rPr>
        <w:t>。</w:t>
      </w:r>
    </w:p>
    <w:p>
      <w:pPr>
        <w:spacing w:line="36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2、</w:t>
      </w:r>
      <w:r>
        <w:rPr>
          <w:rFonts w:hint="eastAsia" w:ascii="宋体" w:hAnsi="宋体" w:eastAsia="宋体" w:cs="宋体"/>
          <w:bCs/>
          <w:sz w:val="24"/>
          <w:highlight w:val="none"/>
        </w:rPr>
        <w:t>投标报价应将维护区域内的路灯</w:t>
      </w:r>
      <w:r>
        <w:rPr>
          <w:rFonts w:hint="eastAsia" w:ascii="宋体" w:hAnsi="宋体" w:cs="宋体"/>
          <w:bCs/>
          <w:sz w:val="24"/>
          <w:highlight w:val="none"/>
          <w:lang w:val="en-US" w:eastAsia="zh-CN"/>
        </w:rPr>
        <w:t>箱式变电站</w:t>
      </w:r>
      <w:r>
        <w:rPr>
          <w:rFonts w:hint="eastAsia" w:ascii="宋体" w:hAnsi="宋体" w:eastAsia="宋体" w:cs="宋体"/>
          <w:bCs/>
          <w:sz w:val="24"/>
          <w:highlight w:val="none"/>
        </w:rPr>
        <w:t>以及对应的电缆、</w:t>
      </w:r>
      <w:r>
        <w:rPr>
          <w:rFonts w:hint="eastAsia" w:ascii="宋体" w:hAnsi="宋体" w:cs="宋体"/>
          <w:bCs/>
          <w:sz w:val="24"/>
          <w:highlight w:val="none"/>
          <w:lang w:val="en-US" w:eastAsia="zh-CN"/>
        </w:rPr>
        <w:t>高压开关柜</w:t>
      </w:r>
      <w:r>
        <w:rPr>
          <w:rFonts w:hint="eastAsia" w:ascii="宋体" w:hAnsi="宋体" w:eastAsia="宋体" w:cs="宋体"/>
          <w:bCs/>
          <w:sz w:val="24"/>
          <w:highlight w:val="none"/>
        </w:rPr>
        <w:t>、</w:t>
      </w:r>
      <w:r>
        <w:rPr>
          <w:rFonts w:hint="eastAsia" w:ascii="宋体" w:hAnsi="宋体" w:cs="宋体"/>
          <w:bCs/>
          <w:sz w:val="24"/>
          <w:highlight w:val="none"/>
          <w:lang w:val="en-US" w:eastAsia="zh-CN"/>
        </w:rPr>
        <w:t>变压器</w:t>
      </w:r>
      <w:r>
        <w:rPr>
          <w:rFonts w:hint="eastAsia" w:ascii="宋体" w:hAnsi="宋体" w:eastAsia="宋体" w:cs="宋体"/>
          <w:bCs/>
          <w:sz w:val="24"/>
          <w:highlight w:val="none"/>
        </w:rPr>
        <w:t>等配套设备（含非正常损坏的风险因素）都折算成路灯</w:t>
      </w:r>
      <w:r>
        <w:rPr>
          <w:rFonts w:hint="eastAsia" w:ascii="宋体" w:hAnsi="宋体" w:cs="宋体"/>
          <w:bCs/>
          <w:sz w:val="24"/>
          <w:highlight w:val="none"/>
          <w:lang w:val="en-US" w:eastAsia="zh-CN"/>
        </w:rPr>
        <w:t>箱式变电站</w:t>
      </w:r>
      <w:r>
        <w:rPr>
          <w:rFonts w:hint="eastAsia" w:ascii="宋体" w:hAnsi="宋体" w:eastAsia="宋体" w:cs="宋体"/>
          <w:bCs/>
          <w:sz w:val="24"/>
          <w:highlight w:val="none"/>
        </w:rPr>
        <w:t>的维护费用进行报价。</w:t>
      </w:r>
    </w:p>
    <w:p>
      <w:pPr>
        <w:spacing w:line="360" w:lineRule="exact"/>
        <w:ind w:firstLine="480" w:firstLineChars="200"/>
        <w:rPr>
          <w:rFonts w:hint="eastAsia" w:ascii="宋体" w:hAnsi="宋体" w:eastAsia="宋体" w:cs="宋体"/>
          <w:sz w:val="24"/>
          <w:highlight w:val="none"/>
        </w:rPr>
      </w:pPr>
      <w:r>
        <w:rPr>
          <w:rFonts w:hint="eastAsia" w:ascii="宋体" w:hAnsi="宋体" w:eastAsia="宋体" w:cs="宋体"/>
          <w:bCs/>
          <w:sz w:val="24"/>
          <w:szCs w:val="21"/>
          <w:highlight w:val="none"/>
        </w:rPr>
        <w:t>3、</w:t>
      </w:r>
      <w:r>
        <w:rPr>
          <w:rFonts w:hint="eastAsia" w:ascii="宋体" w:hAnsi="宋体" w:eastAsia="宋体" w:cs="宋体"/>
          <w:sz w:val="24"/>
          <w:highlight w:val="none"/>
        </w:rPr>
        <w:t>维</w:t>
      </w:r>
      <w:r>
        <w:rPr>
          <w:rFonts w:hint="eastAsia" w:ascii="宋体" w:hAnsi="宋体" w:eastAsia="宋体" w:cs="宋体"/>
          <w:bCs/>
          <w:sz w:val="24"/>
          <w:highlight w:val="none"/>
        </w:rPr>
        <w:t>护时间：维护期为</w:t>
      </w:r>
      <w:r>
        <w:rPr>
          <w:rFonts w:hint="eastAsia" w:ascii="宋体" w:hAnsi="宋体" w:cs="宋体"/>
          <w:bCs/>
          <w:sz w:val="24"/>
          <w:highlight w:val="none"/>
          <w:lang w:val="en-US" w:eastAsia="zh-CN"/>
        </w:rPr>
        <w:t>3</w:t>
      </w:r>
      <w:r>
        <w:rPr>
          <w:rFonts w:hint="eastAsia" w:ascii="宋体" w:hAnsi="宋体" w:eastAsia="宋体" w:cs="宋体"/>
          <w:bCs/>
          <w:sz w:val="24"/>
          <w:highlight w:val="none"/>
        </w:rPr>
        <w:t>年，至202</w:t>
      </w:r>
      <w:r>
        <w:rPr>
          <w:rFonts w:hint="eastAsia" w:ascii="宋体" w:hAnsi="宋体" w:eastAsia="宋体" w:cs="宋体"/>
          <w:bCs/>
          <w:sz w:val="24"/>
          <w:highlight w:val="none"/>
          <w:lang w:val="en-US" w:eastAsia="zh-CN"/>
        </w:rPr>
        <w:t>4</w:t>
      </w:r>
      <w:r>
        <w:rPr>
          <w:rFonts w:hint="eastAsia" w:ascii="宋体" w:hAnsi="宋体" w:eastAsia="宋体" w:cs="宋体"/>
          <w:bCs/>
          <w:sz w:val="24"/>
          <w:highlight w:val="none"/>
        </w:rPr>
        <w:t>年12月31日。第</w:t>
      </w:r>
      <w:r>
        <w:rPr>
          <w:rFonts w:hint="eastAsia" w:ascii="宋体" w:hAnsi="宋体" w:cs="宋体"/>
          <w:bCs/>
          <w:sz w:val="24"/>
          <w:highlight w:val="none"/>
          <w:lang w:val="en-US" w:eastAsia="zh-CN"/>
        </w:rPr>
        <w:t>1</w:t>
      </w:r>
      <w:r>
        <w:rPr>
          <w:rFonts w:hint="eastAsia" w:ascii="宋体" w:hAnsi="宋体" w:eastAsia="宋体" w:cs="宋体"/>
          <w:bCs/>
          <w:sz w:val="24"/>
          <w:highlight w:val="none"/>
        </w:rPr>
        <w:t>期维护合同有效期为</w:t>
      </w:r>
      <w:r>
        <w:rPr>
          <w:rFonts w:hint="eastAsia" w:ascii="宋体" w:hAnsi="宋体" w:cs="宋体"/>
          <w:bCs/>
          <w:sz w:val="24"/>
          <w:highlight w:val="none"/>
          <w:lang w:val="en-US" w:eastAsia="zh-CN"/>
        </w:rPr>
        <w:t>1</w:t>
      </w:r>
      <w:r>
        <w:rPr>
          <w:rFonts w:hint="eastAsia" w:ascii="宋体" w:hAnsi="宋体" w:eastAsia="宋体" w:cs="宋体"/>
          <w:bCs/>
          <w:sz w:val="24"/>
          <w:highlight w:val="none"/>
        </w:rPr>
        <w:t>年，待通过采购人考核及验收合格后可续签，每次续签为</w:t>
      </w:r>
      <w:r>
        <w:rPr>
          <w:rFonts w:hint="eastAsia" w:ascii="宋体" w:hAnsi="宋体" w:cs="宋体"/>
          <w:bCs/>
          <w:sz w:val="24"/>
          <w:highlight w:val="none"/>
          <w:lang w:val="en-US" w:eastAsia="zh-CN"/>
        </w:rPr>
        <w:t>1</w:t>
      </w:r>
      <w:r>
        <w:rPr>
          <w:rFonts w:hint="eastAsia" w:ascii="宋体" w:hAnsi="宋体" w:eastAsia="宋体" w:cs="宋体"/>
          <w:bCs/>
          <w:sz w:val="24"/>
          <w:highlight w:val="none"/>
        </w:rPr>
        <w:t>年，直至招标维护期满为止。续签</w:t>
      </w:r>
      <w:r>
        <w:rPr>
          <w:rFonts w:hint="eastAsia" w:ascii="宋体" w:hAnsi="宋体" w:eastAsia="宋体" w:cs="宋体"/>
          <w:sz w:val="24"/>
          <w:highlight w:val="none"/>
        </w:rPr>
        <w:t>合同的项目内容与本招标文件及</w:t>
      </w:r>
      <w:r>
        <w:rPr>
          <w:rFonts w:hint="eastAsia" w:ascii="宋体" w:hAnsi="宋体" w:eastAsia="宋体" w:cs="宋体"/>
          <w:sz w:val="24"/>
          <w:highlight w:val="none"/>
          <w:lang w:eastAsia="zh-CN"/>
        </w:rPr>
        <w:t>中标单位</w:t>
      </w:r>
      <w:r>
        <w:rPr>
          <w:rFonts w:hint="eastAsia" w:ascii="宋体" w:hAnsi="宋体" w:eastAsia="宋体" w:cs="宋体"/>
          <w:sz w:val="24"/>
          <w:highlight w:val="none"/>
        </w:rPr>
        <w:t>的投标文件一致，</w:t>
      </w:r>
      <w:r>
        <w:rPr>
          <w:rFonts w:hint="eastAsia" w:ascii="宋体" w:hAnsi="宋体" w:eastAsia="宋体" w:cs="宋体"/>
          <w:sz w:val="24"/>
          <w:highlight w:val="none"/>
          <w:lang w:val="en-US" w:eastAsia="zh-CN"/>
        </w:rPr>
        <w:t>合同</w:t>
      </w:r>
      <w:r>
        <w:rPr>
          <w:rFonts w:hint="eastAsia" w:ascii="宋体" w:hAnsi="宋体" w:eastAsia="宋体" w:cs="宋体"/>
          <w:sz w:val="24"/>
          <w:highlight w:val="none"/>
        </w:rPr>
        <w:t>金额根据</w:t>
      </w:r>
      <w:r>
        <w:rPr>
          <w:rFonts w:hint="eastAsia" w:ascii="宋体" w:hAnsi="宋体" w:eastAsia="宋体" w:cs="宋体"/>
          <w:sz w:val="24"/>
          <w:highlight w:val="none"/>
          <w:lang w:val="en-US" w:eastAsia="zh-CN"/>
        </w:rPr>
        <w:t>中标单价</w:t>
      </w:r>
      <w:r>
        <w:rPr>
          <w:rFonts w:hint="eastAsia" w:ascii="宋体" w:hAnsi="宋体" w:cs="宋体"/>
          <w:sz w:val="24"/>
          <w:highlight w:val="none"/>
          <w:lang w:val="en-US" w:eastAsia="zh-CN"/>
        </w:rPr>
        <w:t>、</w:t>
      </w:r>
      <w:r>
        <w:rPr>
          <w:rFonts w:hint="eastAsia" w:ascii="宋体" w:hAnsi="宋体" w:eastAsia="宋体" w:cs="宋体"/>
          <w:sz w:val="24"/>
          <w:highlight w:val="none"/>
        </w:rPr>
        <w:t>实际维护</w:t>
      </w:r>
      <w:r>
        <w:rPr>
          <w:rFonts w:hint="eastAsia" w:ascii="宋体" w:hAnsi="宋体" w:eastAsia="宋体" w:cs="宋体"/>
          <w:sz w:val="24"/>
          <w:highlight w:val="none"/>
          <w:lang w:val="en-US" w:eastAsia="zh-CN"/>
        </w:rPr>
        <w:t>数量</w:t>
      </w:r>
      <w:r>
        <w:rPr>
          <w:rFonts w:hint="eastAsia" w:ascii="宋体" w:hAnsi="宋体" w:cs="宋体"/>
          <w:sz w:val="24"/>
          <w:highlight w:val="none"/>
          <w:lang w:val="en-US" w:eastAsia="zh-CN"/>
        </w:rPr>
        <w:t>和时间</w:t>
      </w:r>
      <w:r>
        <w:rPr>
          <w:rFonts w:hint="eastAsia" w:ascii="宋体" w:hAnsi="宋体" w:eastAsia="宋体" w:cs="宋体"/>
          <w:sz w:val="24"/>
          <w:highlight w:val="none"/>
        </w:rPr>
        <w:t>按实计算。</w:t>
      </w:r>
    </w:p>
    <w:p>
      <w:pPr>
        <w:spacing w:line="3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4、相关供电手续及费用由</w:t>
      </w:r>
      <w:r>
        <w:rPr>
          <w:rFonts w:hint="eastAsia" w:ascii="宋体" w:hAnsi="宋体" w:eastAsia="宋体" w:cs="宋体"/>
          <w:sz w:val="24"/>
          <w:highlight w:val="none"/>
          <w:lang w:eastAsia="zh-CN"/>
        </w:rPr>
        <w:t>中标单位</w:t>
      </w:r>
      <w:r>
        <w:rPr>
          <w:rFonts w:hint="eastAsia" w:ascii="宋体" w:hAnsi="宋体" w:eastAsia="宋体" w:cs="宋体"/>
          <w:sz w:val="24"/>
          <w:highlight w:val="none"/>
        </w:rPr>
        <w:t>自行办理及承担，采购人提供配合。</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5、合同履行期间，若出现以下情况，采购人</w:t>
      </w:r>
      <w:r>
        <w:rPr>
          <w:rFonts w:hint="eastAsia" w:ascii="宋体" w:hAnsi="宋体" w:cs="宋体"/>
          <w:sz w:val="24"/>
          <w:highlight w:val="none"/>
          <w:lang w:val="en-US" w:eastAsia="zh-CN"/>
        </w:rPr>
        <w:t>有权</w:t>
      </w:r>
      <w:r>
        <w:rPr>
          <w:rFonts w:hint="eastAsia" w:ascii="宋体" w:hAnsi="宋体" w:cs="宋体"/>
          <w:sz w:val="24"/>
          <w:highlight w:val="none"/>
        </w:rPr>
        <w:t>终止合同</w:t>
      </w:r>
      <w:r>
        <w:rPr>
          <w:rFonts w:hint="eastAsia" w:ascii="宋体" w:hAnsi="宋体" w:cs="宋体"/>
          <w:sz w:val="24"/>
          <w:highlight w:val="none"/>
          <w:lang w:eastAsia="zh-CN"/>
        </w:rPr>
        <w:t>，</w:t>
      </w:r>
      <w:r>
        <w:rPr>
          <w:rFonts w:hint="eastAsia" w:ascii="宋体" w:hAnsi="宋体" w:cs="宋体"/>
          <w:sz w:val="24"/>
          <w:highlight w:val="none"/>
          <w:lang w:val="en-US" w:eastAsia="zh-CN"/>
        </w:rPr>
        <w:t>并没收履约保证金</w:t>
      </w:r>
      <w:r>
        <w:rPr>
          <w:rFonts w:hint="eastAsia" w:ascii="宋体" w:hAnsi="宋体" w:cs="宋体"/>
          <w:sz w:val="24"/>
          <w:highlight w:val="none"/>
        </w:rPr>
        <w:t>：</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eastAsia="zh-CN"/>
        </w:rPr>
        <w:t>中标单位</w:t>
      </w:r>
      <w:r>
        <w:rPr>
          <w:rFonts w:hint="eastAsia" w:ascii="宋体" w:hAnsi="宋体" w:cs="宋体"/>
          <w:sz w:val="24"/>
          <w:highlight w:val="none"/>
        </w:rPr>
        <w:t>在本合同工期内发生生产安全较大事故</w:t>
      </w:r>
      <w:r>
        <w:rPr>
          <w:rFonts w:hint="eastAsia" w:ascii="宋体" w:hAnsi="宋体" w:cs="宋体"/>
          <w:sz w:val="24"/>
          <w:highlight w:val="none"/>
          <w:lang w:val="en-US" w:eastAsia="zh-CN"/>
        </w:rPr>
        <w:t>的</w:t>
      </w:r>
      <w:r>
        <w:rPr>
          <w:rFonts w:hint="eastAsia" w:ascii="宋体" w:hAnsi="宋体" w:cs="宋体"/>
          <w:sz w:val="24"/>
          <w:highlight w:val="none"/>
        </w:rPr>
        <w:t>。</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eastAsia="zh-CN"/>
        </w:rPr>
        <w:t>中标单位</w:t>
      </w:r>
      <w:r>
        <w:rPr>
          <w:rFonts w:hint="eastAsia" w:ascii="宋体" w:hAnsi="宋体" w:cs="宋体"/>
          <w:sz w:val="24"/>
          <w:highlight w:val="none"/>
        </w:rPr>
        <w:t>在本合同工期内在接到采购人书面限期整改通知书后未能按期整改达三次以上</w:t>
      </w:r>
      <w:r>
        <w:rPr>
          <w:rFonts w:hint="eastAsia" w:ascii="宋体" w:hAnsi="宋体" w:cs="宋体"/>
          <w:sz w:val="24"/>
          <w:highlight w:val="none"/>
          <w:lang w:val="en-US" w:eastAsia="zh-CN"/>
        </w:rPr>
        <w:t>的</w:t>
      </w:r>
      <w:r>
        <w:rPr>
          <w:rFonts w:hint="eastAsia" w:ascii="宋体" w:hAnsi="宋体" w:cs="宋体"/>
          <w:sz w:val="24"/>
          <w:highlight w:val="none"/>
        </w:rPr>
        <w:t>。</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eastAsia="zh-CN"/>
        </w:rPr>
        <w:t>中标单位</w:t>
      </w:r>
      <w:r>
        <w:rPr>
          <w:rFonts w:hint="eastAsia" w:ascii="宋体" w:hAnsi="宋体" w:cs="宋体"/>
          <w:sz w:val="24"/>
          <w:highlight w:val="none"/>
        </w:rPr>
        <w:t>在维护期间，月度考核扣款合计达到或超过月度维护款的20%，则采购人认为</w:t>
      </w:r>
      <w:r>
        <w:rPr>
          <w:rFonts w:hint="eastAsia" w:ascii="宋体" w:hAnsi="宋体" w:cs="宋体"/>
          <w:sz w:val="24"/>
          <w:highlight w:val="none"/>
          <w:lang w:eastAsia="zh-CN"/>
        </w:rPr>
        <w:t>中标单位</w:t>
      </w:r>
      <w:r>
        <w:rPr>
          <w:rFonts w:hint="eastAsia" w:ascii="宋体" w:hAnsi="宋体" w:cs="宋体"/>
          <w:sz w:val="24"/>
          <w:highlight w:val="none"/>
        </w:rPr>
        <w:t>达不到本合同或招标文件规定的维护标准使合同无法履行，采购人有权单方面解除合同，扣除</w:t>
      </w:r>
      <w:r>
        <w:rPr>
          <w:rFonts w:hint="eastAsia" w:ascii="宋体" w:hAnsi="宋体" w:cs="宋体"/>
          <w:sz w:val="24"/>
          <w:highlight w:val="none"/>
          <w:lang w:eastAsia="zh-CN"/>
        </w:rPr>
        <w:t>中标单位</w:t>
      </w:r>
      <w:r>
        <w:rPr>
          <w:rFonts w:hint="eastAsia" w:ascii="宋体" w:hAnsi="宋体" w:cs="宋体"/>
          <w:sz w:val="24"/>
          <w:highlight w:val="none"/>
        </w:rPr>
        <w:t>的履约保证金，并保留追究因解除合同给采购人造成经济损失的法律权利。</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eastAsia="zh-CN"/>
        </w:rPr>
        <w:t>中标单位</w:t>
      </w:r>
      <w:r>
        <w:rPr>
          <w:rFonts w:hint="eastAsia" w:ascii="宋体" w:hAnsi="宋体" w:cs="宋体"/>
          <w:sz w:val="24"/>
          <w:highlight w:val="none"/>
        </w:rPr>
        <w:t>在本合同工期内未经采购人书面许可，擅自在承包范围内多处改动原有箱变设施，降低电气元件、配套设施的档次质量，经采购人提出书面整改意见后逾期未能整改到位的。</w:t>
      </w:r>
    </w:p>
    <w:p>
      <w:pPr>
        <w:spacing w:line="360" w:lineRule="exact"/>
        <w:ind w:firstLine="480" w:firstLineChars="200"/>
        <w:rPr>
          <w:rFonts w:hint="eastAsia" w:ascii="宋体" w:hAnsi="宋体" w:cs="宋体"/>
          <w:sz w:val="24"/>
          <w:highlight w:val="none"/>
        </w:rPr>
      </w:pPr>
      <w:r>
        <w:rPr>
          <w:rFonts w:hint="eastAsia" w:ascii="宋体" w:hAnsi="宋体" w:cs="宋体"/>
          <w:sz w:val="24"/>
          <w:highlight w:val="none"/>
        </w:rPr>
        <w:t>（5）</w:t>
      </w:r>
      <w:r>
        <w:rPr>
          <w:rFonts w:hint="eastAsia" w:ascii="宋体" w:hAnsi="宋体" w:cs="宋体"/>
          <w:sz w:val="24"/>
          <w:highlight w:val="none"/>
          <w:lang w:eastAsia="zh-CN"/>
        </w:rPr>
        <w:t>中标单位</w:t>
      </w:r>
      <w:r>
        <w:rPr>
          <w:rFonts w:hint="eastAsia" w:ascii="宋体" w:hAnsi="宋体" w:cs="宋体"/>
          <w:sz w:val="24"/>
          <w:highlight w:val="none"/>
        </w:rPr>
        <w:t>擅自变更投标时所承诺的人员配置方案、机具配置方案，经采购人提出书面整改意见后逾期未能整改到位的。</w:t>
      </w:r>
    </w:p>
    <w:p>
      <w:pPr>
        <w:spacing w:line="360" w:lineRule="exact"/>
        <w:ind w:firstLine="480" w:firstLineChars="200"/>
        <w:rPr>
          <w:rFonts w:hint="eastAsia" w:ascii="宋体" w:hAnsi="宋体" w:cs="宋体"/>
          <w:b w:val="0"/>
          <w:sz w:val="24"/>
          <w:highlight w:val="none"/>
        </w:rPr>
      </w:pPr>
      <w:r>
        <w:rPr>
          <w:rFonts w:hint="eastAsia" w:ascii="宋体" w:hAnsi="宋体" w:cs="宋体"/>
          <w:b w:val="0"/>
          <w:sz w:val="24"/>
          <w:highlight w:val="none"/>
        </w:rPr>
        <w:t>（6）中标单位必须在签订合同</w:t>
      </w:r>
      <w:r>
        <w:rPr>
          <w:rFonts w:hint="eastAsia" w:ascii="宋体" w:hAnsi="宋体" w:cs="宋体"/>
          <w:b w:val="0"/>
          <w:sz w:val="24"/>
          <w:highlight w:val="none"/>
          <w:lang w:eastAsia="zh-CN"/>
        </w:rPr>
        <w:t>前</w:t>
      </w:r>
      <w:r>
        <w:rPr>
          <w:rFonts w:hint="eastAsia" w:ascii="宋体" w:hAnsi="宋体" w:cs="宋体"/>
          <w:b w:val="0"/>
          <w:sz w:val="24"/>
          <w:highlight w:val="none"/>
        </w:rPr>
        <w:t>按投标时的承诺设置维护基地，并经采购单位同意。中标单位未按承诺设置维护基地或逾期未设置维护基地的。</w:t>
      </w:r>
    </w:p>
    <w:p>
      <w:pPr>
        <w:spacing w:line="400" w:lineRule="exact"/>
        <w:ind w:firstLine="720" w:firstLineChars="300"/>
        <w:rPr>
          <w:rFonts w:ascii="宋体" w:hAnsi="宋体" w:cs="宋体"/>
          <w:sz w:val="24"/>
        </w:rPr>
      </w:pPr>
      <w:r>
        <w:rPr>
          <w:rFonts w:hint="eastAsia" w:ascii="宋体" w:hAnsi="宋体" w:cs="宋体"/>
          <w:sz w:val="24"/>
          <w:lang w:val="en-US" w:eastAsia="zh-CN"/>
        </w:rPr>
        <w:t>6</w:t>
      </w:r>
      <w:r>
        <w:rPr>
          <w:rFonts w:hint="eastAsia" w:ascii="宋体" w:hAnsi="宋体" w:cs="宋体"/>
          <w:sz w:val="24"/>
        </w:rPr>
        <w:t>、</w:t>
      </w:r>
      <w:r>
        <w:rPr>
          <w:rFonts w:hint="eastAsia" w:ascii="宋体" w:hAnsi="宋体" w:cs="宋体"/>
          <w:bCs/>
          <w:sz w:val="24"/>
        </w:rPr>
        <w:t>凡涉及招标文件的补充说明或修正，均以江阴市公共资源交易中心书面依据为准。</w:t>
      </w:r>
    </w:p>
    <w:p>
      <w:pPr>
        <w:spacing w:line="400" w:lineRule="exact"/>
        <w:ind w:firstLine="720" w:firstLineChars="300"/>
        <w:rPr>
          <w:rFonts w:ascii="宋体" w:hAnsi="宋体" w:cs="宋体"/>
          <w:sz w:val="24"/>
        </w:rPr>
      </w:pPr>
      <w:r>
        <w:rPr>
          <w:rFonts w:hint="eastAsia" w:ascii="宋体" w:hAnsi="宋体" w:cs="宋体"/>
          <w:sz w:val="24"/>
          <w:lang w:val="en-US" w:eastAsia="zh-CN"/>
        </w:rPr>
        <w:t>7</w:t>
      </w:r>
      <w:r>
        <w:rPr>
          <w:rFonts w:hint="eastAsia" w:ascii="宋体" w:hAnsi="宋体" w:cs="宋体"/>
          <w:sz w:val="24"/>
        </w:rPr>
        <w:t>、</w:t>
      </w:r>
      <w:r>
        <w:rPr>
          <w:rFonts w:hint="eastAsia" w:ascii="宋体" w:hAnsi="宋体" w:cs="宋体"/>
          <w:bCs/>
          <w:sz w:val="24"/>
        </w:rPr>
        <w:t>江阴市公共资源交易中心</w:t>
      </w:r>
      <w:r>
        <w:rPr>
          <w:rFonts w:hint="eastAsia" w:ascii="宋体" w:hAnsi="宋体" w:cs="宋体"/>
          <w:sz w:val="24"/>
        </w:rPr>
        <w:t>对本次招标结果不作任何解释。</w:t>
      </w:r>
    </w:p>
    <w:p>
      <w:pPr>
        <w:rPr>
          <w:rStyle w:val="94"/>
          <w:rFonts w:ascii="黑体" w:hAnsi="黑体" w:eastAsia="黑体"/>
          <w:bCs/>
          <w:color w:val="auto"/>
          <w:sz w:val="30"/>
          <w:szCs w:val="30"/>
          <w:u w:val="none"/>
        </w:rPr>
      </w:pPr>
      <w:r>
        <w:rPr>
          <w:rStyle w:val="94"/>
          <w:rFonts w:ascii="黑体" w:hAnsi="黑体" w:eastAsia="黑体"/>
          <w:bCs/>
          <w:color w:val="auto"/>
          <w:sz w:val="30"/>
          <w:szCs w:val="30"/>
          <w:u w:val="none"/>
        </w:rPr>
        <w:br w:type="page"/>
      </w:r>
      <w:bookmarkEnd w:id="32"/>
    </w:p>
    <w:p>
      <w:pPr>
        <w:tabs>
          <w:tab w:val="left" w:pos="0"/>
        </w:tabs>
        <w:spacing w:line="400" w:lineRule="exact"/>
        <w:jc w:val="center"/>
        <w:rPr>
          <w:rStyle w:val="94"/>
          <w:rFonts w:ascii="黑体" w:hAnsi="黑体" w:eastAsia="黑体"/>
          <w:bCs/>
          <w:color w:val="auto"/>
          <w:sz w:val="30"/>
          <w:szCs w:val="30"/>
          <w:u w:val="none"/>
        </w:rPr>
      </w:pPr>
    </w:p>
    <w:p>
      <w:pPr>
        <w:tabs>
          <w:tab w:val="left" w:pos="0"/>
        </w:tabs>
        <w:spacing w:line="400" w:lineRule="exact"/>
        <w:jc w:val="center"/>
        <w:rPr>
          <w:rFonts w:ascii="黑体" w:hAnsi="黑体" w:eastAsia="黑体"/>
          <w:sz w:val="30"/>
          <w:szCs w:val="30"/>
        </w:rPr>
      </w:pPr>
      <w:r>
        <w:rPr>
          <w:rStyle w:val="94"/>
          <w:rFonts w:hint="eastAsia" w:ascii="黑体" w:hAnsi="黑体" w:eastAsia="黑体"/>
          <w:bCs/>
          <w:color w:val="auto"/>
          <w:sz w:val="30"/>
          <w:szCs w:val="30"/>
          <w:u w:val="none"/>
        </w:rPr>
        <w:t>第五章　</w:t>
      </w:r>
      <w:r>
        <w:rPr>
          <w:rFonts w:hint="eastAsia" w:ascii="黑体" w:hAnsi="黑体" w:eastAsia="黑体"/>
          <w:bCs/>
          <w:sz w:val="30"/>
          <w:szCs w:val="30"/>
        </w:rPr>
        <w:t>评标方法和评标标准</w:t>
      </w:r>
    </w:p>
    <w:bookmarkEnd w:id="31"/>
    <w:p>
      <w:pPr>
        <w:spacing w:line="400" w:lineRule="exact"/>
        <w:ind w:firstLine="480" w:firstLineChars="200"/>
        <w:outlineLvl w:val="0"/>
        <w:rPr>
          <w:rFonts w:ascii="楷体_GB2312" w:eastAsia="楷体_GB2312"/>
          <w:sz w:val="24"/>
        </w:rPr>
      </w:pPr>
    </w:p>
    <w:p>
      <w:pPr>
        <w:spacing w:line="600" w:lineRule="exact"/>
        <w:jc w:val="left"/>
        <w:rPr>
          <w:rFonts w:ascii="黑体" w:hAnsi="黑体" w:eastAsia="黑体"/>
          <w:sz w:val="28"/>
          <w:szCs w:val="28"/>
        </w:rPr>
      </w:pPr>
      <w:r>
        <w:rPr>
          <w:rFonts w:hint="eastAsia" w:ascii="黑体" w:hAnsi="黑体" w:eastAsia="黑体"/>
          <w:sz w:val="28"/>
          <w:szCs w:val="28"/>
        </w:rPr>
        <w:t>一、评标方法</w:t>
      </w:r>
    </w:p>
    <w:p>
      <w:pPr>
        <w:spacing w:line="400" w:lineRule="exact"/>
        <w:ind w:firstLine="480" w:firstLineChars="200"/>
        <w:jc w:val="left"/>
        <w:rPr>
          <w:rFonts w:ascii="宋体" w:hAnsi="宋体" w:cs="宋体"/>
          <w:sz w:val="24"/>
        </w:rPr>
      </w:pPr>
      <w:r>
        <w:rPr>
          <w:rFonts w:hint="eastAsia" w:ascii="宋体" w:hAnsi="宋体" w:cs="宋体"/>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pPr>
        <w:spacing w:line="400" w:lineRule="exact"/>
        <w:ind w:firstLine="480" w:firstLineChars="200"/>
        <w:jc w:val="left"/>
        <w:rPr>
          <w:rFonts w:ascii="宋体" w:hAnsi="宋体" w:cs="宋体"/>
          <w:bCs/>
          <w:sz w:val="24"/>
        </w:rPr>
      </w:pPr>
      <w:r>
        <w:rPr>
          <w:rFonts w:hint="eastAsia" w:ascii="宋体" w:hAnsi="宋体" w:cs="宋体"/>
          <w:bCs/>
          <w:sz w:val="24"/>
        </w:rPr>
        <w:t>评标委员会遵循公平、公正、择优原则，独立按照评分标准分别评定投标人的分值；各投标人的最终得分为各评委所评定分值的平均值，并按高低顺序排列，</w:t>
      </w:r>
      <w:r>
        <w:rPr>
          <w:rFonts w:hint="default" w:ascii="Times New Roman" w:hAnsi="Times New Roman" w:eastAsia="宋体" w:cs="Times New Roman"/>
          <w:i w:val="0"/>
          <w:iCs w:val="0"/>
          <w:caps w:val="0"/>
          <w:color w:val="000000"/>
          <w:spacing w:val="0"/>
          <w:sz w:val="24"/>
          <w:szCs w:val="24"/>
          <w:shd w:val="clear" w:fill="FFFFFF"/>
        </w:rPr>
        <w:t>确定中标候选单位。得分最高者为第一中标候选单位，采购人确认为中标单位。</w:t>
      </w:r>
      <w:r>
        <w:rPr>
          <w:rFonts w:hint="eastAsia" w:ascii="宋体" w:hAnsi="宋体" w:cs="宋体"/>
          <w:bCs/>
          <w:sz w:val="24"/>
        </w:rPr>
        <w:t>若得分相同，按投标报价由低到高顺序排列；得分且投标报价相同，按技术指标优劣顺序排列。</w:t>
      </w:r>
    </w:p>
    <w:p>
      <w:pPr>
        <w:spacing w:line="400" w:lineRule="exact"/>
        <w:ind w:firstLine="480" w:firstLineChars="200"/>
        <w:outlineLvl w:val="0"/>
        <w:rPr>
          <w:rFonts w:asciiTheme="minorEastAsia" w:hAnsiTheme="minorEastAsia" w:eastAsiaTheme="minorEastAsia"/>
          <w:sz w:val="24"/>
        </w:rPr>
      </w:pPr>
      <w:r>
        <w:rPr>
          <w:rFonts w:hint="eastAsia" w:ascii="宋体" w:hAnsi="宋体" w:cs="宋体"/>
          <w:sz w:val="24"/>
        </w:rPr>
        <w:t>注：每部分的得分保留小数点后两位，合计得分保留小数点后两位。</w:t>
      </w:r>
    </w:p>
    <w:p>
      <w:pPr>
        <w:spacing w:line="400" w:lineRule="exact"/>
        <w:jc w:val="left"/>
        <w:outlineLvl w:val="0"/>
        <w:rPr>
          <w:rFonts w:ascii="黑体" w:hAnsi="黑体" w:eastAsia="黑体"/>
          <w:sz w:val="28"/>
          <w:szCs w:val="28"/>
        </w:rPr>
      </w:pPr>
    </w:p>
    <w:p>
      <w:pPr>
        <w:spacing w:line="600" w:lineRule="exact"/>
        <w:jc w:val="left"/>
        <w:rPr>
          <w:rFonts w:ascii="黑体" w:hAnsi="黑体" w:eastAsia="黑体"/>
          <w:sz w:val="28"/>
          <w:szCs w:val="28"/>
        </w:rPr>
      </w:pPr>
      <w:r>
        <w:rPr>
          <w:rFonts w:hint="eastAsia" w:ascii="黑体" w:hAnsi="黑体" w:eastAsia="黑体"/>
          <w:sz w:val="28"/>
          <w:szCs w:val="28"/>
        </w:rPr>
        <w:t>二、评分标准</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1276"/>
        <w:gridCol w:w="5833"/>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sz w:val="24"/>
              </w:rPr>
            </w:pPr>
            <w:r>
              <w:rPr>
                <w:rFonts w:hint="eastAsia" w:ascii="宋体" w:hAnsi="宋体"/>
                <w:sz w:val="24"/>
              </w:rPr>
              <w:t>评分项</w:t>
            </w:r>
          </w:p>
        </w:tc>
        <w:tc>
          <w:tcPr>
            <w:tcW w:w="708" w:type="dxa"/>
            <w:vAlign w:val="center"/>
          </w:tcPr>
          <w:p>
            <w:pPr>
              <w:spacing w:line="400" w:lineRule="exact"/>
              <w:jc w:val="center"/>
              <w:rPr>
                <w:rFonts w:ascii="宋体" w:hAnsi="宋体"/>
                <w:sz w:val="24"/>
              </w:rPr>
            </w:pPr>
            <w:r>
              <w:rPr>
                <w:rFonts w:hint="eastAsia" w:ascii="宋体" w:hAnsi="宋体"/>
                <w:sz w:val="24"/>
              </w:rPr>
              <w:t>序号</w:t>
            </w:r>
          </w:p>
        </w:tc>
        <w:tc>
          <w:tcPr>
            <w:tcW w:w="1276" w:type="dxa"/>
            <w:vAlign w:val="center"/>
          </w:tcPr>
          <w:p>
            <w:pPr>
              <w:spacing w:line="400" w:lineRule="exact"/>
              <w:jc w:val="center"/>
              <w:rPr>
                <w:rFonts w:ascii="宋体" w:hAnsi="宋体"/>
                <w:sz w:val="24"/>
              </w:rPr>
            </w:pPr>
            <w:r>
              <w:rPr>
                <w:rFonts w:hint="eastAsia" w:ascii="宋体" w:hAnsi="宋体"/>
                <w:sz w:val="24"/>
              </w:rPr>
              <w:t>评分因素</w:t>
            </w:r>
          </w:p>
        </w:tc>
        <w:tc>
          <w:tcPr>
            <w:tcW w:w="5833" w:type="dxa"/>
            <w:vAlign w:val="center"/>
          </w:tcPr>
          <w:p>
            <w:pPr>
              <w:spacing w:line="400" w:lineRule="exact"/>
              <w:jc w:val="center"/>
              <w:rPr>
                <w:rFonts w:ascii="宋体" w:hAnsi="宋体"/>
                <w:sz w:val="24"/>
              </w:rPr>
            </w:pPr>
            <w:r>
              <w:rPr>
                <w:rFonts w:hint="eastAsia" w:ascii="宋体" w:hAnsi="宋体"/>
                <w:sz w:val="24"/>
              </w:rPr>
              <w:t>评分细则</w:t>
            </w:r>
          </w:p>
        </w:tc>
        <w:tc>
          <w:tcPr>
            <w:tcW w:w="477" w:type="dxa"/>
            <w:vAlign w:val="center"/>
          </w:tcPr>
          <w:p>
            <w:pPr>
              <w:spacing w:line="400" w:lineRule="exact"/>
              <w:jc w:val="center"/>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400" w:lineRule="exact"/>
              <w:jc w:val="center"/>
              <w:rPr>
                <w:rFonts w:ascii="宋体" w:hAnsi="宋体" w:cs="宋体"/>
                <w:bCs/>
                <w:sz w:val="24"/>
              </w:rPr>
            </w:pPr>
            <w:r>
              <w:rPr>
                <w:rFonts w:hint="eastAsia" w:ascii="宋体" w:hAnsi="宋体" w:cs="宋体"/>
                <w:bCs/>
                <w:sz w:val="24"/>
              </w:rPr>
              <w:t>一、价格部分</w:t>
            </w:r>
          </w:p>
          <w:p>
            <w:pPr>
              <w:spacing w:line="400" w:lineRule="exact"/>
              <w:jc w:val="center"/>
              <w:rPr>
                <w:rFonts w:ascii="宋体" w:hAnsi="宋体" w:cs="宋体"/>
                <w:b/>
                <w:sz w:val="24"/>
              </w:rPr>
            </w:pPr>
            <w:r>
              <w:rPr>
                <w:rFonts w:hint="eastAsia" w:ascii="宋体" w:hAnsi="宋体" w:cs="宋体"/>
                <w:bCs/>
                <w:sz w:val="24"/>
              </w:rPr>
              <w:t>（30分）</w:t>
            </w: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1.1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投标报价</w:t>
            </w:r>
          </w:p>
        </w:tc>
        <w:tc>
          <w:tcPr>
            <w:tcW w:w="5833" w:type="dxa"/>
            <w:vAlign w:val="center"/>
          </w:tcPr>
          <w:p>
            <w:pPr>
              <w:spacing w:line="400" w:lineRule="exact"/>
              <w:rPr>
                <w:rFonts w:ascii="宋体" w:hAnsi="宋体" w:cs="宋体"/>
                <w:sz w:val="24"/>
              </w:rPr>
            </w:pPr>
            <w:r>
              <w:rPr>
                <w:rFonts w:hint="eastAsia" w:ascii="宋体" w:hAnsi="宋体" w:cs="宋体"/>
                <w:sz w:val="24"/>
              </w:rPr>
              <w:t>满足招标文件要求且投标报价最低的投标报价为评标基准价，其价格为满分。其他投标人的价格分按照下列公式计算：</w:t>
            </w:r>
          </w:p>
          <w:p>
            <w:pPr>
              <w:spacing w:line="400" w:lineRule="exact"/>
              <w:rPr>
                <w:rFonts w:ascii="宋体" w:hAnsi="宋体" w:cs="宋体"/>
                <w:sz w:val="24"/>
              </w:rPr>
            </w:pPr>
            <w:r>
              <w:rPr>
                <w:rFonts w:hint="eastAsia" w:ascii="宋体" w:hAnsi="宋体" w:cs="宋体"/>
                <w:sz w:val="24"/>
              </w:rPr>
              <w:t>投标报价得分＝（评标基准价/投标报价）×30分</w:t>
            </w:r>
          </w:p>
        </w:tc>
        <w:tc>
          <w:tcPr>
            <w:tcW w:w="477" w:type="dxa"/>
            <w:vAlign w:val="center"/>
          </w:tcPr>
          <w:p>
            <w:pPr>
              <w:spacing w:line="400" w:lineRule="exact"/>
              <w:jc w:val="center"/>
              <w:rPr>
                <w:rFonts w:ascii="宋体" w:hAnsi="宋体" w:cs="宋体"/>
                <w:sz w:val="24"/>
                <w:u w:val="single"/>
              </w:rPr>
            </w:pPr>
            <w:r>
              <w:rPr>
                <w:rFonts w:hint="eastAsia" w:ascii="宋体" w:hAnsi="宋体"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bCs/>
                <w:sz w:val="24"/>
              </w:rPr>
            </w:pPr>
            <w:r>
              <w:rPr>
                <w:rFonts w:hint="eastAsia" w:ascii="宋体" w:hAnsi="宋体" w:cs="宋体"/>
                <w:bCs/>
                <w:sz w:val="24"/>
              </w:rPr>
              <w:t>二、技术部分</w:t>
            </w:r>
          </w:p>
          <w:p>
            <w:pPr>
              <w:spacing w:line="400" w:lineRule="exact"/>
              <w:jc w:val="center"/>
              <w:rPr>
                <w:rFonts w:ascii="宋体" w:hAnsi="宋体" w:cs="宋体"/>
                <w:b/>
                <w:sz w:val="24"/>
              </w:rPr>
            </w:pPr>
            <w:r>
              <w:rPr>
                <w:rFonts w:hint="eastAsia" w:ascii="宋体" w:hAnsi="宋体" w:cs="宋体"/>
                <w:bCs/>
                <w:sz w:val="24"/>
              </w:rPr>
              <w:t>（</w:t>
            </w:r>
            <w:r>
              <w:rPr>
                <w:rFonts w:hint="eastAsia" w:ascii="宋体" w:hAnsi="宋体" w:cs="宋体"/>
                <w:bCs/>
                <w:sz w:val="24"/>
                <w:lang w:val="en-US" w:eastAsia="zh-CN"/>
              </w:rPr>
              <w:t>61</w:t>
            </w:r>
            <w:r>
              <w:rPr>
                <w:rFonts w:hint="eastAsia" w:ascii="宋体" w:hAnsi="宋体" w:cs="宋体"/>
                <w:bCs/>
                <w:sz w:val="24"/>
              </w:rPr>
              <w:t>分）</w:t>
            </w: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维护方案</w:t>
            </w:r>
          </w:p>
        </w:tc>
        <w:tc>
          <w:tcPr>
            <w:tcW w:w="5833" w:type="dxa"/>
            <w:vAlign w:val="center"/>
          </w:tcPr>
          <w:p>
            <w:pPr>
              <w:spacing w:line="380" w:lineRule="exact"/>
              <w:rPr>
                <w:rFonts w:ascii="宋体" w:hAnsi="宋体" w:cs="宋体"/>
                <w:sz w:val="24"/>
              </w:rPr>
            </w:pPr>
            <w:r>
              <w:rPr>
                <w:rFonts w:hint="eastAsia" w:ascii="宋体" w:hAnsi="宋体" w:eastAsia="宋体" w:cs="宋体"/>
                <w:sz w:val="24"/>
                <w:highlight w:val="none"/>
              </w:rPr>
              <w:t>针对路灯箱变维护工作制定详细的维护方案（</w:t>
            </w:r>
            <w:r>
              <w:rPr>
                <w:rFonts w:hint="eastAsia" w:ascii="宋体" w:hAnsi="宋体" w:eastAsia="宋体" w:cs="宋体"/>
                <w:sz w:val="24"/>
                <w:highlight w:val="none"/>
                <w:lang w:val="en-US" w:eastAsia="zh-CN"/>
              </w:rPr>
              <w:t>年度维修、月度维修、日常维修、应急抢修、值班、</w:t>
            </w:r>
            <w:r>
              <w:rPr>
                <w:rFonts w:hint="eastAsia" w:ascii="宋体" w:hAnsi="宋体" w:eastAsia="宋体" w:cs="宋体"/>
                <w:sz w:val="24"/>
                <w:highlight w:val="none"/>
              </w:rPr>
              <w:t>重大活动保障</w:t>
            </w:r>
            <w:r>
              <w:rPr>
                <w:rFonts w:hint="eastAsia" w:ascii="宋体" w:hAnsi="宋体" w:eastAsia="宋体" w:cs="宋体"/>
                <w:sz w:val="24"/>
                <w:highlight w:val="none"/>
                <w:lang w:eastAsia="zh-CN"/>
              </w:rPr>
              <w:t>）</w:t>
            </w:r>
            <w:r>
              <w:rPr>
                <w:rFonts w:hint="eastAsia" w:ascii="宋体" w:hAnsi="宋体" w:eastAsia="宋体" w:cs="宋体"/>
                <w:sz w:val="24"/>
                <w:highlight w:val="none"/>
              </w:rPr>
              <w:t>，方案必须有针对性，可操作性。根据维护保障方案横向比较，优秀得8-10分，良好得5-7分，一般得2-4分，较差得0-1分。</w:t>
            </w:r>
          </w:p>
        </w:tc>
        <w:tc>
          <w:tcPr>
            <w:tcW w:w="477" w:type="dxa"/>
            <w:vAlign w:val="center"/>
          </w:tcPr>
          <w:p>
            <w:pPr>
              <w:spacing w:line="380" w:lineRule="exact"/>
              <w:jc w:val="center"/>
              <w:rPr>
                <w:rFonts w:hint="default" w:ascii="宋体" w:hAnsi="宋体" w:eastAsia="宋体" w:cs="宋体"/>
                <w:sz w:val="24"/>
                <w:lang w:val="en-US" w:eastAsia="zh-CN"/>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2.2</w:t>
            </w:r>
          </w:p>
        </w:tc>
        <w:tc>
          <w:tcPr>
            <w:tcW w:w="1276" w:type="dxa"/>
            <w:vAlign w:val="center"/>
          </w:tcPr>
          <w:p>
            <w:pPr>
              <w:spacing w:line="400" w:lineRule="exact"/>
              <w:jc w:val="center"/>
              <w:rPr>
                <w:rFonts w:ascii="宋体" w:hAnsi="宋体" w:cs="宋体"/>
                <w:sz w:val="24"/>
              </w:rPr>
            </w:pPr>
            <w:r>
              <w:rPr>
                <w:rFonts w:hint="eastAsia" w:ascii="宋体" w:hAnsi="宋体" w:cs="宋体"/>
                <w:sz w:val="24"/>
              </w:rPr>
              <w:t>安保措施方案</w:t>
            </w:r>
          </w:p>
        </w:tc>
        <w:tc>
          <w:tcPr>
            <w:tcW w:w="5833" w:type="dxa"/>
            <w:vAlign w:val="center"/>
          </w:tcPr>
          <w:p>
            <w:pPr>
              <w:spacing w:line="38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highlight w:val="none"/>
              </w:rPr>
              <w:t>针对路灯箱变维护工作制定详细的</w:t>
            </w:r>
            <w:r>
              <w:rPr>
                <w:rFonts w:hint="eastAsia" w:ascii="宋体" w:hAnsi="宋体" w:eastAsia="宋体" w:cs="宋体"/>
                <w:sz w:val="24"/>
                <w:highlight w:val="none"/>
                <w:lang w:val="en-US" w:eastAsia="zh-CN"/>
              </w:rPr>
              <w:t>安保措施</w:t>
            </w:r>
            <w:r>
              <w:rPr>
                <w:rFonts w:hint="eastAsia" w:ascii="宋体" w:hAnsi="宋体" w:eastAsia="宋体" w:cs="宋体"/>
                <w:sz w:val="24"/>
                <w:highlight w:val="none"/>
              </w:rPr>
              <w:t>方案</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安全教育、安全隐患排查、</w:t>
            </w:r>
            <w:r>
              <w:rPr>
                <w:rFonts w:hint="eastAsia" w:ascii="宋体" w:hAnsi="宋体" w:eastAsia="宋体" w:cs="宋体"/>
                <w:sz w:val="24"/>
                <w:highlight w:val="none"/>
              </w:rPr>
              <w:t>安全防护用品配置</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带电作业、</w:t>
            </w:r>
            <w:r>
              <w:rPr>
                <w:rFonts w:hint="eastAsia" w:ascii="宋体" w:hAnsi="宋体" w:eastAsia="宋体" w:cs="宋体"/>
                <w:sz w:val="24"/>
                <w:highlight w:val="none"/>
              </w:rPr>
              <w:t>高空作业等），方案合理、针对性、可操作强。根据维护保障方案横向比较，优秀得</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分，良好得</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分，一般得</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分，较差得</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分。</w:t>
            </w:r>
          </w:p>
        </w:tc>
        <w:tc>
          <w:tcPr>
            <w:tcW w:w="477" w:type="dxa"/>
            <w:vAlign w:val="center"/>
          </w:tcPr>
          <w:p>
            <w:pPr>
              <w:spacing w:line="380" w:lineRule="exact"/>
              <w:jc w:val="center"/>
              <w:rPr>
                <w:rFonts w:hint="eastAsia" w:ascii="宋体" w:hAnsi="宋体" w:eastAsia="宋体" w:cs="宋体"/>
                <w:sz w:val="24"/>
                <w:lang w:eastAsia="zh-CN"/>
              </w:rPr>
            </w:pPr>
            <w:r>
              <w:rPr>
                <w:rFonts w:hint="eastAsia" w:ascii="宋体" w:hAnsi="宋体" w:eastAsia="宋体" w:cs="宋体"/>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Cs/>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人员配置方案（一</w:t>
            </w:r>
            <w:r>
              <w:rPr>
                <w:rFonts w:hint="eastAsia" w:ascii="宋体" w:hAnsi="宋体"/>
                <w:sz w:val="24"/>
              </w:rPr>
              <w:t>）</w:t>
            </w:r>
          </w:p>
        </w:tc>
        <w:tc>
          <w:tcPr>
            <w:tcW w:w="5833" w:type="dxa"/>
            <w:vAlign w:val="center"/>
          </w:tcPr>
          <w:p>
            <w:pPr>
              <w:spacing w:line="400" w:lineRule="exact"/>
              <w:rPr>
                <w:rFonts w:ascii="宋体" w:hAnsi="宋体" w:cs="宋体"/>
                <w:sz w:val="24"/>
              </w:rPr>
            </w:pPr>
            <w:r>
              <w:rPr>
                <w:rFonts w:hint="eastAsia" w:ascii="宋体" w:hAnsi="宋体" w:cs="宋体"/>
                <w:sz w:val="24"/>
              </w:rPr>
              <w:t>根据投标人为本项目配备的项目部管理人员</w:t>
            </w:r>
            <w:r>
              <w:rPr>
                <w:rFonts w:hint="eastAsia" w:ascii="宋体" w:hAnsi="宋体" w:cs="宋体"/>
                <w:sz w:val="24"/>
                <w:lang w:eastAsia="zh-CN"/>
              </w:rPr>
              <w:t>（</w:t>
            </w:r>
            <w:r>
              <w:rPr>
                <w:rFonts w:hint="eastAsia" w:ascii="宋体" w:hAnsi="宋体" w:eastAsia="宋体" w:cs="宋体"/>
                <w:bCs/>
                <w:color w:val="auto"/>
                <w:sz w:val="24"/>
                <w:highlight w:val="none"/>
                <w:lang w:val="en-US" w:eastAsia="zh-CN"/>
              </w:rPr>
              <w:t>项目经理、技术负责人、安全员、工程师等</w:t>
            </w:r>
            <w:r>
              <w:rPr>
                <w:rFonts w:hint="eastAsia" w:ascii="宋体" w:hAnsi="宋体" w:cs="宋体"/>
                <w:bCs/>
                <w:color w:val="auto"/>
                <w:sz w:val="24"/>
                <w:highlight w:val="none"/>
                <w:lang w:val="en-US" w:eastAsia="zh-CN"/>
              </w:rPr>
              <w:t>）</w:t>
            </w:r>
            <w:r>
              <w:rPr>
                <w:rFonts w:hint="eastAsia" w:ascii="宋体" w:hAnsi="宋体" w:cs="宋体"/>
                <w:sz w:val="24"/>
              </w:rPr>
              <w:t>的资质证书、同类项目业绩等情况横向比较打分，</w:t>
            </w:r>
            <w:r>
              <w:rPr>
                <w:rFonts w:hint="eastAsia" w:ascii="宋体" w:hAnsi="宋体" w:eastAsia="宋体" w:cs="宋体"/>
                <w:sz w:val="24"/>
                <w:highlight w:val="none"/>
                <w:lang w:val="en-US" w:eastAsia="zh-CN"/>
              </w:rPr>
              <w:t>优秀得3-4分，一般得1-2分，较差得0分。</w:t>
            </w:r>
          </w:p>
          <w:p>
            <w:pPr>
              <w:pStyle w:val="2"/>
              <w:spacing w:after="0" w:line="400" w:lineRule="exact"/>
              <w:ind w:left="0" w:leftChars="0" w:right="0" w:rightChars="0"/>
              <w:rPr>
                <w:rFonts w:ascii="宋体" w:hAnsi="宋体" w:cs="宋体"/>
                <w:bCs/>
                <w:sz w:val="24"/>
              </w:rPr>
            </w:pPr>
            <w:r>
              <w:rPr>
                <w:rFonts w:hint="eastAsia" w:ascii="宋体" w:hAnsi="宋体" w:cs="宋体"/>
                <w:bCs/>
                <w:sz w:val="24"/>
              </w:rPr>
              <w:t>【须提供人员名单，证书、业绩复印件（原件备查），且项目负责人、技术负责人须提供本单位连续6个月（且至少包含近3个月中任意1个月份&lt;不含投标当月&gt;）为其缴纳社保的证明扫描件；其他人员须提供本单位连续3个月（且至少包含近3个月中任意1个月份&lt;不含投标当月&gt;）为其缴纳社保的证明复印件】</w:t>
            </w:r>
          </w:p>
        </w:tc>
        <w:tc>
          <w:tcPr>
            <w:tcW w:w="477" w:type="dxa"/>
            <w:vAlign w:val="center"/>
          </w:tcPr>
          <w:p>
            <w:pPr>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2.4</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人员配置方案</w:t>
            </w:r>
            <w:r>
              <w:rPr>
                <w:rFonts w:hint="eastAsia" w:ascii="宋体" w:hAnsi="宋体"/>
                <w:sz w:val="24"/>
              </w:rPr>
              <w:t>（二）</w:t>
            </w:r>
          </w:p>
        </w:tc>
        <w:tc>
          <w:tcPr>
            <w:tcW w:w="5833" w:type="dxa"/>
            <w:vAlign w:val="center"/>
          </w:tcPr>
          <w:p>
            <w:pPr>
              <w:spacing w:line="400" w:lineRule="exact"/>
              <w:rPr>
                <w:rFonts w:ascii="宋体" w:hAnsi="宋体" w:cs="宋体"/>
                <w:bCs/>
                <w:sz w:val="24"/>
              </w:rPr>
            </w:pPr>
            <w:r>
              <w:rPr>
                <w:rFonts w:hint="eastAsia" w:ascii="宋体" w:hAnsi="宋体" w:cs="宋体"/>
                <w:sz w:val="24"/>
              </w:rPr>
              <w:t>投标人为本项目配备的</w:t>
            </w:r>
            <w:r>
              <w:rPr>
                <w:rFonts w:hint="eastAsia" w:ascii="宋体" w:hAnsi="宋体" w:cs="宋体"/>
                <w:bCs/>
                <w:sz w:val="24"/>
              </w:rPr>
              <w:t>技术工人中：</w:t>
            </w:r>
          </w:p>
          <w:p>
            <w:pPr>
              <w:spacing w:line="400" w:lineRule="exact"/>
              <w:rPr>
                <w:rFonts w:ascii="宋体" w:hAnsi="宋体" w:cs="宋体"/>
                <w:bCs/>
                <w:sz w:val="24"/>
              </w:rPr>
            </w:pPr>
            <w:r>
              <w:rPr>
                <w:rFonts w:hint="eastAsia" w:ascii="宋体" w:hAnsi="宋体" w:eastAsia="宋体" w:cs="宋体"/>
                <w:sz w:val="24"/>
                <w:highlight w:val="none"/>
                <w:lang w:val="en-US" w:eastAsia="zh-CN"/>
              </w:rPr>
              <w:t>①低压电工1人及以上，须持有电工证（低压电工证或建筑电工证），每人1分，最高得3分；若同时持有高处作业证，另加1分；本项最高得4分。</w:t>
            </w:r>
          </w:p>
          <w:p>
            <w:pPr>
              <w:spacing w:line="380" w:lineRule="exact"/>
              <w:ind w:firstLine="0" w:firstLineChars="0"/>
              <w:rPr>
                <w:rFonts w:hint="eastAsia" w:ascii="宋体" w:hAnsi="宋体" w:eastAsia="宋体" w:cs="宋体"/>
                <w:sz w:val="24"/>
                <w:szCs w:val="24"/>
                <w:lang w:eastAsia="zh-CN"/>
              </w:rPr>
            </w:pPr>
            <w:r>
              <w:rPr>
                <w:rFonts w:hint="eastAsia" w:ascii="宋体" w:hAnsi="宋体" w:eastAsia="宋体" w:cs="宋体"/>
                <w:sz w:val="24"/>
                <w:highlight w:val="none"/>
              </w:rPr>
              <w:t>②</w:t>
            </w:r>
            <w:r>
              <w:rPr>
                <w:rFonts w:ascii="宋体" w:hAnsi="宋体" w:eastAsia="宋体" w:cs="宋体"/>
                <w:sz w:val="24"/>
                <w:szCs w:val="24"/>
              </w:rPr>
              <w:t>高压电工2人及以上，须持有高压电工证，每人1分，最高得5分；若同时持有高处作业证，另加1分；本项最高得6分（少于2人的，本项不得分）</w:t>
            </w:r>
            <w:r>
              <w:rPr>
                <w:rFonts w:hint="eastAsia" w:ascii="宋体" w:hAnsi="宋体" w:cs="宋体"/>
                <w:sz w:val="24"/>
                <w:szCs w:val="24"/>
                <w:lang w:eastAsia="zh-CN"/>
              </w:rPr>
              <w:t>。</w:t>
            </w:r>
          </w:p>
          <w:p>
            <w:pPr>
              <w:spacing w:line="380" w:lineRule="exact"/>
              <w:ind w:firstLine="0" w:firstLineChars="0"/>
              <w:rPr>
                <w:rFonts w:hint="eastAsia" w:ascii="宋体" w:hAnsi="宋体" w:eastAsia="宋体" w:cs="宋体"/>
                <w:sz w:val="24"/>
                <w:highlight w:val="none"/>
                <w:lang w:eastAsia="zh-CN"/>
              </w:rPr>
            </w:pPr>
            <w:r>
              <w:rPr>
                <w:rFonts w:hint="eastAsia" w:ascii="宋体" w:hAnsi="宋体" w:eastAsia="宋体" w:cs="宋体"/>
                <w:sz w:val="24"/>
                <w:highlight w:val="none"/>
              </w:rPr>
              <w:t>③指挥员</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人</w:t>
            </w:r>
            <w:r>
              <w:rPr>
                <w:rFonts w:hint="eastAsia" w:ascii="宋体" w:hAnsi="宋体" w:eastAsia="宋体" w:cs="宋体"/>
                <w:sz w:val="24"/>
                <w:highlight w:val="none"/>
                <w:lang w:val="en-US" w:eastAsia="zh-CN"/>
              </w:rPr>
              <w:t>及</w:t>
            </w:r>
            <w:r>
              <w:rPr>
                <w:rFonts w:hint="eastAsia" w:ascii="宋体" w:hAnsi="宋体" w:eastAsia="宋体" w:cs="宋体"/>
                <w:sz w:val="24"/>
                <w:highlight w:val="none"/>
              </w:rPr>
              <w:t>以上，持有指挥证（新证Q1或老证Q3），每人1分，最高得3分</w:t>
            </w:r>
            <w:r>
              <w:rPr>
                <w:rFonts w:hint="eastAsia" w:ascii="宋体" w:hAnsi="宋体" w:cs="宋体"/>
                <w:sz w:val="24"/>
                <w:highlight w:val="none"/>
                <w:lang w:eastAsia="zh-CN"/>
              </w:rPr>
              <w:t>。</w:t>
            </w:r>
          </w:p>
          <w:p>
            <w:pPr>
              <w:spacing w:line="400" w:lineRule="exact"/>
              <w:rPr>
                <w:rFonts w:ascii="宋体" w:hAnsi="宋体" w:cs="宋体"/>
                <w:bCs/>
                <w:sz w:val="24"/>
              </w:rPr>
            </w:pPr>
            <w:r>
              <w:rPr>
                <w:rFonts w:hint="eastAsia" w:ascii="宋体" w:hAnsi="宋体" w:eastAsia="宋体" w:cs="宋体"/>
                <w:sz w:val="24"/>
                <w:highlight w:val="none"/>
              </w:rPr>
              <w:t>④司索员</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人</w:t>
            </w:r>
            <w:r>
              <w:rPr>
                <w:rFonts w:hint="eastAsia" w:ascii="宋体" w:hAnsi="宋体" w:eastAsia="宋体" w:cs="宋体"/>
                <w:sz w:val="24"/>
                <w:highlight w:val="none"/>
                <w:lang w:val="en-US" w:eastAsia="zh-CN"/>
              </w:rPr>
              <w:t>及</w:t>
            </w:r>
            <w:r>
              <w:rPr>
                <w:rFonts w:hint="eastAsia" w:ascii="宋体" w:hAnsi="宋体" w:eastAsia="宋体" w:cs="宋体"/>
                <w:sz w:val="24"/>
                <w:highlight w:val="none"/>
              </w:rPr>
              <w:t>以上，持有司索证（新证Q1或老证Q3），每人1分，最高得3分。</w:t>
            </w:r>
          </w:p>
          <w:p>
            <w:pPr>
              <w:spacing w:line="400" w:lineRule="exact"/>
              <w:rPr>
                <w:rFonts w:ascii="宋体" w:hAnsi="宋体"/>
                <w:sz w:val="24"/>
              </w:rPr>
            </w:pPr>
            <w:r>
              <w:rPr>
                <w:rFonts w:hint="eastAsia" w:ascii="宋体" w:hAnsi="宋体" w:cs="宋体"/>
                <w:bCs/>
                <w:sz w:val="24"/>
              </w:rPr>
              <w:t>【①-</w:t>
            </w:r>
            <w:r>
              <w:rPr>
                <w:rFonts w:hint="eastAsia" w:ascii="宋体" w:hAnsi="宋体" w:cs="宋体"/>
                <w:bCs/>
                <w:sz w:val="24"/>
                <w:lang w:eastAsia="zh-CN"/>
              </w:rPr>
              <w:t>④</w:t>
            </w:r>
            <w:r>
              <w:rPr>
                <w:rFonts w:hint="eastAsia" w:ascii="宋体" w:hAnsi="宋体" w:cs="宋体"/>
                <w:bCs/>
                <w:sz w:val="24"/>
              </w:rPr>
              <w:t>项同一人员不得兼任，须提供人员名单，证书复印件（原件备查），且须提供本单位连续3个月（且至少包含近3个月中任意1个月份&lt;不含投标当月&gt;）为其缴纳社保的证明复印件】</w:t>
            </w:r>
          </w:p>
        </w:tc>
        <w:tc>
          <w:tcPr>
            <w:tcW w:w="477" w:type="dxa"/>
            <w:vAlign w:val="center"/>
          </w:tcPr>
          <w:p>
            <w:pPr>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
                <w:sz w:val="24"/>
              </w:rPr>
            </w:pPr>
            <w:r>
              <w:rPr>
                <w:rFonts w:hint="eastAsia" w:ascii="宋体" w:hAnsi="宋体" w:cs="宋体"/>
                <w:bCs/>
                <w:sz w:val="24"/>
              </w:rPr>
              <w:t>2.5</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机具设备配置方案（一）</w:t>
            </w:r>
          </w:p>
        </w:tc>
        <w:tc>
          <w:tcPr>
            <w:tcW w:w="5833" w:type="dxa"/>
            <w:vAlign w:val="center"/>
          </w:tcPr>
          <w:p>
            <w:pPr>
              <w:spacing w:line="400" w:lineRule="exact"/>
              <w:rPr>
                <w:rFonts w:ascii="宋体" w:hAnsi="宋体" w:cs="宋体"/>
                <w:bCs/>
                <w:sz w:val="24"/>
              </w:rPr>
            </w:pPr>
            <w:r>
              <w:rPr>
                <w:rFonts w:hint="eastAsia" w:ascii="宋体" w:hAnsi="宋体" w:cs="宋体"/>
                <w:bCs/>
                <w:sz w:val="24"/>
              </w:rPr>
              <w:t>投标人为本项目配备的</w:t>
            </w:r>
            <w:r>
              <w:rPr>
                <w:rFonts w:hint="eastAsia" w:ascii="宋体" w:hAnsi="宋体" w:cs="宋体"/>
                <w:sz w:val="24"/>
              </w:rPr>
              <w:t>机具设备中：</w:t>
            </w:r>
          </w:p>
          <w:p>
            <w:pPr>
              <w:spacing w:line="40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①</w:t>
            </w:r>
            <w:r>
              <w:rPr>
                <w:rFonts w:hint="eastAsia" w:ascii="宋体" w:hAnsi="宋体" w:eastAsia="宋体" w:cs="宋体"/>
                <w:sz w:val="24"/>
                <w:highlight w:val="none"/>
                <w:lang w:val="en-US" w:eastAsia="zh-CN"/>
              </w:rPr>
              <w:t>具</w:t>
            </w:r>
            <w:r>
              <w:rPr>
                <w:rFonts w:hint="eastAsia" w:ascii="宋体" w:hAnsi="宋体" w:eastAsia="宋体" w:cs="宋体"/>
                <w:sz w:val="24"/>
                <w:highlight w:val="none"/>
              </w:rPr>
              <w:t>有重型专项作业车设备（汽车式起重机）</w:t>
            </w:r>
            <w:r>
              <w:rPr>
                <w:rFonts w:hint="eastAsia" w:ascii="宋体" w:hAnsi="宋体" w:eastAsia="宋体" w:cs="宋体"/>
                <w:sz w:val="24"/>
                <w:highlight w:val="none"/>
                <w:lang w:val="en-US" w:eastAsia="zh-CN"/>
              </w:rPr>
              <w:t>1台及以上，</w:t>
            </w:r>
            <w:r>
              <w:rPr>
                <w:rFonts w:hint="eastAsia" w:ascii="宋体" w:hAnsi="宋体" w:eastAsia="宋体" w:cs="宋体"/>
                <w:sz w:val="24"/>
                <w:highlight w:val="none"/>
              </w:rPr>
              <w:t>每台得3分，最高得</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分。</w:t>
            </w:r>
          </w:p>
          <w:p>
            <w:pPr>
              <w:spacing w:line="400" w:lineRule="exact"/>
              <w:rPr>
                <w:rFonts w:hint="eastAsia" w:ascii="宋体" w:hAnsi="宋体" w:eastAsia="宋体" w:cs="宋体"/>
                <w:sz w:val="24"/>
                <w:highlight w:val="none"/>
                <w:lang w:eastAsia="zh-CN"/>
              </w:rPr>
            </w:pPr>
            <w:r>
              <w:rPr>
                <w:rFonts w:hint="eastAsia" w:ascii="宋体" w:hAnsi="宋体" w:cs="宋体"/>
                <w:color w:val="auto"/>
                <w:sz w:val="24"/>
                <w:highlight w:val="none"/>
                <w:lang w:eastAsia="zh-CN"/>
              </w:rPr>
              <w:t>②</w:t>
            </w:r>
            <w:r>
              <w:rPr>
                <w:rFonts w:hint="eastAsia" w:ascii="宋体" w:hAnsi="宋体" w:eastAsia="宋体" w:cs="宋体"/>
                <w:sz w:val="24"/>
                <w:highlight w:val="none"/>
                <w:lang w:val="en-US" w:eastAsia="zh-CN"/>
              </w:rPr>
              <w:t>具</w:t>
            </w:r>
            <w:r>
              <w:rPr>
                <w:rFonts w:hint="eastAsia" w:ascii="宋体" w:hAnsi="宋体" w:eastAsia="宋体" w:cs="宋体"/>
                <w:sz w:val="24"/>
                <w:highlight w:val="none"/>
              </w:rPr>
              <w:t>有载重汽车（装载质量≥4t）</w:t>
            </w:r>
            <w:r>
              <w:rPr>
                <w:rFonts w:hint="eastAsia" w:ascii="宋体" w:hAnsi="宋体" w:eastAsia="宋体" w:cs="宋体"/>
                <w:sz w:val="24"/>
                <w:highlight w:val="none"/>
                <w:lang w:val="en-US" w:eastAsia="zh-CN"/>
              </w:rPr>
              <w:t>1台及以上</w:t>
            </w:r>
            <w:r>
              <w:rPr>
                <w:rFonts w:hint="eastAsia" w:ascii="宋体" w:hAnsi="宋体" w:eastAsia="宋体" w:cs="宋体"/>
                <w:sz w:val="24"/>
                <w:highlight w:val="none"/>
              </w:rPr>
              <w:t>,每辆得</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分，最高得</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分</w:t>
            </w:r>
            <w:r>
              <w:rPr>
                <w:rFonts w:hint="eastAsia" w:ascii="宋体" w:hAnsi="宋体" w:cs="宋体"/>
                <w:sz w:val="24"/>
                <w:highlight w:val="none"/>
                <w:lang w:eastAsia="zh-CN"/>
              </w:rPr>
              <w:t>。</w:t>
            </w:r>
          </w:p>
          <w:p>
            <w:pPr>
              <w:spacing w:line="400" w:lineRule="exact"/>
              <w:rPr>
                <w:rFonts w:hint="eastAsia" w:ascii="宋体" w:hAnsi="宋体" w:eastAsia="宋体" w:cs="宋体"/>
                <w:sz w:val="24"/>
                <w:highlight w:val="none"/>
              </w:rPr>
            </w:pPr>
            <w:r>
              <w:rPr>
                <w:rFonts w:hint="eastAsia" w:ascii="宋体" w:hAnsi="宋体" w:cs="宋体"/>
                <w:sz w:val="24"/>
                <w:highlight w:val="none"/>
                <w:lang w:eastAsia="zh-CN"/>
              </w:rPr>
              <w:t>③具</w:t>
            </w:r>
            <w:r>
              <w:rPr>
                <w:rFonts w:hint="eastAsia" w:ascii="宋体" w:hAnsi="宋体" w:eastAsia="宋体" w:cs="宋体"/>
                <w:sz w:val="24"/>
                <w:highlight w:val="none"/>
              </w:rPr>
              <w:t>有工程抢修车（皮卡等）</w:t>
            </w:r>
            <w:r>
              <w:rPr>
                <w:rFonts w:hint="eastAsia" w:ascii="宋体" w:hAnsi="宋体" w:eastAsia="宋体" w:cs="宋体"/>
                <w:sz w:val="24"/>
                <w:highlight w:val="none"/>
                <w:lang w:val="en-US" w:eastAsia="zh-CN"/>
              </w:rPr>
              <w:t>1台及以上</w:t>
            </w:r>
            <w:r>
              <w:rPr>
                <w:rFonts w:hint="eastAsia" w:ascii="宋体" w:hAnsi="宋体" w:eastAsia="宋体" w:cs="宋体"/>
                <w:sz w:val="24"/>
                <w:highlight w:val="none"/>
              </w:rPr>
              <w:t>，每辆得</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分，最高得</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w:t>
            </w:r>
          </w:p>
          <w:p>
            <w:pPr>
              <w:spacing w:line="400" w:lineRule="exact"/>
              <w:rPr>
                <w:rFonts w:ascii="宋体" w:hAnsi="宋体" w:cs="宋体"/>
                <w:sz w:val="24"/>
              </w:rPr>
            </w:pPr>
            <w:r>
              <w:rPr>
                <w:rFonts w:hint="eastAsia" w:ascii="宋体" w:hAnsi="宋体" w:cs="宋体"/>
                <w:sz w:val="24"/>
              </w:rPr>
              <w:t>（须提供本单位注册的行驶证复印件，原件备查）</w:t>
            </w:r>
          </w:p>
        </w:tc>
        <w:tc>
          <w:tcPr>
            <w:tcW w:w="477" w:type="dxa"/>
            <w:vAlign w:val="center"/>
          </w:tcPr>
          <w:p>
            <w:pPr>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b/>
                <w:sz w:val="24"/>
              </w:rPr>
            </w:pPr>
          </w:p>
        </w:tc>
        <w:tc>
          <w:tcPr>
            <w:tcW w:w="708" w:type="dxa"/>
            <w:vAlign w:val="center"/>
          </w:tcPr>
          <w:p>
            <w:pPr>
              <w:spacing w:line="400" w:lineRule="exact"/>
              <w:jc w:val="center"/>
              <w:rPr>
                <w:rFonts w:ascii="宋体" w:hAnsi="宋体" w:cs="宋体"/>
                <w:bCs/>
                <w:sz w:val="24"/>
              </w:rPr>
            </w:pPr>
            <w:r>
              <w:rPr>
                <w:rFonts w:hint="eastAsia" w:ascii="宋体" w:hAnsi="宋体" w:cs="宋体"/>
                <w:bCs/>
                <w:sz w:val="24"/>
              </w:rPr>
              <w:t>2.6</w:t>
            </w:r>
          </w:p>
        </w:tc>
        <w:tc>
          <w:tcPr>
            <w:tcW w:w="1276" w:type="dxa"/>
            <w:vAlign w:val="center"/>
          </w:tcPr>
          <w:p>
            <w:pPr>
              <w:spacing w:line="400" w:lineRule="exact"/>
              <w:jc w:val="center"/>
              <w:rPr>
                <w:rFonts w:ascii="宋体" w:hAnsi="宋体" w:cs="宋体"/>
                <w:sz w:val="24"/>
              </w:rPr>
            </w:pPr>
            <w:r>
              <w:rPr>
                <w:rFonts w:hint="eastAsia" w:ascii="宋体" w:hAnsi="宋体" w:cs="宋体"/>
                <w:sz w:val="24"/>
              </w:rPr>
              <w:t>机具设备配置方案（二）</w:t>
            </w:r>
          </w:p>
        </w:tc>
        <w:tc>
          <w:tcPr>
            <w:tcW w:w="5833" w:type="dxa"/>
            <w:vAlign w:val="center"/>
          </w:tcPr>
          <w:p>
            <w:pPr>
              <w:spacing w:line="400" w:lineRule="exact"/>
              <w:rPr>
                <w:rFonts w:ascii="宋体" w:hAnsi="宋体" w:cs="宋体"/>
                <w:bCs/>
                <w:sz w:val="24"/>
              </w:rPr>
            </w:pP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箱变</w:t>
            </w:r>
            <w:r>
              <w:rPr>
                <w:rFonts w:hint="eastAsia" w:ascii="宋体" w:hAnsi="宋体" w:eastAsia="宋体" w:cs="宋体"/>
                <w:sz w:val="24"/>
                <w:highlight w:val="none"/>
              </w:rPr>
              <w:t>维修常用工具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至少包含安全防护工具、电工工具、万用表、钳形电流表、接地电阻测试仪、绝缘电阻测试仪等</w:t>
            </w:r>
            <w:r>
              <w:rPr>
                <w:rFonts w:hint="eastAsia" w:ascii="宋体" w:hAnsi="宋体" w:eastAsia="宋体" w:cs="宋体"/>
                <w:sz w:val="24"/>
                <w:highlight w:val="none"/>
                <w:lang w:eastAsia="zh-CN"/>
              </w:rPr>
              <w:t>）、</w:t>
            </w:r>
            <w:r>
              <w:rPr>
                <w:rFonts w:hint="eastAsia" w:ascii="宋体" w:hAnsi="宋体" w:eastAsia="宋体" w:cs="宋体"/>
                <w:sz w:val="24"/>
                <w:highlight w:val="none"/>
              </w:rPr>
              <w:t>备品备件</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至少包含电缆、避雷器、熔芯、高压开关柜、变压器等</w:t>
            </w:r>
            <w:r>
              <w:rPr>
                <w:rFonts w:hint="eastAsia" w:ascii="宋体" w:hAnsi="宋体" w:eastAsia="宋体" w:cs="宋体"/>
                <w:sz w:val="24"/>
                <w:highlight w:val="none"/>
                <w:lang w:eastAsia="zh-CN"/>
              </w:rPr>
              <w:t>）</w:t>
            </w:r>
            <w:r>
              <w:rPr>
                <w:rFonts w:hint="eastAsia" w:ascii="宋体" w:hAnsi="宋体" w:eastAsia="宋体" w:cs="宋体"/>
                <w:sz w:val="24"/>
                <w:highlight w:val="none"/>
              </w:rPr>
              <w:t>配备情况在0-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分间酌情打分。（工具</w:t>
            </w:r>
            <w:r>
              <w:rPr>
                <w:rFonts w:hint="eastAsia" w:ascii="宋体" w:hAnsi="宋体" w:eastAsia="宋体" w:cs="宋体"/>
                <w:sz w:val="24"/>
                <w:highlight w:val="none"/>
                <w:lang w:val="en-US" w:eastAsia="zh-CN"/>
              </w:rPr>
              <w:t>和备品备件</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别</w:t>
            </w:r>
            <w:r>
              <w:rPr>
                <w:rFonts w:hint="eastAsia" w:ascii="宋体" w:hAnsi="宋体" w:eastAsia="宋体" w:cs="宋体"/>
                <w:sz w:val="24"/>
                <w:highlight w:val="none"/>
              </w:rPr>
              <w:t>列表</w:t>
            </w:r>
            <w:r>
              <w:rPr>
                <w:rFonts w:hint="eastAsia" w:ascii="宋体" w:hAnsi="宋体" w:eastAsia="宋体" w:cs="宋体"/>
                <w:sz w:val="24"/>
                <w:highlight w:val="none"/>
                <w:lang w:val="en-US" w:eastAsia="zh-CN"/>
              </w:rPr>
              <w:t>并</w:t>
            </w:r>
            <w:r>
              <w:rPr>
                <w:rFonts w:hint="eastAsia" w:ascii="宋体" w:hAnsi="宋体" w:eastAsia="宋体" w:cs="宋体"/>
                <w:sz w:val="24"/>
                <w:highlight w:val="none"/>
              </w:rPr>
              <w:t>作出相关承诺）</w:t>
            </w:r>
          </w:p>
        </w:tc>
        <w:tc>
          <w:tcPr>
            <w:tcW w:w="477" w:type="dxa"/>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400" w:lineRule="exact"/>
              <w:jc w:val="center"/>
              <w:rPr>
                <w:rFonts w:ascii="宋体" w:hAnsi="宋体" w:cs="宋体"/>
                <w:sz w:val="24"/>
              </w:rPr>
            </w:pPr>
            <w:r>
              <w:rPr>
                <w:rFonts w:hint="eastAsia" w:ascii="宋体" w:hAnsi="宋体" w:cs="宋体"/>
                <w:sz w:val="24"/>
              </w:rPr>
              <w:t>三、商务部分</w:t>
            </w:r>
          </w:p>
          <w:p>
            <w:pPr>
              <w:spacing w:line="400" w:lineRule="exact"/>
              <w:jc w:val="center"/>
              <w:rPr>
                <w:rFonts w:ascii="宋体" w:hAnsi="宋体" w:cs="宋体"/>
                <w:sz w:val="24"/>
              </w:rPr>
            </w:pPr>
            <w:r>
              <w:rPr>
                <w:rFonts w:hint="eastAsia" w:ascii="宋体" w:hAnsi="宋体" w:cs="宋体"/>
                <w:sz w:val="24"/>
              </w:rPr>
              <w:t>（15分）</w:t>
            </w:r>
          </w:p>
        </w:tc>
        <w:tc>
          <w:tcPr>
            <w:tcW w:w="708" w:type="dxa"/>
            <w:vAlign w:val="center"/>
          </w:tcPr>
          <w:p>
            <w:pPr>
              <w:spacing w:line="400" w:lineRule="exact"/>
              <w:jc w:val="center"/>
              <w:rPr>
                <w:rFonts w:ascii="宋体" w:hAnsi="宋体" w:cs="宋体"/>
                <w:sz w:val="24"/>
              </w:rPr>
            </w:pPr>
            <w:r>
              <w:rPr>
                <w:rFonts w:hint="eastAsia" w:ascii="宋体" w:hAnsi="宋体" w:cs="宋体"/>
                <w:sz w:val="24"/>
              </w:rPr>
              <w:t>3.1</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（一）</w:t>
            </w:r>
          </w:p>
        </w:tc>
        <w:tc>
          <w:tcPr>
            <w:tcW w:w="5833" w:type="dxa"/>
            <w:vAlign w:val="center"/>
          </w:tcPr>
          <w:p>
            <w:pPr>
              <w:spacing w:line="400" w:lineRule="exact"/>
              <w:rPr>
                <w:rFonts w:ascii="宋体" w:hAnsi="宋体"/>
                <w:sz w:val="24"/>
              </w:rPr>
            </w:pPr>
            <w:r>
              <w:rPr>
                <w:rFonts w:hint="eastAsia" w:ascii="宋体" w:hAnsi="宋体" w:cs="宋体"/>
                <w:sz w:val="24"/>
              </w:rPr>
              <w:t>投标人具有①机电工程施工总承包资质、②</w:t>
            </w:r>
            <w:r>
              <w:rPr>
                <w:rFonts w:hint="eastAsia" w:ascii="宋体" w:hAnsi="宋体" w:cs="宋体"/>
                <w:sz w:val="24"/>
                <w:lang w:eastAsia="zh-CN"/>
              </w:rPr>
              <w:t>电力工程施工总承包资质</w:t>
            </w:r>
            <w:r>
              <w:rPr>
                <w:rFonts w:hint="eastAsia" w:ascii="宋体" w:hAnsi="宋体" w:cs="宋体"/>
                <w:sz w:val="24"/>
              </w:rPr>
              <w:t>、</w:t>
            </w:r>
            <w:r>
              <w:rPr>
                <w:rFonts w:hint="eastAsia" w:ascii="宋体" w:hAnsi="宋体" w:cs="宋体"/>
                <w:sz w:val="24"/>
                <w:lang w:eastAsia="zh-CN"/>
              </w:rPr>
              <w:t>③</w:t>
            </w:r>
            <w:r>
              <w:rPr>
                <w:rFonts w:hint="eastAsia" w:ascii="宋体" w:hAnsi="宋体" w:cs="宋体"/>
                <w:sz w:val="24"/>
                <w:highlight w:val="none"/>
              </w:rPr>
              <w:t>质量管理体系认证</w:t>
            </w:r>
            <w:r>
              <w:rPr>
                <w:rFonts w:hint="eastAsia" w:ascii="宋体" w:hAnsi="宋体" w:cs="宋体"/>
                <w:sz w:val="24"/>
              </w:rPr>
              <w:t>、</w:t>
            </w:r>
            <w:r>
              <w:rPr>
                <w:rFonts w:hint="eastAsia" w:ascii="宋体" w:hAnsi="宋体" w:cs="宋体"/>
                <w:sz w:val="24"/>
                <w:lang w:eastAsia="zh-CN"/>
              </w:rPr>
              <w:t>④</w:t>
            </w:r>
            <w:r>
              <w:rPr>
                <w:rFonts w:hint="eastAsia" w:ascii="宋体" w:hAnsi="宋体" w:cs="宋体"/>
                <w:sz w:val="24"/>
              </w:rPr>
              <w:t>环境管理体系认证、⑤职业健康安全管理体系认证的，有一项得</w:t>
            </w:r>
            <w:r>
              <w:rPr>
                <w:rFonts w:hint="eastAsia" w:ascii="宋体" w:hAnsi="宋体" w:cs="宋体"/>
                <w:sz w:val="24"/>
                <w:lang w:val="en-US" w:eastAsia="zh-CN"/>
              </w:rPr>
              <w:t>1</w:t>
            </w:r>
            <w:r>
              <w:rPr>
                <w:rFonts w:hint="eastAsia" w:ascii="宋体" w:hAnsi="宋体" w:cs="宋体"/>
                <w:sz w:val="24"/>
              </w:rPr>
              <w:t>分，最高得3分。</w:t>
            </w:r>
            <w:r>
              <w:rPr>
                <w:rFonts w:hint="eastAsia" w:ascii="宋体" w:hAnsi="宋体"/>
                <w:sz w:val="24"/>
              </w:rPr>
              <w:t>（须提供证书复印件，原件备查）</w:t>
            </w:r>
          </w:p>
        </w:tc>
        <w:tc>
          <w:tcPr>
            <w:tcW w:w="477" w:type="dxa"/>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3.2</w:t>
            </w:r>
          </w:p>
        </w:tc>
        <w:tc>
          <w:tcPr>
            <w:tcW w:w="1276" w:type="dxa"/>
            <w:vAlign w:val="center"/>
          </w:tcPr>
          <w:p>
            <w:pPr>
              <w:spacing w:line="400" w:lineRule="exact"/>
              <w:jc w:val="center"/>
              <w:rPr>
                <w:rFonts w:ascii="宋体" w:hAnsi="宋体" w:cs="宋体"/>
                <w:sz w:val="24"/>
              </w:rPr>
            </w:pPr>
            <w:r>
              <w:rPr>
                <w:rFonts w:hint="eastAsia" w:ascii="宋体" w:hAnsi="宋体" w:cs="宋体"/>
                <w:sz w:val="24"/>
              </w:rPr>
              <w:t>综合实力</w:t>
            </w:r>
          </w:p>
          <w:p>
            <w:pPr>
              <w:pStyle w:val="2"/>
              <w:spacing w:after="0" w:line="400" w:lineRule="exact"/>
              <w:ind w:left="0" w:leftChars="0" w:right="0" w:rightChars="0"/>
              <w:jc w:val="center"/>
              <w:rPr>
                <w:rFonts w:ascii="宋体" w:hAnsi="宋体"/>
                <w:sz w:val="24"/>
              </w:rPr>
            </w:pPr>
            <w:r>
              <w:rPr>
                <w:rFonts w:hint="eastAsia" w:ascii="宋体" w:hAnsi="宋体"/>
                <w:sz w:val="24"/>
              </w:rPr>
              <w:t>（二）</w:t>
            </w:r>
          </w:p>
        </w:tc>
        <w:tc>
          <w:tcPr>
            <w:tcW w:w="5833" w:type="dxa"/>
            <w:vAlign w:val="center"/>
          </w:tcPr>
          <w:p>
            <w:pPr>
              <w:spacing w:line="380" w:lineRule="exact"/>
              <w:rPr>
                <w:rFonts w:ascii="宋体" w:hAnsi="宋体" w:cs="宋体"/>
                <w:bCs/>
                <w:sz w:val="24"/>
              </w:rPr>
            </w:pPr>
            <w:r>
              <w:rPr>
                <w:rFonts w:hint="eastAsia" w:ascii="宋体" w:hAnsi="宋体" w:cs="宋体"/>
                <w:sz w:val="24"/>
              </w:rPr>
              <w:t>投标人承诺签订合同前在江阴市范围内设置维护基地，</w:t>
            </w:r>
            <w:r>
              <w:rPr>
                <w:rFonts w:hint="eastAsia" w:ascii="宋体" w:hAnsi="宋体" w:cs="宋体"/>
                <w:sz w:val="24"/>
                <w:highlight w:val="none"/>
              </w:rPr>
              <w:t>每个维护基地</w:t>
            </w:r>
            <w:r>
              <w:rPr>
                <w:rFonts w:hint="eastAsia" w:ascii="宋体" w:hAnsi="宋体" w:cs="宋体"/>
                <w:sz w:val="24"/>
              </w:rPr>
              <w:t>的总面积</w:t>
            </w:r>
            <w:r>
              <w:rPr>
                <w:rFonts w:hint="eastAsia" w:ascii="宋体" w:hAnsi="宋体" w:cs="宋体"/>
                <w:sz w:val="24"/>
                <w:lang w:eastAsia="zh-CN"/>
              </w:rPr>
              <w:t>达到</w:t>
            </w:r>
            <w:r>
              <w:rPr>
                <w:rFonts w:hint="eastAsia" w:ascii="宋体" w:hAnsi="宋体" w:cs="宋体"/>
                <w:sz w:val="24"/>
              </w:rPr>
              <w:t>基本要求（</w:t>
            </w:r>
            <w:r>
              <w:rPr>
                <w:rFonts w:hint="eastAsia" w:ascii="宋体" w:hAnsi="宋体" w:cs="宋体"/>
                <w:sz w:val="24"/>
                <w:lang w:val="en-US" w:eastAsia="zh-CN"/>
              </w:rPr>
              <w:t>350</w:t>
            </w:r>
            <w:r>
              <w:rPr>
                <w:rFonts w:hint="eastAsia" w:ascii="宋体" w:hAnsi="宋体" w:cs="宋体"/>
                <w:sz w:val="24"/>
              </w:rPr>
              <w:t>平方米）</w:t>
            </w:r>
            <w:r>
              <w:rPr>
                <w:rFonts w:hint="eastAsia" w:ascii="宋体" w:hAnsi="宋体" w:cs="宋体"/>
                <w:sz w:val="24"/>
                <w:lang w:eastAsia="zh-CN"/>
              </w:rPr>
              <w:t>且超过</w:t>
            </w:r>
            <w:r>
              <w:rPr>
                <w:rFonts w:hint="eastAsia" w:ascii="宋体" w:hAnsi="宋体" w:cs="宋体"/>
                <w:sz w:val="24"/>
              </w:rPr>
              <w:t>20%的，得3分。（承诺书格式自拟）</w:t>
            </w:r>
          </w:p>
        </w:tc>
        <w:tc>
          <w:tcPr>
            <w:tcW w:w="477" w:type="dxa"/>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3.3</w:t>
            </w:r>
          </w:p>
        </w:tc>
        <w:tc>
          <w:tcPr>
            <w:tcW w:w="1276" w:type="dxa"/>
            <w:vAlign w:val="center"/>
          </w:tcPr>
          <w:p>
            <w:pPr>
              <w:spacing w:line="400" w:lineRule="exact"/>
              <w:jc w:val="center"/>
              <w:rPr>
                <w:rFonts w:ascii="宋体" w:hAnsi="宋体" w:cs="宋体"/>
                <w:sz w:val="24"/>
              </w:rPr>
            </w:pPr>
            <w:r>
              <w:rPr>
                <w:rFonts w:hint="eastAsia" w:ascii="宋体" w:hAnsi="宋体" w:cs="宋体"/>
                <w:sz w:val="24"/>
              </w:rPr>
              <w:t>业绩</w:t>
            </w:r>
          </w:p>
        </w:tc>
        <w:tc>
          <w:tcPr>
            <w:tcW w:w="5833" w:type="dxa"/>
            <w:vAlign w:val="center"/>
          </w:tcPr>
          <w:p>
            <w:pPr>
              <w:spacing w:line="400" w:lineRule="exact"/>
              <w:rPr>
                <w:rFonts w:ascii="宋体" w:hAnsi="宋体" w:cs="宋体"/>
                <w:sz w:val="24"/>
              </w:rPr>
            </w:pPr>
            <w:r>
              <w:rPr>
                <w:rFonts w:hint="eastAsia" w:ascii="宋体" w:hAnsi="宋体" w:cs="宋体"/>
                <w:sz w:val="24"/>
              </w:rPr>
              <w:t>2018年1月1日以来（以合同签订时间为准），投标人完成的类似项目业绩：</w:t>
            </w:r>
          </w:p>
          <w:p>
            <w:pPr>
              <w:spacing w:line="400" w:lineRule="exact"/>
              <w:rPr>
                <w:rFonts w:hint="eastAsia" w:ascii="宋体" w:hAnsi="宋体" w:eastAsia="宋体" w:cs="宋体"/>
                <w:color w:val="auto"/>
                <w:sz w:val="24"/>
                <w:highlight w:val="none"/>
              </w:rPr>
            </w:pPr>
            <w:r>
              <w:rPr>
                <w:rFonts w:hint="eastAsia" w:ascii="宋体" w:hAnsi="宋体" w:eastAsia="宋体" w:cs="宋体"/>
                <w:sz w:val="24"/>
                <w:highlight w:val="none"/>
              </w:rPr>
              <w:t>变压器、箱式变电站承装、承修、承试单个项目</w:t>
            </w:r>
            <w:r>
              <w:rPr>
                <w:rFonts w:hint="eastAsia" w:ascii="宋体" w:hAnsi="宋体" w:cs="宋体"/>
                <w:sz w:val="24"/>
                <w:highlight w:val="none"/>
                <w:lang w:eastAsia="zh-CN"/>
              </w:rPr>
              <w:t>：</w:t>
            </w:r>
            <w:r>
              <w:rPr>
                <w:rFonts w:hint="eastAsia" w:ascii="宋体" w:hAnsi="宋体" w:eastAsia="宋体" w:cs="宋体"/>
                <w:sz w:val="24"/>
                <w:highlight w:val="none"/>
              </w:rPr>
              <w:t>10万元＜合同金额≤50万元，每份得1分，最高得3分；</w:t>
            </w:r>
          </w:p>
          <w:p>
            <w:pPr>
              <w:spacing w:line="400" w:lineRule="exact"/>
              <w:rPr>
                <w:rFonts w:hint="eastAsia" w:ascii="宋体" w:hAnsi="宋体" w:eastAsia="宋体" w:cs="宋体"/>
                <w:color w:val="auto"/>
                <w:sz w:val="24"/>
                <w:highlight w:val="none"/>
              </w:rPr>
            </w:pPr>
            <w:r>
              <w:rPr>
                <w:rFonts w:hint="eastAsia" w:ascii="宋体" w:hAnsi="宋体" w:eastAsia="宋体" w:cs="宋体"/>
                <w:sz w:val="24"/>
                <w:highlight w:val="none"/>
              </w:rPr>
              <w:t>变压器、箱式变电站承装、承修、承试单个项目：50万元＜合同金额＜100万元，每份得2分，最高得6分；</w:t>
            </w: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变压器、箱式变电站承装、承修、承试单个项目：合同金额≥100万元的，每份得3分，最高得9分。</w:t>
            </w:r>
          </w:p>
          <w:p>
            <w:pPr>
              <w:spacing w:line="400" w:lineRule="exact"/>
              <w:rPr>
                <w:rFonts w:ascii="宋体" w:hAnsi="宋体" w:cs="宋体"/>
                <w:sz w:val="24"/>
              </w:rPr>
            </w:pPr>
            <w:r>
              <w:rPr>
                <w:rFonts w:hint="eastAsia" w:ascii="宋体" w:hAnsi="宋体" w:cs="宋体"/>
                <w:sz w:val="24"/>
              </w:rPr>
              <w:t>以上业绩可累计得分，本项最高得9分。</w:t>
            </w:r>
          </w:p>
          <w:p>
            <w:pPr>
              <w:spacing w:line="400" w:lineRule="exact"/>
              <w:rPr>
                <w:rFonts w:ascii="宋体" w:hAnsi="宋体" w:cs="宋体"/>
                <w:sz w:val="24"/>
              </w:rPr>
            </w:pPr>
            <w:r>
              <w:rPr>
                <w:rFonts w:hint="eastAsia" w:ascii="宋体" w:hAnsi="宋体" w:cs="宋体"/>
                <w:sz w:val="24"/>
              </w:rPr>
              <w:t>（</w:t>
            </w:r>
            <w:r>
              <w:rPr>
                <w:rFonts w:hint="eastAsia" w:ascii="宋体" w:hAnsi="宋体" w:eastAsia="宋体" w:cs="宋体"/>
                <w:sz w:val="24"/>
                <w:highlight w:val="none"/>
              </w:rPr>
              <w:t>单个变压器、箱式变电站承装、承修、承试项目合同金额为一年合同的金额</w:t>
            </w:r>
            <w:r>
              <w:rPr>
                <w:rFonts w:hint="eastAsia" w:ascii="宋体" w:hAnsi="宋体" w:cs="宋体"/>
                <w:sz w:val="24"/>
              </w:rPr>
              <w:t>。须同时提供合同及</w:t>
            </w:r>
            <w:r>
              <w:rPr>
                <w:rFonts w:hint="eastAsia" w:ascii="宋体" w:hAnsi="宋体" w:cs="宋体"/>
                <w:sz w:val="24"/>
                <w:highlight w:val="none"/>
              </w:rPr>
              <w:t>发票</w:t>
            </w:r>
            <w:r>
              <w:rPr>
                <w:rFonts w:hint="eastAsia" w:ascii="宋体" w:hAnsi="宋体" w:cs="宋体"/>
                <w:sz w:val="24"/>
              </w:rPr>
              <w:t>复印件，原件备查）</w:t>
            </w:r>
          </w:p>
        </w:tc>
        <w:tc>
          <w:tcPr>
            <w:tcW w:w="477" w:type="dxa"/>
            <w:vAlign w:val="center"/>
          </w:tcPr>
          <w:p>
            <w:pPr>
              <w:spacing w:line="400" w:lineRule="exact"/>
              <w:jc w:val="center"/>
              <w:rPr>
                <w:rFonts w:ascii="宋体" w:hAnsi="宋体" w:cs="宋体"/>
                <w:sz w:val="24"/>
              </w:rPr>
            </w:pPr>
            <w:r>
              <w:rPr>
                <w:rFonts w:hint="eastAsia" w:ascii="宋体" w:hAnsi="宋体" w:cs="宋体"/>
                <w:sz w:val="24"/>
              </w:rPr>
              <w:t>9</w:t>
            </w:r>
          </w:p>
        </w:tc>
      </w:tr>
    </w:tbl>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0" w:leftChars="0" w:right="1470"/>
      </w:pPr>
    </w:p>
    <w:p>
      <w:pPr>
        <w:pStyle w:val="2"/>
        <w:ind w:left="1470" w:right="1470"/>
      </w:pPr>
    </w:p>
    <w:p>
      <w:pPr>
        <w:spacing w:line="600" w:lineRule="exact"/>
        <w:jc w:val="left"/>
        <w:rPr>
          <w:rFonts w:ascii="黑体" w:hAnsi="黑体" w:eastAsia="黑体"/>
          <w:sz w:val="28"/>
          <w:szCs w:val="28"/>
        </w:rPr>
      </w:pPr>
    </w:p>
    <w:p>
      <w:pPr>
        <w:spacing w:line="360" w:lineRule="exact"/>
        <w:jc w:val="center"/>
        <w:outlineLvl w:val="0"/>
        <w:rPr>
          <w:rFonts w:ascii="黑体" w:hAnsi="宋体" w:eastAsia="黑体"/>
          <w:sz w:val="30"/>
          <w:szCs w:val="30"/>
        </w:rPr>
      </w:pPr>
    </w:p>
    <w:p>
      <w:pPr>
        <w:spacing w:line="360" w:lineRule="exact"/>
        <w:jc w:val="center"/>
        <w:outlineLvl w:val="0"/>
        <w:rPr>
          <w:rFonts w:ascii="黑体" w:hAnsi="宋体" w:eastAsia="黑体"/>
          <w:sz w:val="30"/>
          <w:szCs w:val="30"/>
        </w:rPr>
      </w:pPr>
      <w:r>
        <w:rPr>
          <w:rFonts w:hint="eastAsia" w:ascii="黑体" w:hAnsi="宋体" w:eastAsia="黑体"/>
          <w:sz w:val="30"/>
          <w:szCs w:val="30"/>
        </w:rPr>
        <w:t>第六章　合同书（格式）</w:t>
      </w:r>
    </w:p>
    <w:p>
      <w:pPr>
        <w:spacing w:line="360" w:lineRule="exact"/>
        <w:jc w:val="center"/>
        <w:outlineLvl w:val="0"/>
        <w:rPr>
          <w:rFonts w:ascii="黑体" w:hAnsi="宋体" w:eastAsia="黑体"/>
          <w:sz w:val="30"/>
          <w:szCs w:val="30"/>
        </w:rPr>
      </w:pPr>
    </w:p>
    <w:p>
      <w:pPr>
        <w:spacing w:line="420" w:lineRule="exact"/>
        <w:rPr>
          <w:rFonts w:asciiTheme="minorEastAsia" w:hAnsiTheme="minorEastAsia" w:eastAsiaTheme="minorEastAsia"/>
          <w:bCs/>
          <w:sz w:val="24"/>
          <w:u w:val="single"/>
        </w:rPr>
      </w:pPr>
      <w:bookmarkStart w:id="33" w:name="_Toc251268363"/>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w:t>
      </w:r>
    </w:p>
    <w:p>
      <w:pPr>
        <w:spacing w:line="420" w:lineRule="exact"/>
        <w:rPr>
          <w:rFonts w:asciiTheme="minorEastAsia" w:hAnsiTheme="minorEastAsia" w:eastAsiaTheme="minorEastAsia"/>
          <w:bCs/>
          <w:sz w:val="24"/>
          <w:u w:val="single"/>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w:t>
      </w:r>
    </w:p>
    <w:p>
      <w:pPr>
        <w:spacing w:line="400" w:lineRule="exact"/>
        <w:jc w:val="center"/>
        <w:rPr>
          <w:rFonts w:ascii="楷体_GB2312" w:hAnsi="宋体" w:eastAsia="楷体_GB2312"/>
          <w:b/>
          <w:sz w:val="28"/>
          <w:szCs w:val="28"/>
          <w:lang w:val="de-DE"/>
        </w:rPr>
      </w:pPr>
    </w:p>
    <w:p>
      <w:pPr>
        <w:autoSpaceDE w:val="0"/>
        <w:autoSpaceDN w:val="0"/>
        <w:adjustRightInd w:val="0"/>
        <w:spacing w:line="400" w:lineRule="exact"/>
        <w:ind w:firstLine="420"/>
        <w:jc w:val="left"/>
        <w:rPr>
          <w:rFonts w:asciiTheme="minorEastAsia" w:hAnsiTheme="minorEastAsia" w:eastAsiaTheme="minorEastAsia"/>
          <w:sz w:val="24"/>
        </w:rPr>
      </w:pPr>
      <w:r>
        <w:rPr>
          <w:rFonts w:hint="eastAsia" w:asciiTheme="minorEastAsia" w:hAnsiTheme="minorEastAsia" w:eastAsiaTheme="minorEastAsia"/>
          <w:sz w:val="24"/>
          <w:lang w:val="zh-CN"/>
        </w:rPr>
        <w:t>参照《中华人民共和国政府采购法》，根据《中华人民共和国民法典》等法律法规的规定，甲乙双方按照江阴市公共资源交易中心的采购结果签订本合同。</w:t>
      </w:r>
    </w:p>
    <w:p>
      <w:pPr>
        <w:spacing w:line="400" w:lineRule="exact"/>
        <w:rPr>
          <w:rFonts w:ascii="楷体_GB2312" w:eastAsia="楷体_GB2312"/>
          <w:sz w:val="24"/>
        </w:rPr>
      </w:pPr>
    </w:p>
    <w:p>
      <w:pPr>
        <w:spacing w:line="400" w:lineRule="exact"/>
        <w:rPr>
          <w:rFonts w:ascii="黑体" w:hAnsi="黑体" w:eastAsia="黑体"/>
          <w:sz w:val="24"/>
        </w:rPr>
      </w:pPr>
      <w:r>
        <w:rPr>
          <w:rFonts w:hint="eastAsia" w:ascii="黑体" w:hAnsi="黑体" w:eastAsia="黑体"/>
          <w:sz w:val="24"/>
        </w:rPr>
        <w:t>第一条　采购内容</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1、项目名称（项目编号）：</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2、服务内容：</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3、服务范围：</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4、服务期限：</w:t>
      </w:r>
      <w:r>
        <w:rPr>
          <w:rFonts w:hint="eastAsia" w:asciiTheme="minorEastAsia" w:hAnsiTheme="minorEastAsia" w:eastAsiaTheme="minorEastAsia"/>
          <w:sz w:val="24"/>
          <w:u w:val="single"/>
        </w:rPr>
        <w:t>　　　　　　　　　　　　　　　　　　　　　　　　　　</w:t>
      </w:r>
    </w:p>
    <w:p>
      <w:pPr>
        <w:spacing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5、其他：</w:t>
      </w:r>
      <w:r>
        <w:rPr>
          <w:rFonts w:hint="eastAsia" w:asciiTheme="minorEastAsia" w:hAnsiTheme="minorEastAsia" w:eastAsiaTheme="minorEastAsia"/>
          <w:sz w:val="24"/>
          <w:u w:val="single"/>
        </w:rPr>
        <w:t>　　　　　　　　　　　　　　　　　　　　　　　　　　　　</w:t>
      </w:r>
    </w:p>
    <w:p>
      <w:pPr>
        <w:autoSpaceDE w:val="0"/>
        <w:autoSpaceDN w:val="0"/>
        <w:adjustRightInd w:val="0"/>
        <w:spacing w:line="400" w:lineRule="exact"/>
        <w:jc w:val="left"/>
        <w:rPr>
          <w:rFonts w:ascii="黑体" w:hAnsi="黑体" w:eastAsia="黑体"/>
          <w:sz w:val="24"/>
          <w:lang w:val="zh-CN"/>
        </w:rPr>
      </w:pPr>
      <w:r>
        <w:rPr>
          <w:rFonts w:hint="eastAsia" w:ascii="黑体" w:hAnsi="黑体" w:eastAsia="黑体"/>
          <w:bCs/>
          <w:sz w:val="24"/>
          <w:lang w:val="zh-CN"/>
        </w:rPr>
        <w:t>第二条　合同总价款</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本合同人民币总价款为</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（小写），</w:t>
      </w:r>
      <w:r>
        <w:rPr>
          <w:rFonts w:hint="eastAsia" w:asciiTheme="minorEastAsia" w:hAnsiTheme="minorEastAsia" w:eastAsiaTheme="minorEastAsia"/>
          <w:sz w:val="24"/>
          <w:u w:val="single"/>
          <w:lang w:val="zh-CN"/>
        </w:rPr>
        <w:t>　　　　　　　　</w:t>
      </w:r>
      <w:r>
        <w:rPr>
          <w:rFonts w:hint="eastAsia" w:asciiTheme="minorEastAsia" w:hAnsiTheme="minorEastAsia" w:eastAsiaTheme="minorEastAsia"/>
          <w:sz w:val="24"/>
          <w:lang w:val="zh-CN"/>
        </w:rPr>
        <w:t>（大写）。</w:t>
      </w:r>
    </w:p>
    <w:p>
      <w:pPr>
        <w:autoSpaceDE w:val="0"/>
        <w:autoSpaceDN w:val="0"/>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本合同服务期限内合同总价款不变。（有另行规定的除外。）</w:t>
      </w:r>
    </w:p>
    <w:p>
      <w:pPr>
        <w:autoSpaceDE w:val="0"/>
        <w:autoSpaceDN w:val="0"/>
        <w:adjustRightInd w:val="0"/>
        <w:spacing w:line="400" w:lineRule="exact"/>
        <w:rPr>
          <w:rFonts w:ascii="黑体" w:hAnsi="黑体" w:eastAsia="黑体"/>
          <w:bCs/>
          <w:sz w:val="24"/>
          <w:lang w:val="zh-CN"/>
        </w:rPr>
      </w:pPr>
      <w:r>
        <w:rPr>
          <w:rFonts w:hint="eastAsia" w:ascii="黑体" w:hAnsi="黑体" w:eastAsia="黑体"/>
          <w:bCs/>
          <w:sz w:val="24"/>
          <w:lang w:val="zh-CN"/>
        </w:rPr>
        <w:t>第三条  履约保证金的缴纳和退还</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本项目是/否向采购人缴纳履约保证金：</w:t>
      </w:r>
      <w:r>
        <w:rPr>
          <w:rFonts w:hint="eastAsia" w:ascii="宋体" w:hAnsi="宋体"/>
          <w:bCs/>
          <w:sz w:val="24"/>
          <w:u w:val="single"/>
        </w:rPr>
        <w:t xml:space="preserve">              </w:t>
      </w:r>
      <w:r>
        <w:rPr>
          <w:rFonts w:hint="eastAsia" w:ascii="宋体" w:hAnsi="宋体"/>
          <w:bCs/>
          <w:sz w:val="24"/>
        </w:rPr>
        <w:t xml:space="preserve"> 。</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履约保证金缴纳金额：</w:t>
      </w:r>
      <w:r>
        <w:rPr>
          <w:rFonts w:hint="eastAsia" w:ascii="宋体" w:hAnsi="宋体"/>
          <w:bCs/>
          <w:sz w:val="24"/>
          <w:u w:val="single"/>
        </w:rPr>
        <w:t xml:space="preserve">              </w:t>
      </w:r>
      <w:r>
        <w:rPr>
          <w:rFonts w:hint="eastAsia" w:ascii="宋体" w:hAnsi="宋体"/>
          <w:bCs/>
          <w:sz w:val="24"/>
        </w:rPr>
        <w:t>元。</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履约保证金的缴纳时间：</w:t>
      </w:r>
      <w:r>
        <w:rPr>
          <w:rFonts w:hint="eastAsia" w:ascii="宋体" w:hAnsi="宋体"/>
          <w:bCs/>
          <w:sz w:val="24"/>
          <w:u w:val="single"/>
        </w:rPr>
        <w:t xml:space="preserve">                </w:t>
      </w:r>
      <w:r>
        <w:rPr>
          <w:rFonts w:hint="eastAsia" w:ascii="宋体" w:hAnsi="宋体"/>
          <w:bCs/>
          <w:sz w:val="24"/>
        </w:rPr>
        <w:t>，缴纳形式：</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履约保证金的退付时间：</w:t>
      </w:r>
      <w:r>
        <w:rPr>
          <w:rFonts w:hint="eastAsia" w:ascii="宋体" w:hAnsi="宋体"/>
          <w:bCs/>
          <w:sz w:val="24"/>
          <w:u w:val="single"/>
        </w:rPr>
        <w:t xml:space="preserve">                </w:t>
      </w:r>
      <w:r>
        <w:rPr>
          <w:rFonts w:hint="eastAsia" w:ascii="宋体" w:hAnsi="宋体"/>
          <w:bCs/>
          <w:sz w:val="24"/>
        </w:rPr>
        <w:t>，退付办法：</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hAnsi="宋体"/>
          <w:bCs/>
          <w:sz w:val="24"/>
        </w:rPr>
      </w:pPr>
      <w:r>
        <w:rPr>
          <w:rFonts w:hint="eastAsia" w:ascii="宋体" w:hAnsi="宋体"/>
          <w:bCs/>
          <w:sz w:val="24"/>
        </w:rPr>
        <w:t>履约保证金不予退还的情形：</w:t>
      </w:r>
      <w:r>
        <w:rPr>
          <w:rFonts w:ascii="宋体" w:hAnsi="宋体"/>
          <w:bCs/>
          <w:sz w:val="24"/>
          <w:u w:val="single"/>
        </w:rPr>
        <w:t xml:space="preserve">                                           </w:t>
      </w:r>
      <w:r>
        <w:rPr>
          <w:rFonts w:hint="eastAsia" w:ascii="宋体" w:hAnsi="宋体"/>
          <w:bCs/>
          <w:sz w:val="24"/>
        </w:rPr>
        <w:t>。</w:t>
      </w:r>
    </w:p>
    <w:p>
      <w:pPr>
        <w:tabs>
          <w:tab w:val="left" w:pos="945"/>
          <w:tab w:val="left" w:pos="2100"/>
        </w:tabs>
        <w:spacing w:line="400" w:lineRule="exact"/>
        <w:ind w:firstLine="480" w:firstLineChars="200"/>
        <w:rPr>
          <w:rFonts w:ascii="宋体"/>
          <w:bCs/>
          <w:sz w:val="24"/>
        </w:rPr>
      </w:pPr>
      <w:r>
        <w:rPr>
          <w:rFonts w:hint="eastAsia" w:ascii="宋体" w:hAnsi="宋体"/>
          <w:bCs/>
          <w:sz w:val="24"/>
        </w:rPr>
        <w:t>逾期退还履约保证金的违约责任：</w:t>
      </w:r>
      <w:r>
        <w:rPr>
          <w:rFonts w:ascii="宋体" w:hAnsi="宋体"/>
          <w:bCs/>
          <w:sz w:val="24"/>
          <w:u w:val="single"/>
        </w:rPr>
        <w:t xml:space="preserve">                                       </w:t>
      </w:r>
      <w:r>
        <w:rPr>
          <w:rFonts w:hint="eastAsia" w:ascii="宋体" w:hAnsi="宋体"/>
          <w:bCs/>
          <w:sz w:val="24"/>
        </w:rPr>
        <w:t>。</w:t>
      </w:r>
    </w:p>
    <w:p>
      <w:pPr>
        <w:autoSpaceDE w:val="0"/>
        <w:autoSpaceDN w:val="0"/>
        <w:adjustRightInd w:val="0"/>
        <w:spacing w:line="400" w:lineRule="exact"/>
        <w:rPr>
          <w:rFonts w:ascii="黑体" w:hAnsi="黑体" w:eastAsia="黑体"/>
          <w:sz w:val="24"/>
          <w:lang w:val="zh-CN"/>
        </w:rPr>
      </w:pPr>
      <w:r>
        <w:rPr>
          <w:rFonts w:hint="eastAsia" w:ascii="黑体" w:hAnsi="黑体" w:eastAsia="黑体"/>
          <w:bCs/>
          <w:sz w:val="24"/>
          <w:lang w:val="zh-CN"/>
        </w:rPr>
        <w:t>第四条　组成本合同的有关文件</w:t>
      </w:r>
    </w:p>
    <w:p>
      <w:pPr>
        <w:autoSpaceDE w:val="0"/>
        <w:autoSpaceDN w:val="0"/>
        <w:adjustRightInd w:val="0"/>
        <w:spacing w:line="400" w:lineRule="exact"/>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下列关于本次采购活动方式相适应的文件及有关附件是本合同不可分割的组成部分，与本合同具有同等法律效力，这些文件包括但不限于：</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（1）招标文件；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（2）投标文件；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（3）中标通知书；</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（4）中标人在投标、评标过程中所作其它有关承诺、声明、书面澄清；</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（5）甲乙双方商定的其他文件等。</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第五条　权利保证</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乙方应保证甲方在合同履行期限内不受第三方提出侵犯其专利权、版权、商标权或其他权利的起诉。一旦出现侵权，乙方应承担全部责任。</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第六条　质量保证和售后服务</w:t>
      </w:r>
    </w:p>
    <w:p>
      <w:pPr>
        <w:autoSpaceDE w:val="0"/>
        <w:autoSpaceDN w:val="0"/>
        <w:adjustRightInd w:val="0"/>
        <w:spacing w:line="400" w:lineRule="exact"/>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1、乙方应按招标文件规定的服务要求、技术要求、质量标准向甲方提供服务。</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2、质量保证：</w:t>
      </w:r>
      <w:r>
        <w:rPr>
          <w:rFonts w:hint="eastAsia" w:asciiTheme="minorEastAsia" w:hAnsiTheme="minorEastAsia" w:eastAsiaTheme="minorEastAsia"/>
          <w:bCs/>
          <w:sz w:val="24"/>
          <w:u w:val="single"/>
          <w:lang w:val="zh-CN"/>
        </w:rPr>
        <w:t>　　　　　　　　　　　　　　　　　　　　　　　　　　</w:t>
      </w:r>
    </w:p>
    <w:p>
      <w:pPr>
        <w:autoSpaceDE w:val="0"/>
        <w:autoSpaceDN w:val="0"/>
        <w:adjustRightInd w:val="0"/>
        <w:spacing w:line="400" w:lineRule="exact"/>
        <w:ind w:firstLine="480" w:firstLineChars="200"/>
        <w:jc w:val="left"/>
        <w:rPr>
          <w:rFonts w:asciiTheme="minorEastAsia" w:hAnsiTheme="minorEastAsia" w:eastAsiaTheme="minorEastAsia"/>
          <w:bCs/>
          <w:sz w:val="24"/>
          <w:u w:val="single"/>
          <w:lang w:val="zh-CN"/>
        </w:rPr>
      </w:pPr>
      <w:r>
        <w:rPr>
          <w:rFonts w:hint="eastAsia" w:asciiTheme="minorEastAsia" w:hAnsiTheme="minorEastAsia" w:eastAsiaTheme="minorEastAsia"/>
          <w:bCs/>
          <w:sz w:val="24"/>
          <w:lang w:val="zh-CN"/>
        </w:rPr>
        <w:t>3、售后服务：</w:t>
      </w:r>
      <w:r>
        <w:rPr>
          <w:rFonts w:hint="eastAsia" w:asciiTheme="minorEastAsia" w:hAnsiTheme="minorEastAsia" w:eastAsiaTheme="minorEastAsia"/>
          <w:bCs/>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第七条　验收</w:t>
      </w:r>
    </w:p>
    <w:p>
      <w:pPr>
        <w:autoSpaceDE w:val="0"/>
        <w:autoSpaceDN w:val="0"/>
        <w:adjustRightInd w:val="0"/>
        <w:spacing w:line="400" w:lineRule="exact"/>
        <w:ind w:firstLine="480" w:firstLineChars="200"/>
        <w:jc w:val="left"/>
        <w:rPr>
          <w:rFonts w:asciiTheme="minorEastAsia" w:hAnsiTheme="minorEastAsia" w:eastAsiaTheme="minorEastAsia"/>
          <w:sz w:val="24"/>
          <w:lang w:val="zh-CN"/>
        </w:rPr>
      </w:pPr>
      <w:r>
        <w:rPr>
          <w:rFonts w:hint="eastAsia" w:asciiTheme="minorEastAsia" w:hAnsiTheme="minorEastAsia" w:eastAsiaTheme="minorEastAsia"/>
          <w:bCs/>
          <w:sz w:val="24"/>
          <w:lang w:val="zh-CN"/>
        </w:rPr>
        <w:t>验收标准：</w:t>
      </w:r>
      <w:r>
        <w:rPr>
          <w:rFonts w:hint="eastAsia" w:asciiTheme="minorEastAsia" w:hAnsiTheme="minorEastAsia" w:eastAsiaTheme="minorEastAsia"/>
          <w:sz w:val="24"/>
          <w:lang w:val="zh-CN"/>
        </w:rPr>
        <w:t>按招标文件所规定的采购标准和乙方投标文件的承诺，根据实际参照《关于进一步规范江阴市政府采购履约验收管理的指导意见》（澄财购〔2021〕5号）组织验收，费用由</w:t>
      </w:r>
      <w:r>
        <w:rPr>
          <w:rFonts w:hint="eastAsia"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承担。</w:t>
      </w:r>
    </w:p>
    <w:p>
      <w:pPr>
        <w:autoSpaceDE w:val="0"/>
        <w:autoSpaceDN w:val="0"/>
        <w:adjustRightInd w:val="0"/>
        <w:spacing w:line="400" w:lineRule="exact"/>
        <w:jc w:val="left"/>
        <w:rPr>
          <w:rFonts w:ascii="黑体" w:hAnsi="黑体" w:eastAsia="黑体"/>
          <w:bCs/>
          <w:i/>
          <w:iCs/>
          <w:sz w:val="24"/>
          <w:lang w:val="zh-CN"/>
        </w:rPr>
      </w:pPr>
      <w:r>
        <w:rPr>
          <w:rFonts w:hint="eastAsia" w:ascii="黑体" w:hAnsi="黑体" w:eastAsia="黑体"/>
          <w:bCs/>
          <w:sz w:val="24"/>
          <w:lang w:val="zh-CN"/>
        </w:rPr>
        <w:t>第八条　付款</w:t>
      </w:r>
    </w:p>
    <w:p>
      <w:pPr>
        <w:autoSpaceDE w:val="0"/>
        <w:autoSpaceDN w:val="0"/>
        <w:adjustRightInd w:val="0"/>
        <w:spacing w:line="400" w:lineRule="exact"/>
        <w:ind w:firstLine="42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1、本合同项下所有款项均以人民币支付，乙方向甲方开具发票。</w:t>
      </w:r>
    </w:p>
    <w:p>
      <w:pPr>
        <w:autoSpaceDE w:val="0"/>
        <w:autoSpaceDN w:val="0"/>
        <w:adjustRightInd w:val="0"/>
        <w:spacing w:line="400" w:lineRule="exact"/>
        <w:ind w:firstLine="420"/>
        <w:jc w:val="left"/>
        <w:rPr>
          <w:rFonts w:asciiTheme="minorEastAsia" w:hAnsiTheme="minorEastAsia" w:eastAsiaTheme="minorEastAsia"/>
          <w:sz w:val="24"/>
          <w:u w:val="single"/>
        </w:rPr>
      </w:pPr>
      <w:r>
        <w:rPr>
          <w:rFonts w:hint="eastAsia" w:asciiTheme="minorEastAsia" w:hAnsiTheme="minorEastAsia" w:eastAsiaTheme="minorEastAsia"/>
          <w:sz w:val="24"/>
          <w:lang w:val="zh-CN"/>
        </w:rPr>
        <w:t>2、付款方式：</w:t>
      </w:r>
      <w:r>
        <w:rPr>
          <w:rFonts w:hint="eastAsia" w:asciiTheme="minorEastAsia" w:hAnsiTheme="minorEastAsia" w:eastAsiaTheme="minorEastAsia"/>
          <w:sz w:val="24"/>
          <w:u w:val="single"/>
          <w:lang w:val="zh-CN"/>
        </w:rPr>
        <w:t>　　　　　　　　　　　　　　　　　　　　　　　　　　</w:t>
      </w:r>
    </w:p>
    <w:p>
      <w:pPr>
        <w:autoSpaceDE w:val="0"/>
        <w:autoSpaceDN w:val="0"/>
        <w:adjustRightInd w:val="0"/>
        <w:spacing w:line="400" w:lineRule="exact"/>
        <w:jc w:val="left"/>
        <w:rPr>
          <w:rFonts w:ascii="黑体" w:hAnsi="黑体" w:eastAsia="黑体"/>
          <w:bCs/>
          <w:sz w:val="24"/>
          <w:lang w:val="zh-CN"/>
        </w:rPr>
      </w:pPr>
      <w:r>
        <w:rPr>
          <w:rFonts w:hint="eastAsia" w:ascii="黑体" w:hAnsi="黑体" w:eastAsia="黑体"/>
          <w:bCs/>
          <w:sz w:val="24"/>
          <w:lang w:val="zh-CN"/>
        </w:rPr>
        <w:t>第九条　违约责任</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2、</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3、</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4、</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5、</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6、</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7、</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8、</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9、</w:t>
      </w:r>
      <w:r>
        <w:rPr>
          <w:rFonts w:hint="eastAsia" w:asciiTheme="minorEastAsia" w:hAnsiTheme="minorEastAsia" w:eastAsiaTheme="minorEastAsia"/>
          <w:sz w:val="24"/>
          <w:u w:val="single"/>
          <w:lang w:val="zh-CN"/>
        </w:rPr>
        <w:t>　　　　　　　　　　　　　　　　　　　　　　　　　　　　　　　　　　</w:t>
      </w:r>
    </w:p>
    <w:p>
      <w:pPr>
        <w:widowControl/>
        <w:adjustRightInd w:val="0"/>
        <w:spacing w:line="400" w:lineRule="exact"/>
        <w:ind w:firstLine="480" w:firstLineChars="200"/>
        <w:jc w:val="left"/>
        <w:rPr>
          <w:rFonts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10、</w:t>
      </w:r>
      <w:r>
        <w:rPr>
          <w:rFonts w:hint="eastAsia" w:asciiTheme="minorEastAsia" w:hAnsiTheme="minorEastAsia" w:eastAsiaTheme="minorEastAsia"/>
          <w:sz w:val="24"/>
          <w:u w:val="single"/>
          <w:lang w:val="zh-CN"/>
        </w:rPr>
        <w:t xml:space="preserve">　　　　　　　　　　　　　　　　　　　　　　　　　　　　　　　　　 </w:t>
      </w:r>
    </w:p>
    <w:p>
      <w:pPr>
        <w:widowControl/>
        <w:adjustRightInd w:val="0"/>
        <w:spacing w:line="400" w:lineRule="exact"/>
        <w:jc w:val="left"/>
        <w:rPr>
          <w:rFonts w:ascii="黑体" w:hAnsi="黑体" w:eastAsia="黑体" w:cs="宋体"/>
          <w:bCs/>
          <w:kern w:val="0"/>
          <w:sz w:val="24"/>
        </w:rPr>
      </w:pPr>
      <w:r>
        <w:rPr>
          <w:rFonts w:hint="eastAsia" w:ascii="黑体" w:hAnsi="黑体" w:eastAsia="黑体" w:cs="宋体"/>
          <w:bCs/>
          <w:kern w:val="0"/>
          <w:sz w:val="24"/>
          <w:lang w:val="zh-CN"/>
        </w:rPr>
        <w:t>第十条　</w:t>
      </w:r>
      <w:r>
        <w:rPr>
          <w:rFonts w:hint="eastAsia" w:ascii="黑体" w:hAnsi="黑体" w:eastAsia="黑体" w:cs="宋体"/>
          <w:bCs/>
          <w:kern w:val="0"/>
          <w:sz w:val="24"/>
        </w:rPr>
        <w:t>不可抗力</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1、不可抗力，是指不能预见、不能避免并不能克服的客观情况，如战争、动乱、瘟疫、严重火灾、洪水、地震、风暴或其他自然灾害等。</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3、发生不可抗力事件，任何一方均不对因不可抗力无法履行或迟延履行本合同义务而使另一方蒙受的任何损失承担责任，法律另有规定的除外。</w:t>
      </w:r>
    </w:p>
    <w:p>
      <w:pPr>
        <w:widowControl/>
        <w:adjustRightInd w:val="0"/>
        <w:spacing w:line="400" w:lineRule="exact"/>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4、合同各方应根据不可抗力对本合同履行的影响程度，协商确定是否终止本合同或是继续履行本合同。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kern w:val="0"/>
          <w:sz w:val="24"/>
        </w:rPr>
        <w:t>第十一条　</w:t>
      </w:r>
      <w:r>
        <w:rPr>
          <w:rFonts w:hint="eastAsia" w:ascii="黑体" w:hAnsi="黑体" w:eastAsia="黑体" w:cs="宋体"/>
          <w:bCs/>
          <w:kern w:val="0"/>
          <w:sz w:val="24"/>
          <w:lang w:val="zh-CN"/>
        </w:rPr>
        <w:t>合同的变更和终止</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、除《政府采购法》第</w:t>
      </w:r>
      <w:r>
        <w:rPr>
          <w:rFonts w:hint="eastAsia" w:asciiTheme="minorEastAsia" w:hAnsiTheme="minorEastAsia" w:eastAsiaTheme="minorEastAsia"/>
          <w:kern w:val="0"/>
          <w:sz w:val="24"/>
          <w:lang w:val="zh-CN"/>
        </w:rPr>
        <w:t>五十</w:t>
      </w:r>
      <w:r>
        <w:rPr>
          <w:rFonts w:hint="eastAsia" w:cs="宋体" w:asciiTheme="minorEastAsia" w:hAnsiTheme="minorEastAsia" w:eastAsiaTheme="minorEastAsia"/>
          <w:kern w:val="0"/>
          <w:sz w:val="24"/>
          <w:lang w:val="zh-CN"/>
        </w:rPr>
        <w:t>条规定的情形外，本合同一经签订，甲乙双方不得擅自变更、中止或终止合同。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kern w:val="0"/>
          <w:sz w:val="24"/>
          <w:lang w:val="zh-CN"/>
        </w:rPr>
        <w:t>2</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rPr>
        <w:t>除发生法律规定的不能预见、不能避免并不能克服的客观情况外，甲乙双方不得放弃或拒绝履行合同。</w:t>
      </w:r>
    </w:p>
    <w:p>
      <w:pPr>
        <w:widowControl/>
        <w:adjustRightInd w:val="0"/>
        <w:spacing w:line="400" w:lineRule="exact"/>
        <w:jc w:val="left"/>
        <w:rPr>
          <w:rFonts w:ascii="黑体" w:hAnsi="黑体" w:eastAsia="黑体" w:cs="宋体"/>
          <w:kern w:val="0"/>
          <w:sz w:val="24"/>
        </w:rPr>
      </w:pPr>
      <w:r>
        <w:rPr>
          <w:rFonts w:hint="eastAsia" w:ascii="黑体" w:hAnsi="黑体" w:eastAsia="黑体" w:cs="宋体"/>
          <w:kern w:val="0"/>
          <w:sz w:val="24"/>
        </w:rPr>
        <w:t>第十二条  合同的终止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本合同因下列原因而终止：</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(1)本合同正常履行完毕；</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(2)因不可抗力导致本合同无法履行或履行不必要；</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(3)任何一方行使解除权解除本合同；</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(4)合同的继续履行将损害国家利益和社会公共利益。</w:t>
      </w:r>
    </w:p>
    <w:p>
      <w:pPr>
        <w:widowControl/>
        <w:adjustRightInd w:val="0"/>
        <w:spacing w:line="400" w:lineRule="exact"/>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除上述情形外，甲乙双方不得擅自终止合同。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第十三条　争议的解决</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1、因履行本合同引起的或与本合同有关的争议，甲、乙双方应首先通过友好协商解决，如果协商不能解决争议，则采取以下2种方式解决争议：</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（1）向甲方所在地有管辖权的人民法院提起诉讼；</w:t>
      </w:r>
    </w:p>
    <w:p>
      <w:pPr>
        <w:widowControl/>
        <w:adjustRightInd w:val="0"/>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（2）向甲方所在地仲裁委员会按其仲裁规则申请仲裁。</w:t>
      </w:r>
    </w:p>
    <w:p>
      <w:pPr>
        <w:widowControl/>
        <w:adjustRightInd w:val="0"/>
        <w:spacing w:line="400" w:lineRule="exact"/>
        <w:ind w:firstLine="42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2、在仲裁期间，本合同应继续履行。</w:t>
      </w:r>
    </w:p>
    <w:p>
      <w:pPr>
        <w:widowControl/>
        <w:adjustRightInd w:val="0"/>
        <w:spacing w:line="400" w:lineRule="exact"/>
        <w:jc w:val="left"/>
        <w:rPr>
          <w:rFonts w:ascii="黑体" w:hAnsi="黑体" w:eastAsia="黑体" w:cs="宋体"/>
          <w:bCs/>
          <w:kern w:val="0"/>
          <w:sz w:val="24"/>
          <w:lang w:val="zh-CN"/>
        </w:rPr>
      </w:pPr>
      <w:r>
        <w:rPr>
          <w:rFonts w:hint="eastAsia" w:ascii="黑体" w:hAnsi="黑体" w:eastAsia="黑体" w:cs="宋体"/>
          <w:bCs/>
          <w:kern w:val="0"/>
          <w:sz w:val="24"/>
          <w:lang w:val="zh-CN"/>
        </w:rPr>
        <w:t>第十四条　合同生效及其他</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rPr>
        <w:t>本合同由甲乙双方签字、盖章，并经市江阴市公共资源交易中心见证后生效。</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2、本合同一式四份，甲方、乙方、江阴市公共资源交易中心、</w:t>
      </w:r>
      <w:r>
        <w:rPr>
          <w:rFonts w:hint="eastAsia" w:asciiTheme="minorEastAsia" w:hAnsiTheme="minorEastAsia" w:eastAsiaTheme="minorEastAsia"/>
          <w:bCs/>
          <w:sz w:val="24"/>
        </w:rPr>
        <w:t>江阴市国资监管部门</w:t>
      </w:r>
      <w:r>
        <w:rPr>
          <w:rFonts w:hint="eastAsia" w:cs="宋体" w:asciiTheme="minorEastAsia" w:hAnsiTheme="minorEastAsia" w:eastAsiaTheme="minorEastAsia"/>
          <w:kern w:val="0"/>
          <w:sz w:val="24"/>
          <w:lang w:val="zh-CN"/>
        </w:rPr>
        <w:t>各执一份。</w:t>
      </w:r>
    </w:p>
    <w:p>
      <w:pPr>
        <w:widowControl/>
        <w:adjustRightInd w:val="0"/>
        <w:spacing w:line="400" w:lineRule="exact"/>
        <w:ind w:firstLine="480" w:firstLineChars="200"/>
        <w:jc w:val="left"/>
        <w:rPr>
          <w:rFonts w:cs="宋体" w:asciiTheme="minorEastAsia" w:hAnsiTheme="minorEastAsia" w:eastAsiaTheme="minorEastAsia"/>
          <w:bCs/>
          <w:kern w:val="0"/>
          <w:sz w:val="24"/>
          <w:lang w:val="zh-CN"/>
        </w:rPr>
      </w:pPr>
      <w:r>
        <w:rPr>
          <w:rFonts w:hint="eastAsia" w:cs="宋体" w:asciiTheme="minorEastAsia" w:hAnsiTheme="minorEastAsia" w:eastAsiaTheme="minorEastAsia"/>
          <w:kern w:val="0"/>
          <w:sz w:val="24"/>
          <w:lang w:val="zh-CN"/>
        </w:rPr>
        <w:t>3、本合同应按照中华人民共和国的现行法律进行解释。</w:t>
      </w:r>
    </w:p>
    <w:p>
      <w:pPr>
        <w:spacing w:line="400" w:lineRule="exact"/>
        <w:jc w:val="center"/>
        <w:outlineLvl w:val="0"/>
        <w:rPr>
          <w:rFonts w:ascii="黑体" w:hAnsi="宋体" w:eastAsia="黑体"/>
          <w:sz w:val="30"/>
          <w:szCs w:val="30"/>
        </w:rPr>
      </w:pPr>
    </w:p>
    <w:p>
      <w:pPr>
        <w:spacing w:line="360" w:lineRule="exact"/>
        <w:rPr>
          <w:rFonts w:asciiTheme="minorEastAsia" w:hAnsiTheme="minorEastAsia" w:eastAsiaTheme="minorEastAsia"/>
          <w:bCs/>
          <w:sz w:val="24"/>
        </w:rPr>
      </w:pPr>
    </w:p>
    <w:tbl>
      <w:tblPr>
        <w:tblStyle w:val="88"/>
        <w:tblW w:w="9356" w:type="dxa"/>
        <w:jc w:val="center"/>
        <w:tblLayout w:type="fixed"/>
        <w:tblCellMar>
          <w:top w:w="0" w:type="dxa"/>
          <w:left w:w="108" w:type="dxa"/>
          <w:bottom w:w="0" w:type="dxa"/>
          <w:right w:w="108" w:type="dxa"/>
        </w:tblCellMar>
      </w:tblPr>
      <w:tblGrid>
        <w:gridCol w:w="4536"/>
        <w:gridCol w:w="284"/>
        <w:gridCol w:w="4536"/>
      </w:tblGrid>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u w:val="single"/>
              </w:rPr>
            </w:pPr>
            <w:r>
              <w:rPr>
                <w:rFonts w:hint="eastAsia" w:asciiTheme="minorEastAsia" w:hAnsiTheme="minorEastAsia" w:eastAsiaTheme="minorEastAsia"/>
                <w:bCs/>
                <w:sz w:val="24"/>
              </w:rPr>
              <w:t>甲方（采购单位）：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乙方（中标单位）：</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（盖章）</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地址：</w:t>
            </w:r>
            <w:r>
              <w:rPr>
                <w:rFonts w:hint="eastAsia" w:asciiTheme="minorEastAsia" w:hAnsiTheme="minorEastAsia" w:eastAsiaTheme="minorEastAsia"/>
                <w:bCs/>
                <w:sz w:val="24"/>
                <w:u w:val="single"/>
              </w:rPr>
              <w:t>　　　　　　　　　　　　　　　</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u w:val="single"/>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法定（授权）代表人：</w:t>
            </w:r>
            <w:r>
              <w:rPr>
                <w:rFonts w:hint="eastAsia" w:asciiTheme="minorEastAsia" w:hAnsiTheme="minorEastAsia" w:eastAsiaTheme="minorEastAsia"/>
                <w:bCs/>
                <w:sz w:val="24"/>
                <w:u w:val="single"/>
              </w:rPr>
              <w:t xml:space="preserve">                </w:t>
            </w:r>
          </w:p>
        </w:tc>
      </w:tr>
      <w:tr>
        <w:tblPrEx>
          <w:tblCellMar>
            <w:top w:w="0" w:type="dxa"/>
            <w:left w:w="108" w:type="dxa"/>
            <w:bottom w:w="0" w:type="dxa"/>
            <w:right w:w="108" w:type="dxa"/>
          </w:tblCellMar>
        </w:tblPrEx>
        <w:trPr>
          <w:jc w:val="center"/>
        </w:trPr>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jc w:val="right"/>
              <w:rPr>
                <w:rFonts w:asciiTheme="minorEastAsia" w:hAnsiTheme="minorEastAsia" w:eastAsiaTheme="minorEastAsia"/>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bCs/>
                <w:sz w:val="24"/>
              </w:rPr>
            </w:pPr>
            <w:r>
              <w:rPr>
                <w:rFonts w:hint="eastAsia" w:asciiTheme="minorEastAsia" w:hAnsiTheme="minorEastAsia" w:eastAsiaTheme="minorEastAsia"/>
                <w:bCs/>
                <w:sz w:val="24"/>
              </w:rPr>
              <w:t>见证方：江阴市公共资源交易中心（盖章）</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rPr>
                <w:rFonts w:asciiTheme="minorEastAsia" w:hAnsiTheme="minorEastAsia" w:eastAsiaTheme="minorEastAsia"/>
                <w:sz w:val="24"/>
              </w:rPr>
            </w:pPr>
            <w:r>
              <w:rPr>
                <w:rFonts w:hint="eastAsia" w:asciiTheme="minorEastAsia" w:hAnsiTheme="minorEastAsia" w:eastAsiaTheme="minorEastAsia"/>
                <w:bCs/>
                <w:sz w:val="24"/>
              </w:rPr>
              <w:t>见证方代表：</w:t>
            </w:r>
            <w:r>
              <w:rPr>
                <w:rFonts w:hint="eastAsia" w:asciiTheme="minorEastAsia" w:hAnsiTheme="minorEastAsia" w:eastAsiaTheme="minorEastAsia"/>
                <w:bCs/>
                <w:sz w:val="24"/>
                <w:u w:val="single"/>
              </w:rPr>
              <w:t xml:space="preserve">        　   　　       </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4536" w:type="dxa"/>
          </w:tcPr>
          <w:p>
            <w:pPr>
              <w:spacing w:line="360" w:lineRule="exact"/>
              <w:jc w:val="right"/>
              <w:rPr>
                <w:rFonts w:asciiTheme="minorEastAsia" w:hAnsiTheme="minorEastAsia" w:eastAsiaTheme="minorEastAsia"/>
                <w:bCs/>
                <w:sz w:val="24"/>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日</w:t>
            </w:r>
          </w:p>
        </w:tc>
        <w:tc>
          <w:tcPr>
            <w:tcW w:w="284" w:type="dxa"/>
          </w:tcPr>
          <w:p>
            <w:pPr>
              <w:spacing w:line="360" w:lineRule="exact"/>
              <w:rPr>
                <w:rFonts w:asciiTheme="minorEastAsia" w:hAnsiTheme="minorEastAsia" w:eastAsiaTheme="minorEastAsia"/>
                <w:sz w:val="24"/>
              </w:rPr>
            </w:pPr>
          </w:p>
        </w:tc>
        <w:tc>
          <w:tcPr>
            <w:tcW w:w="4536" w:type="dxa"/>
          </w:tcPr>
          <w:p>
            <w:pPr>
              <w:spacing w:line="360" w:lineRule="exact"/>
              <w:rPr>
                <w:rFonts w:asciiTheme="minorEastAsia" w:hAnsiTheme="minorEastAsia" w:eastAsiaTheme="minorEastAsia"/>
                <w:sz w:val="24"/>
              </w:rPr>
            </w:pPr>
          </w:p>
        </w:tc>
      </w:tr>
    </w:tbl>
    <w:p>
      <w:pPr>
        <w:spacing w:line="400" w:lineRule="exact"/>
        <w:jc w:val="center"/>
        <w:outlineLvl w:val="0"/>
        <w:rPr>
          <w:rFonts w:ascii="黑体" w:hAnsi="宋体" w:eastAsia="黑体"/>
          <w:sz w:val="30"/>
          <w:szCs w:val="30"/>
        </w:rPr>
      </w:pPr>
    </w:p>
    <w:bookmarkEnd w:id="33"/>
    <w:p>
      <w:pPr>
        <w:autoSpaceDE w:val="0"/>
        <w:autoSpaceDN w:val="0"/>
        <w:adjustRightInd w:val="0"/>
        <w:spacing w:line="400" w:lineRule="exact"/>
        <w:ind w:firstLine="600" w:firstLineChars="200"/>
        <w:jc w:val="left"/>
        <w:rPr>
          <w:rFonts w:ascii="黑体" w:eastAsia="黑体"/>
          <w:bCs/>
          <w:sz w:val="30"/>
        </w:rPr>
      </w:pPr>
      <w:bookmarkStart w:id="34" w:name="_Toc251268364"/>
    </w:p>
    <w:p>
      <w:pPr>
        <w:spacing w:line="400" w:lineRule="exact"/>
        <w:jc w:val="center"/>
        <w:outlineLvl w:val="0"/>
        <w:rPr>
          <w:rFonts w:ascii="黑体" w:eastAsia="黑体"/>
          <w:bCs/>
          <w:sz w:val="30"/>
        </w:rPr>
      </w:pPr>
    </w:p>
    <w:p>
      <w:pPr>
        <w:spacing w:line="400" w:lineRule="exact"/>
        <w:outlineLvl w:val="0"/>
        <w:rPr>
          <w:rFonts w:ascii="黑体" w:eastAsia="黑体"/>
          <w:bCs/>
          <w:sz w:val="30"/>
        </w:rPr>
      </w:pPr>
    </w:p>
    <w:p>
      <w:pPr>
        <w:pStyle w:val="2"/>
        <w:ind w:left="1470" w:right="1470"/>
      </w:pPr>
    </w:p>
    <w:p>
      <w:pPr>
        <w:spacing w:line="400" w:lineRule="exact"/>
        <w:jc w:val="center"/>
        <w:outlineLvl w:val="0"/>
        <w:rPr>
          <w:rFonts w:ascii="黑体" w:eastAsia="黑体"/>
          <w:bCs/>
          <w:sz w:val="30"/>
        </w:rPr>
      </w:pPr>
      <w:r>
        <w:rPr>
          <w:rFonts w:hint="eastAsia" w:ascii="黑体" w:eastAsia="黑体"/>
          <w:bCs/>
          <w:sz w:val="30"/>
        </w:rPr>
        <w:t>第七章　投标文件的组成和格式</w:t>
      </w:r>
      <w:bookmarkEnd w:id="34"/>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400" w:lineRule="exact"/>
        <w:rPr>
          <w:rFonts w:ascii="仿宋_GB2312" w:eastAsia="仿宋_GB2312"/>
          <w:bCs/>
          <w:sz w:val="30"/>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投</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标</w:t>
      </w:r>
    </w:p>
    <w:p>
      <w:pPr>
        <w:spacing w:line="360" w:lineRule="auto"/>
        <w:jc w:val="center"/>
        <w:rPr>
          <w:rFonts w:asciiTheme="minorEastAsia" w:hAnsiTheme="minorEastAsia" w:eastAsiaTheme="minorEastAsia"/>
          <w:bCs/>
          <w:sz w:val="72"/>
          <w:szCs w:val="72"/>
        </w:rPr>
      </w:pPr>
    </w:p>
    <w:p>
      <w:pPr>
        <w:spacing w:line="360" w:lineRule="auto"/>
        <w:jc w:val="center"/>
        <w:rPr>
          <w:rFonts w:asciiTheme="minorEastAsia" w:hAnsiTheme="minorEastAsia" w:eastAsiaTheme="minorEastAsia"/>
          <w:bCs/>
          <w:sz w:val="72"/>
          <w:szCs w:val="72"/>
        </w:rPr>
      </w:pPr>
      <w:r>
        <w:rPr>
          <w:rFonts w:hint="eastAsia" w:asciiTheme="minorEastAsia" w:hAnsiTheme="minorEastAsia" w:eastAsiaTheme="minorEastAsia"/>
          <w:bCs/>
          <w:sz w:val="72"/>
          <w:szCs w:val="72"/>
        </w:rPr>
        <w:t>书</w:t>
      </w:r>
    </w:p>
    <w:p>
      <w:pPr>
        <w:spacing w:line="400" w:lineRule="exact"/>
        <w:jc w:val="center"/>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rPr>
          <w:rFonts w:asciiTheme="minorEastAsia" w:hAnsiTheme="minorEastAsia" w:eastAsiaTheme="minorEastAsia"/>
          <w:bCs/>
          <w:sz w:val="30"/>
        </w:rPr>
      </w:pPr>
    </w:p>
    <w:p>
      <w:pPr>
        <w:spacing w:line="400" w:lineRule="exact"/>
        <w:ind w:left="2245" w:leftChars="426" w:hanging="1350" w:hangingChars="450"/>
        <w:rPr>
          <w:rFonts w:hint="eastAsia" w:asciiTheme="minorEastAsia" w:hAnsiTheme="minorEastAsia" w:eastAsiaTheme="minorEastAsia"/>
          <w:sz w:val="30"/>
          <w:szCs w:val="30"/>
          <w:lang w:eastAsia="zh-CN"/>
        </w:rPr>
      </w:pPr>
      <w:r>
        <w:rPr>
          <w:rFonts w:hint="eastAsia" w:asciiTheme="minorEastAsia" w:hAnsiTheme="minorEastAsia" w:eastAsiaTheme="minorEastAsia"/>
          <w:bCs/>
          <w:sz w:val="30"/>
          <w:szCs w:val="30"/>
        </w:rPr>
        <w:t>项目名称：</w:t>
      </w:r>
      <w:r>
        <w:rPr>
          <w:rFonts w:hint="eastAsia" w:asciiTheme="minorEastAsia" w:hAnsiTheme="minorEastAsia" w:eastAsiaTheme="minorEastAsia"/>
          <w:sz w:val="30"/>
          <w:szCs w:val="30"/>
          <w:lang w:eastAsia="zh-CN"/>
        </w:rPr>
        <w:t>江阴市2022-2024年度路灯箱式变电站维护项目</w:t>
      </w:r>
    </w:p>
    <w:p>
      <w:pPr>
        <w:spacing w:line="400" w:lineRule="exact"/>
        <w:ind w:firstLine="900" w:firstLineChars="300"/>
        <w:rPr>
          <w:rFonts w:hint="eastAsia" w:asciiTheme="minorEastAsia" w:hAnsiTheme="minorEastAsia" w:eastAsiaTheme="minorEastAsia"/>
          <w:bCs/>
          <w:sz w:val="30"/>
          <w:lang w:eastAsia="zh-CN"/>
        </w:rPr>
      </w:pPr>
      <w:r>
        <w:rPr>
          <w:rFonts w:hint="eastAsia" w:asciiTheme="minorEastAsia" w:hAnsiTheme="minorEastAsia" w:eastAsiaTheme="minorEastAsia"/>
          <w:bCs/>
          <w:sz w:val="30"/>
        </w:rPr>
        <w:t>项目编号：</w:t>
      </w:r>
      <w:r>
        <w:rPr>
          <w:rFonts w:hint="eastAsia" w:asciiTheme="minorEastAsia" w:hAnsiTheme="minorEastAsia" w:eastAsiaTheme="minorEastAsia"/>
          <w:bCs/>
          <w:sz w:val="30"/>
          <w:lang w:eastAsia="zh-CN"/>
        </w:rPr>
        <w:t>JYGQ2021G030</w:t>
      </w:r>
    </w:p>
    <w:p>
      <w:pPr>
        <w:spacing w:line="400" w:lineRule="exact"/>
        <w:ind w:firstLine="900" w:firstLineChars="300"/>
        <w:rPr>
          <w:rFonts w:asciiTheme="minorEastAsia" w:hAnsiTheme="minorEastAsia" w:eastAsiaTheme="minorEastAsia"/>
          <w:bCs/>
          <w:sz w:val="30"/>
        </w:rPr>
      </w:pPr>
      <w:r>
        <w:rPr>
          <w:rFonts w:hint="eastAsia" w:asciiTheme="minorEastAsia" w:hAnsiTheme="minorEastAsia" w:eastAsiaTheme="minorEastAsia"/>
          <w:bCs/>
          <w:sz w:val="30"/>
        </w:rPr>
        <w:t>投标单位：</w:t>
      </w:r>
    </w:p>
    <w:p>
      <w:pPr>
        <w:spacing w:line="400" w:lineRule="exact"/>
        <w:ind w:firstLine="3300" w:firstLineChars="1100"/>
        <w:rPr>
          <w:rFonts w:asciiTheme="minorEastAsia" w:hAnsiTheme="minorEastAsia" w:eastAsiaTheme="minorEastAsia"/>
          <w:bCs/>
          <w:sz w:val="30"/>
        </w:rPr>
      </w:pPr>
    </w:p>
    <w:p>
      <w:pPr>
        <w:spacing w:line="400" w:lineRule="exact"/>
        <w:ind w:firstLine="3300" w:firstLineChars="1100"/>
        <w:rPr>
          <w:rFonts w:asciiTheme="minorEastAsia" w:hAnsiTheme="minorEastAsia" w:eastAsiaTheme="minorEastAsia"/>
          <w:bCs/>
          <w:sz w:val="30"/>
        </w:rPr>
      </w:pPr>
      <w:r>
        <w:rPr>
          <w:rFonts w:hint="eastAsia" w:asciiTheme="minorEastAsia" w:hAnsiTheme="minorEastAsia" w:eastAsiaTheme="minorEastAsia"/>
          <w:bCs/>
          <w:sz w:val="30"/>
        </w:rPr>
        <w:t>二○二一年  月  日</w:t>
      </w:r>
    </w:p>
    <w:p>
      <w:pPr>
        <w:spacing w:line="400" w:lineRule="exact"/>
        <w:jc w:val="center"/>
        <w:outlineLvl w:val="1"/>
        <w:rPr>
          <w:rFonts w:ascii="宋体" w:hAnsi="宋体" w:eastAsia="楷体_GB2312"/>
          <w:b/>
          <w:bCs/>
          <w:sz w:val="28"/>
          <w:szCs w:val="28"/>
        </w:rPr>
      </w:pPr>
      <w:r>
        <w:rPr>
          <w:rFonts w:ascii="宋体" w:hAnsi="宋体" w:eastAsia="楷体_GB2312"/>
          <w:b/>
          <w:bCs/>
          <w:sz w:val="28"/>
          <w:szCs w:val="28"/>
        </w:rPr>
        <w:br w:type="page"/>
      </w:r>
    </w:p>
    <w:p>
      <w:pPr>
        <w:spacing w:line="400" w:lineRule="exact"/>
        <w:jc w:val="center"/>
        <w:outlineLvl w:val="1"/>
        <w:rPr>
          <w:rFonts w:ascii="黑体" w:hAnsi="宋体" w:eastAsia="黑体"/>
          <w:bCs/>
          <w:sz w:val="28"/>
          <w:szCs w:val="28"/>
        </w:rPr>
      </w:pPr>
    </w:p>
    <w:p>
      <w:pPr>
        <w:spacing w:line="400" w:lineRule="exact"/>
        <w:jc w:val="center"/>
        <w:outlineLvl w:val="1"/>
        <w:rPr>
          <w:rFonts w:ascii="宋体" w:hAnsi="宋体" w:eastAsia="楷体_GB2312"/>
          <w:b/>
          <w:bCs/>
          <w:sz w:val="28"/>
          <w:szCs w:val="28"/>
        </w:rPr>
      </w:pPr>
      <w:r>
        <w:rPr>
          <w:rFonts w:hint="eastAsia" w:ascii="黑体" w:hAnsi="宋体" w:eastAsia="黑体"/>
          <w:bCs/>
          <w:sz w:val="28"/>
          <w:szCs w:val="28"/>
        </w:rPr>
        <w:t>一、投标函</w:t>
      </w:r>
    </w:p>
    <w:p>
      <w:pPr>
        <w:spacing w:line="400" w:lineRule="exact"/>
        <w:rPr>
          <w:rFonts w:asciiTheme="minorEastAsia" w:hAnsiTheme="minorEastAsia" w:eastAsiaTheme="minorEastAsia"/>
          <w:bCs/>
          <w:sz w:val="24"/>
        </w:rPr>
      </w:pPr>
      <w:r>
        <w:rPr>
          <w:rFonts w:hint="eastAsia" w:asciiTheme="minorEastAsia" w:hAnsiTheme="minorEastAsia" w:eastAsiaTheme="minorEastAsia"/>
          <w:bCs/>
          <w:sz w:val="24"/>
        </w:rPr>
        <w:t>致江阴市公共资源交易中心：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我方收到贵中心</w:t>
      </w:r>
      <w:r>
        <w:rPr>
          <w:rFonts w:hint="eastAsia" w:asciiTheme="minorEastAsia" w:hAnsiTheme="minorEastAsia" w:eastAsiaTheme="minorEastAsia"/>
          <w:bCs/>
          <w:sz w:val="24"/>
          <w:u w:val="single"/>
          <w:lang w:eastAsia="zh-CN"/>
        </w:rPr>
        <w:t>JYGQ2021G030</w:t>
      </w:r>
      <w:r>
        <w:rPr>
          <w:rFonts w:hint="eastAsia" w:asciiTheme="minorEastAsia" w:hAnsiTheme="minorEastAsia" w:eastAsiaTheme="minorEastAsia"/>
          <w:bCs/>
          <w:sz w:val="24"/>
        </w:rPr>
        <w:t>招标文件，经仔细阅读和研究，我们决定参加</w:t>
      </w:r>
      <w:r>
        <w:rPr>
          <w:rFonts w:hint="eastAsia" w:asciiTheme="minorEastAsia" w:hAnsiTheme="minorEastAsia" w:eastAsiaTheme="minorEastAsia"/>
          <w:sz w:val="24"/>
          <w:u w:val="single"/>
          <w:lang w:eastAsia="zh-CN"/>
        </w:rPr>
        <w:t>江阴市2022-2024年度路灯箱式变电站维护项目</w:t>
      </w:r>
      <w:r>
        <w:rPr>
          <w:rFonts w:hint="eastAsia" w:asciiTheme="minorEastAsia" w:hAnsiTheme="minorEastAsia" w:eastAsiaTheme="minorEastAsia"/>
          <w:bCs/>
          <w:sz w:val="24"/>
        </w:rPr>
        <w:t>的投标。</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1、愿意按照招标文件的一切要求，提供</w:t>
      </w:r>
      <w:r>
        <w:rPr>
          <w:rFonts w:hint="eastAsia" w:asciiTheme="minorEastAsia" w:hAnsiTheme="minorEastAsia" w:eastAsiaTheme="minorEastAsia"/>
          <w:sz w:val="24"/>
          <w:u w:val="single"/>
          <w:lang w:eastAsia="zh-CN"/>
        </w:rPr>
        <w:t>江阴市2022-2024年度路灯箱式变电站维护项目</w:t>
      </w:r>
      <w:r>
        <w:rPr>
          <w:rFonts w:hint="eastAsia" w:asciiTheme="minorEastAsia" w:hAnsiTheme="minorEastAsia" w:eastAsiaTheme="minorEastAsia"/>
          <w:sz w:val="24"/>
        </w:rPr>
        <w:t>，</w:t>
      </w:r>
      <w:r>
        <w:rPr>
          <w:rFonts w:hint="eastAsia" w:asciiTheme="minorEastAsia" w:hAnsiTheme="minorEastAsia" w:eastAsiaTheme="minorEastAsia"/>
          <w:bCs/>
          <w:sz w:val="24"/>
        </w:rPr>
        <w:t>投标报价详见《开标一览表》。</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2、我方同意按招标文件的规定，本投标文件的投标有效期限为开标后90天。</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3、我方愿意提供招标文件中要求的原始资料及可能另外要求的与投标有关任何资料，并保证我方已提供和将要提供的资料是真实的、准确的。</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4、我方认为你们有权决定中标者。</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5、我方愿意遵守《中华人民共和国政府采购法》、</w:t>
      </w:r>
      <w:r>
        <w:rPr>
          <w:rFonts w:hint="eastAsia" w:asciiTheme="minorEastAsia" w:hAnsiTheme="minorEastAsia" w:eastAsiaTheme="minorEastAsia"/>
          <w:sz w:val="24"/>
        </w:rPr>
        <w:t>《中华人民共和国政府采购法实施条例》</w:t>
      </w:r>
      <w:r>
        <w:rPr>
          <w:rFonts w:hint="eastAsia" w:asciiTheme="minorEastAsia" w:hAnsiTheme="minorEastAsia" w:eastAsiaTheme="minorEastAsia"/>
          <w:bCs/>
          <w:sz w:val="24"/>
        </w:rPr>
        <w:t xml:space="preserve">，并按《中华人民共和国民法典》、财政部《政府采购货物和服务招标投标管理办法》和合同条款履行自己的全部责任。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6、我方认可并遵守采购文件的所有规定，放弃对招标（采购）文件、评标办法、评分细则及配分提出质疑的权利。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7、如我们在投标截止期后撤回投标或中标后拒绝遵守投标承诺或拒绝在规定的时间内与采购人签订合同，则将接受相应处罚。</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8、如果我方被确定为中标单位，我方愿意在合同签署时缴纳履约保证金。且我方如未履行招标文件、投标文件和合同条款的，我方愿意赔偿由此而造成的一切损失，并同意接受按招标文件的相关要求对我方进行处理，有不可抗力情形的除外。</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9、一旦我方中标，我方将根据招标文件的规定，严格履行合同的责任和义务，保证按期、按质、按量完成项目。</w:t>
      </w:r>
    </w:p>
    <w:p>
      <w:pPr>
        <w:spacing w:line="400" w:lineRule="exact"/>
        <w:ind w:left="132"/>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 xml:space="preserve">法定代表人或授权委托人（签名或盖章）：              </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电话：                            传真：</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地址：                            邮编：</w:t>
      </w:r>
    </w:p>
    <w:p>
      <w:pPr>
        <w:spacing w:line="400" w:lineRule="exact"/>
        <w:ind w:firstLine="720" w:firstLineChars="300"/>
        <w:rPr>
          <w:rFonts w:asciiTheme="minorEastAsia" w:hAnsiTheme="minorEastAsia" w:eastAsiaTheme="minorEastAsia"/>
          <w:bCs/>
          <w:sz w:val="24"/>
        </w:rPr>
      </w:pPr>
      <w:r>
        <w:rPr>
          <w:rFonts w:hint="eastAsia" w:asciiTheme="minorEastAsia" w:hAnsiTheme="minorEastAsia" w:eastAsiaTheme="minorEastAsia"/>
          <w:bCs/>
          <w:sz w:val="24"/>
        </w:rPr>
        <w:t>开户名称：</w:t>
      </w:r>
    </w:p>
    <w:p>
      <w:pPr>
        <w:spacing w:line="400" w:lineRule="exact"/>
        <w:ind w:firstLine="712" w:firstLineChars="297"/>
        <w:rPr>
          <w:rFonts w:asciiTheme="minorEastAsia" w:hAnsiTheme="minorEastAsia" w:eastAsiaTheme="minorEastAsia"/>
          <w:bCs/>
          <w:sz w:val="24"/>
        </w:rPr>
      </w:pPr>
      <w:r>
        <w:rPr>
          <w:rFonts w:hint="eastAsia" w:asciiTheme="minorEastAsia" w:hAnsiTheme="minorEastAsia" w:eastAsiaTheme="minorEastAsia"/>
          <w:bCs/>
          <w:sz w:val="24"/>
        </w:rPr>
        <w:t>开户银行：                        开户账号：</w:t>
      </w:r>
    </w:p>
    <w:p>
      <w:pPr>
        <w:spacing w:line="400" w:lineRule="exact"/>
        <w:ind w:firstLine="712" w:firstLineChars="297"/>
        <w:rPr>
          <w:rFonts w:ascii="宋体" w:hAnsi="宋体" w:eastAsia="楷体_GB2312"/>
          <w:bCs/>
          <w:sz w:val="24"/>
        </w:rPr>
      </w:pPr>
    </w:p>
    <w:p>
      <w:pPr>
        <w:spacing w:line="400" w:lineRule="exact"/>
        <w:rPr>
          <w:rFonts w:ascii="宋体" w:hAnsi="宋体" w:eastAsia="楷体_GB2312"/>
          <w:bCs/>
          <w:sz w:val="24"/>
        </w:rPr>
      </w:pPr>
    </w:p>
    <w:p>
      <w:pPr>
        <w:spacing w:line="400" w:lineRule="exact"/>
        <w:rPr>
          <w:rFonts w:ascii="宋体" w:hAnsi="宋体" w:eastAsia="楷体_GB2312"/>
          <w:bCs/>
          <w:sz w:val="24"/>
        </w:rPr>
      </w:pPr>
    </w:p>
    <w:p>
      <w:pPr>
        <w:spacing w:line="400" w:lineRule="exact"/>
        <w:jc w:val="center"/>
        <w:outlineLvl w:val="1"/>
        <w:rPr>
          <w:rStyle w:val="94"/>
          <w:rFonts w:ascii="黑体" w:eastAsia="黑体"/>
          <w:bCs/>
          <w:color w:val="auto"/>
          <w:sz w:val="28"/>
          <w:szCs w:val="28"/>
        </w:rPr>
      </w:pPr>
    </w:p>
    <w:p>
      <w:pPr>
        <w:spacing w:line="400" w:lineRule="exact"/>
        <w:jc w:val="center"/>
        <w:outlineLvl w:val="1"/>
        <w:rPr>
          <w:rStyle w:val="94"/>
          <w:rFonts w:ascii="黑体" w:eastAsia="黑体"/>
          <w:bCs/>
          <w:color w:val="auto"/>
          <w:sz w:val="28"/>
          <w:szCs w:val="28"/>
          <w:u w:val="none"/>
        </w:rPr>
      </w:pPr>
    </w:p>
    <w:p>
      <w:pPr>
        <w:spacing w:line="400" w:lineRule="exact"/>
        <w:jc w:val="center"/>
        <w:outlineLvl w:val="1"/>
        <w:rPr>
          <w:rStyle w:val="94"/>
          <w:rFonts w:ascii="黑体" w:eastAsia="黑体"/>
          <w:bCs/>
          <w:color w:val="auto"/>
          <w:sz w:val="28"/>
          <w:szCs w:val="28"/>
          <w:u w:val="none"/>
        </w:rPr>
      </w:pPr>
      <w:bookmarkStart w:id="35" w:name="_Toc222799676"/>
      <w:bookmarkStart w:id="36" w:name="_Toc194739809"/>
      <w:r>
        <w:rPr>
          <w:rStyle w:val="94"/>
          <w:rFonts w:hint="eastAsia" w:ascii="黑体" w:eastAsia="黑体"/>
          <w:bCs/>
          <w:color w:val="auto"/>
          <w:sz w:val="28"/>
          <w:szCs w:val="28"/>
          <w:u w:val="none"/>
        </w:rPr>
        <w:t>二、开标一览表</w:t>
      </w:r>
    </w:p>
    <w:p>
      <w:pPr>
        <w:spacing w:line="400" w:lineRule="exact"/>
        <w:outlineLvl w:val="1"/>
        <w:rPr>
          <w:rFonts w:cs="宋体" w:asciiTheme="minorEastAsia" w:hAnsiTheme="minorEastAsia" w:eastAsiaTheme="minorEastAsia"/>
          <w:b/>
          <w:kern w:val="0"/>
          <w:sz w:val="24"/>
        </w:rPr>
      </w:pPr>
    </w:p>
    <w:tbl>
      <w:tblPr>
        <w:tblStyle w:val="88"/>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70"/>
        <w:gridCol w:w="6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项目编号</w:t>
            </w:r>
          </w:p>
        </w:tc>
        <w:tc>
          <w:tcPr>
            <w:tcW w:w="6829" w:type="dxa"/>
            <w:vAlign w:val="center"/>
          </w:tcPr>
          <w:p>
            <w:pPr>
              <w:widowControl/>
              <w:spacing w:line="400" w:lineRule="exact"/>
              <w:jc w:val="center"/>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eastAsia="zh-CN"/>
              </w:rPr>
              <w:t>JYGQ2021G030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6829" w:type="dxa"/>
            <w:vAlign w:val="center"/>
          </w:tcPr>
          <w:p>
            <w:pPr>
              <w:widowControl/>
              <w:spacing w:line="400" w:lineRule="exact"/>
              <w:jc w:val="center"/>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eastAsia="zh-CN"/>
              </w:rPr>
              <w:t>江阴市2022-2024年度路灯箱式变电站维护项目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247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项目总价</w:t>
            </w: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（一年，单位：元）</w:t>
            </w:r>
          </w:p>
        </w:tc>
        <w:tc>
          <w:tcPr>
            <w:tcW w:w="6829" w:type="dxa"/>
            <w:vAlign w:val="center"/>
          </w:tcPr>
          <w:p>
            <w:pPr>
              <w:widowControl/>
              <w:spacing w:before="240" w:beforeLines="100" w:line="48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小写：</w:t>
            </w:r>
            <w:r>
              <w:rPr>
                <w:rFonts w:cs="宋体" w:asciiTheme="minorEastAsia" w:hAnsiTheme="minorEastAsia" w:eastAsiaTheme="minorEastAsia"/>
                <w:kern w:val="0"/>
                <w:sz w:val="24"/>
              </w:rPr>
              <w:softHyphen/>
            </w:r>
            <w:r>
              <w:rPr>
                <w:rFonts w:hint="eastAsia" w:cs="宋体" w:asciiTheme="minorEastAsia" w:hAnsiTheme="minorEastAsia" w:eastAsiaTheme="minorEastAsia"/>
                <w:kern w:val="0"/>
                <w:sz w:val="24"/>
              </w:rPr>
              <w:softHyphen/>
            </w:r>
            <w:r>
              <w:rPr>
                <w:rFonts w:hint="eastAsia" w:cs="宋体" w:asciiTheme="minorEastAsia" w:hAnsiTheme="minorEastAsia" w:eastAsiaTheme="minorEastAsia"/>
                <w:kern w:val="0"/>
                <w:sz w:val="24"/>
                <w:u w:val="single"/>
              </w:rPr>
              <w:t xml:space="preserve">                  　　     　             </w:t>
            </w:r>
          </w:p>
          <w:p>
            <w:pPr>
              <w:widowControl/>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大写：</w:t>
            </w:r>
            <w:r>
              <w:rPr>
                <w:rFonts w:hint="eastAsia" w:cs="宋体" w:asciiTheme="minorEastAsia" w:hAnsiTheme="minorEastAsia" w:eastAsiaTheme="minorEastAsia"/>
                <w:kern w:val="0"/>
                <w:sz w:val="24"/>
                <w:u w:val="single"/>
              </w:rPr>
              <w:t xml:space="preserve">                  　　     　             </w:t>
            </w:r>
          </w:p>
        </w:tc>
      </w:tr>
    </w:tbl>
    <w:p>
      <w:pPr>
        <w:spacing w:line="400" w:lineRule="exact"/>
        <w:rPr>
          <w:rFonts w:cs="宋体" w:asciiTheme="minorEastAsia" w:hAnsiTheme="minorEastAsia" w:eastAsiaTheme="minorEastAsia"/>
          <w:b/>
          <w:kern w:val="0"/>
          <w:sz w:val="24"/>
        </w:rPr>
      </w:pPr>
    </w:p>
    <w:p>
      <w:pPr>
        <w:spacing w:line="400" w:lineRule="exact"/>
        <w:ind w:firstLine="5160" w:firstLineChars="215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spacing w:line="400" w:lineRule="exact"/>
        <w:jc w:val="center"/>
        <w:outlineLvl w:val="1"/>
        <w:rPr>
          <w:rFonts w:hint="eastAsia" w:ascii="黑体" w:eastAsia="黑体"/>
          <w:sz w:val="28"/>
          <w:szCs w:val="28"/>
        </w:rPr>
      </w:pPr>
    </w:p>
    <w:p>
      <w:pPr>
        <w:spacing w:line="400" w:lineRule="exact"/>
        <w:jc w:val="center"/>
        <w:outlineLvl w:val="1"/>
        <w:rPr>
          <w:rFonts w:ascii="黑体" w:eastAsia="黑体"/>
          <w:sz w:val="28"/>
          <w:szCs w:val="28"/>
        </w:rPr>
      </w:pPr>
      <w:r>
        <w:rPr>
          <w:rFonts w:hint="eastAsia" w:ascii="黑体" w:eastAsia="黑体"/>
          <w:sz w:val="28"/>
          <w:szCs w:val="28"/>
        </w:rPr>
        <w:t>三、报价明细表</w:t>
      </w:r>
    </w:p>
    <w:p>
      <w:pPr>
        <w:spacing w:line="400" w:lineRule="exact"/>
        <w:rPr>
          <w:rFonts w:ascii="楷体_GB2312" w:eastAsia="楷体_GB2312"/>
          <w:b/>
          <w:sz w:val="28"/>
          <w:szCs w:val="28"/>
        </w:rPr>
      </w:pPr>
    </w:p>
    <w:tbl>
      <w:tblPr>
        <w:tblStyle w:val="88"/>
        <w:tblW w:w="456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2169"/>
        <w:gridCol w:w="2492"/>
        <w:gridCol w:w="828"/>
        <w:gridCol w:w="1607"/>
        <w:gridCol w:w="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29" w:type="dxa"/>
            <w:vAlign w:val="center"/>
          </w:tcPr>
          <w:p>
            <w:pPr>
              <w:spacing w:line="360" w:lineRule="exact"/>
              <w:jc w:val="center"/>
              <w:rPr>
                <w:rFonts w:hint="eastAsia" w:ascii="宋体" w:hAnsi="宋体" w:eastAsia="宋体" w:cs="宋体"/>
                <w:b/>
                <w:szCs w:val="21"/>
                <w:lang w:eastAsia="zh-CN"/>
              </w:rPr>
            </w:pPr>
            <w:bookmarkStart w:id="37" w:name="_Toc158691783"/>
            <w:bookmarkStart w:id="38" w:name="_Toc129333640"/>
            <w:bookmarkStart w:id="39" w:name="_Toc194386110"/>
            <w:r>
              <w:rPr>
                <w:rFonts w:hint="eastAsia" w:ascii="宋体" w:hAnsi="宋体" w:cs="宋体"/>
                <w:b/>
                <w:szCs w:val="21"/>
                <w:lang w:eastAsia="zh-CN"/>
              </w:rPr>
              <w:t>序号</w:t>
            </w:r>
          </w:p>
        </w:tc>
        <w:tc>
          <w:tcPr>
            <w:tcW w:w="2169" w:type="dxa"/>
            <w:vAlign w:val="center"/>
          </w:tcPr>
          <w:p>
            <w:pPr>
              <w:spacing w:line="360" w:lineRule="exact"/>
              <w:jc w:val="center"/>
              <w:rPr>
                <w:rFonts w:ascii="宋体" w:hAnsi="宋体" w:cs="宋体"/>
                <w:b/>
                <w:szCs w:val="21"/>
              </w:rPr>
            </w:pPr>
            <w:r>
              <w:rPr>
                <w:rFonts w:hint="eastAsia" w:ascii="宋体" w:hAnsi="宋体" w:cs="宋体"/>
                <w:b/>
                <w:szCs w:val="21"/>
              </w:rPr>
              <w:t>费用名称</w:t>
            </w:r>
          </w:p>
        </w:tc>
        <w:tc>
          <w:tcPr>
            <w:tcW w:w="2492" w:type="dxa"/>
            <w:vAlign w:val="center"/>
          </w:tcPr>
          <w:p>
            <w:pPr>
              <w:spacing w:line="360" w:lineRule="exact"/>
              <w:jc w:val="center"/>
              <w:rPr>
                <w:rFonts w:ascii="宋体" w:hAnsi="宋体" w:cs="宋体"/>
                <w:b/>
                <w:szCs w:val="21"/>
              </w:rPr>
            </w:pPr>
            <w:r>
              <w:rPr>
                <w:rFonts w:hint="eastAsia" w:ascii="宋体" w:hAnsi="宋体" w:cs="宋体"/>
                <w:b/>
                <w:szCs w:val="21"/>
              </w:rPr>
              <w:t>综合单价</w:t>
            </w:r>
          </w:p>
        </w:tc>
        <w:tc>
          <w:tcPr>
            <w:tcW w:w="828" w:type="dxa"/>
            <w:vAlign w:val="center"/>
          </w:tcPr>
          <w:p>
            <w:pPr>
              <w:spacing w:line="360" w:lineRule="exact"/>
              <w:jc w:val="center"/>
              <w:rPr>
                <w:rFonts w:ascii="宋体" w:hAnsi="宋体" w:cs="宋体"/>
                <w:b/>
                <w:szCs w:val="21"/>
              </w:rPr>
            </w:pPr>
            <w:r>
              <w:rPr>
                <w:rFonts w:hint="eastAsia" w:ascii="宋体" w:hAnsi="宋体" w:cs="宋体"/>
                <w:b/>
                <w:szCs w:val="21"/>
              </w:rPr>
              <w:t>数量</w:t>
            </w:r>
          </w:p>
        </w:tc>
        <w:tc>
          <w:tcPr>
            <w:tcW w:w="1607" w:type="dxa"/>
            <w:vAlign w:val="center"/>
          </w:tcPr>
          <w:p>
            <w:pPr>
              <w:spacing w:line="360" w:lineRule="exact"/>
              <w:jc w:val="center"/>
              <w:rPr>
                <w:rFonts w:ascii="宋体" w:hAnsi="宋体" w:cs="宋体"/>
                <w:b/>
                <w:szCs w:val="21"/>
              </w:rPr>
            </w:pPr>
            <w:r>
              <w:rPr>
                <w:rFonts w:hint="eastAsia" w:ascii="宋体" w:hAnsi="宋体" w:cs="宋体"/>
                <w:b/>
                <w:szCs w:val="21"/>
              </w:rPr>
              <w:t>总价（元/年）</w:t>
            </w:r>
          </w:p>
        </w:tc>
        <w:tc>
          <w:tcPr>
            <w:tcW w:w="951" w:type="dxa"/>
            <w:vAlign w:val="center"/>
          </w:tcPr>
          <w:p>
            <w:pPr>
              <w:spacing w:line="360" w:lineRule="exact"/>
              <w:jc w:val="center"/>
              <w:rPr>
                <w:rFonts w:ascii="宋体" w:hAnsi="宋体" w:cs="宋体"/>
                <w:b/>
                <w:szCs w:val="21"/>
              </w:rPr>
            </w:pPr>
            <w:r>
              <w:rPr>
                <w:rFonts w:hint="eastAsia" w:ascii="宋体" w:hAnsi="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9" w:type="dxa"/>
            <w:vAlign w:val="center"/>
          </w:tcPr>
          <w:p>
            <w:pPr>
              <w:spacing w:line="360" w:lineRule="exact"/>
              <w:jc w:val="center"/>
              <w:rPr>
                <w:rFonts w:hint="eastAsia" w:ascii="宋体" w:hAnsi="宋体" w:cs="宋体"/>
                <w:b/>
                <w:szCs w:val="21"/>
              </w:rPr>
            </w:pPr>
            <w:r>
              <w:rPr>
                <w:rFonts w:hint="eastAsia" w:ascii="宋体" w:hAnsi="宋体" w:cs="宋体"/>
                <w:b/>
                <w:szCs w:val="21"/>
                <w:lang w:val="en-US" w:eastAsia="zh-CN"/>
              </w:rPr>
              <w:t>1</w:t>
            </w:r>
          </w:p>
        </w:tc>
        <w:tc>
          <w:tcPr>
            <w:tcW w:w="2169"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highlight w:val="none"/>
              </w:rPr>
              <w:t>维护箱变</w:t>
            </w:r>
            <w:r>
              <w:rPr>
                <w:rFonts w:hint="eastAsia" w:ascii="宋体" w:hAnsi="宋体" w:eastAsia="宋体" w:cs="宋体"/>
                <w:sz w:val="21"/>
                <w:szCs w:val="21"/>
                <w:highlight w:val="none"/>
                <w:lang w:val="en-US" w:eastAsia="zh-CN"/>
              </w:rPr>
              <w:t>单价</w:t>
            </w:r>
          </w:p>
        </w:tc>
        <w:tc>
          <w:tcPr>
            <w:tcW w:w="2492" w:type="dxa"/>
            <w:vAlign w:val="center"/>
          </w:tcPr>
          <w:p>
            <w:pPr>
              <w:spacing w:line="360" w:lineRule="exact"/>
              <w:jc w:val="left"/>
              <w:rPr>
                <w:rFonts w:ascii="宋体" w:hAnsi="宋体" w:cs="宋体"/>
                <w:szCs w:val="21"/>
              </w:rPr>
            </w:pP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元/（台•年）</w:t>
            </w:r>
          </w:p>
        </w:tc>
        <w:tc>
          <w:tcPr>
            <w:tcW w:w="828" w:type="dxa"/>
            <w:vAlign w:val="center"/>
          </w:tcPr>
          <w:p>
            <w:pPr>
              <w:spacing w:line="360" w:lineRule="exact"/>
              <w:jc w:val="center"/>
              <w:rPr>
                <w:rFonts w:ascii="宋体" w:hAnsi="宋体" w:cs="宋体"/>
                <w:spacing w:val="-20"/>
                <w:szCs w:val="21"/>
              </w:rPr>
            </w:pPr>
            <w:r>
              <w:rPr>
                <w:rFonts w:hint="eastAsia" w:ascii="宋体" w:hAnsi="宋体" w:eastAsia="宋体" w:cs="宋体"/>
                <w:sz w:val="21"/>
                <w:szCs w:val="21"/>
                <w:lang w:eastAsia="zh-CN"/>
              </w:rPr>
              <w:t>168</w:t>
            </w:r>
          </w:p>
        </w:tc>
        <w:tc>
          <w:tcPr>
            <w:tcW w:w="1607" w:type="dxa"/>
            <w:vAlign w:val="center"/>
          </w:tcPr>
          <w:p>
            <w:pPr>
              <w:spacing w:line="360" w:lineRule="exact"/>
              <w:jc w:val="center"/>
              <w:rPr>
                <w:rFonts w:ascii="宋体" w:hAnsi="宋体" w:cs="宋体"/>
                <w:spacing w:val="-20"/>
                <w:szCs w:val="21"/>
              </w:rPr>
            </w:pPr>
          </w:p>
        </w:tc>
        <w:tc>
          <w:tcPr>
            <w:tcW w:w="951" w:type="dxa"/>
            <w:vAlign w:val="center"/>
          </w:tcPr>
          <w:p>
            <w:pPr>
              <w:spacing w:line="360" w:lineRule="exact"/>
              <w:jc w:val="center"/>
              <w:rPr>
                <w:rFonts w:ascii="宋体" w:hAnsi="宋体" w:cs="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9" w:type="dxa"/>
            <w:vAlign w:val="center"/>
          </w:tcPr>
          <w:p>
            <w:pPr>
              <w:spacing w:line="360" w:lineRule="exact"/>
              <w:jc w:val="center"/>
              <w:rPr>
                <w:rFonts w:hint="eastAsia" w:ascii="宋体" w:hAnsi="宋体" w:cs="宋体"/>
                <w:szCs w:val="21"/>
              </w:rPr>
            </w:pPr>
            <w:r>
              <w:rPr>
                <w:rFonts w:hint="eastAsia" w:ascii="宋体" w:hAnsi="宋体" w:cs="宋体"/>
                <w:szCs w:val="21"/>
                <w:lang w:val="en-US" w:eastAsia="zh-CN"/>
              </w:rPr>
              <w:t>2</w:t>
            </w:r>
          </w:p>
        </w:tc>
        <w:tc>
          <w:tcPr>
            <w:tcW w:w="2169"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highlight w:val="none"/>
                <w:lang w:val="en-US" w:eastAsia="zh-CN"/>
              </w:rPr>
              <w:t>箱门更换单价</w:t>
            </w:r>
          </w:p>
        </w:tc>
        <w:tc>
          <w:tcPr>
            <w:tcW w:w="2492" w:type="dxa"/>
            <w:vAlign w:val="center"/>
          </w:tcPr>
          <w:p>
            <w:pPr>
              <w:spacing w:line="360" w:lineRule="exact"/>
              <w:jc w:val="left"/>
              <w:rPr>
                <w:rFonts w:ascii="宋体" w:hAnsi="宋体" w:cs="宋体"/>
                <w:szCs w:val="21"/>
              </w:rPr>
            </w:pP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元/扇</w:t>
            </w:r>
          </w:p>
        </w:tc>
        <w:tc>
          <w:tcPr>
            <w:tcW w:w="828" w:type="dxa"/>
            <w:vAlign w:val="center"/>
          </w:tcPr>
          <w:p>
            <w:pPr>
              <w:spacing w:line="360" w:lineRule="exact"/>
              <w:jc w:val="center"/>
              <w:rPr>
                <w:rFonts w:hint="default" w:ascii="宋体" w:hAnsi="宋体" w:cs="宋体"/>
                <w:spacing w:val="-20"/>
                <w:szCs w:val="21"/>
              </w:rPr>
            </w:pPr>
            <w:r>
              <w:rPr>
                <w:rFonts w:hint="eastAsia" w:ascii="宋体" w:hAnsi="宋体" w:cs="宋体"/>
                <w:spacing w:val="-20"/>
                <w:szCs w:val="21"/>
                <w:lang w:val="en-US" w:eastAsia="zh-CN"/>
              </w:rPr>
              <w:t>60</w:t>
            </w:r>
          </w:p>
        </w:tc>
        <w:tc>
          <w:tcPr>
            <w:tcW w:w="1607" w:type="dxa"/>
            <w:vAlign w:val="center"/>
          </w:tcPr>
          <w:p>
            <w:pPr>
              <w:spacing w:line="360" w:lineRule="exact"/>
              <w:rPr>
                <w:rFonts w:ascii="宋体" w:hAnsi="宋体" w:cs="宋体"/>
                <w:spacing w:val="-20"/>
                <w:szCs w:val="21"/>
                <w:u w:val="single"/>
              </w:rPr>
            </w:pPr>
          </w:p>
        </w:tc>
        <w:tc>
          <w:tcPr>
            <w:tcW w:w="951" w:type="dxa"/>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9" w:type="dxa"/>
            <w:vAlign w:val="center"/>
          </w:tcPr>
          <w:p>
            <w:pPr>
              <w:spacing w:line="360" w:lineRule="exact"/>
              <w:jc w:val="center"/>
              <w:rPr>
                <w:rFonts w:hint="eastAsia" w:ascii="宋体" w:hAnsi="宋体" w:cs="宋体"/>
                <w:szCs w:val="21"/>
              </w:rPr>
            </w:pPr>
            <w:r>
              <w:rPr>
                <w:rFonts w:hint="eastAsia" w:ascii="宋体" w:hAnsi="宋体" w:cs="宋体"/>
                <w:szCs w:val="21"/>
                <w:lang w:val="en-US" w:eastAsia="zh-CN"/>
              </w:rPr>
              <w:t>3</w:t>
            </w:r>
          </w:p>
        </w:tc>
        <w:tc>
          <w:tcPr>
            <w:tcW w:w="2169"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highlight w:val="none"/>
                <w:lang w:val="en-US" w:eastAsia="zh-CN"/>
              </w:rPr>
              <w:t>箱变外壳做防水单价</w:t>
            </w:r>
          </w:p>
        </w:tc>
        <w:tc>
          <w:tcPr>
            <w:tcW w:w="2492" w:type="dxa"/>
            <w:vAlign w:val="center"/>
          </w:tcPr>
          <w:p>
            <w:pPr>
              <w:spacing w:line="360" w:lineRule="exact"/>
              <w:jc w:val="left"/>
              <w:rPr>
                <w:rFonts w:ascii="宋体" w:hAnsi="宋体" w:cs="宋体"/>
                <w:szCs w:val="21"/>
              </w:rPr>
            </w:pP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元/台</w:t>
            </w:r>
          </w:p>
        </w:tc>
        <w:tc>
          <w:tcPr>
            <w:tcW w:w="828" w:type="dxa"/>
            <w:vAlign w:val="center"/>
          </w:tcPr>
          <w:p>
            <w:pPr>
              <w:spacing w:line="360" w:lineRule="exact"/>
              <w:jc w:val="center"/>
              <w:rPr>
                <w:rFonts w:hint="default" w:ascii="宋体" w:hAnsi="宋体" w:cs="宋体"/>
                <w:spacing w:val="-20"/>
                <w:szCs w:val="21"/>
              </w:rPr>
            </w:pPr>
            <w:r>
              <w:rPr>
                <w:rFonts w:hint="eastAsia" w:ascii="宋体" w:hAnsi="宋体" w:cs="宋体"/>
                <w:spacing w:val="-20"/>
                <w:szCs w:val="21"/>
                <w:lang w:val="en-US" w:eastAsia="zh-CN"/>
              </w:rPr>
              <w:t>10</w:t>
            </w:r>
          </w:p>
        </w:tc>
        <w:tc>
          <w:tcPr>
            <w:tcW w:w="1607" w:type="dxa"/>
            <w:vAlign w:val="center"/>
          </w:tcPr>
          <w:p>
            <w:pPr>
              <w:spacing w:line="360" w:lineRule="exact"/>
              <w:rPr>
                <w:rFonts w:ascii="宋体" w:hAnsi="宋体" w:cs="宋体"/>
                <w:spacing w:val="-20"/>
                <w:szCs w:val="21"/>
                <w:u w:val="single"/>
              </w:rPr>
            </w:pPr>
          </w:p>
        </w:tc>
        <w:tc>
          <w:tcPr>
            <w:tcW w:w="951" w:type="dxa"/>
            <w:vAlign w:val="center"/>
          </w:tcPr>
          <w:p>
            <w:pPr>
              <w:spacing w:line="360" w:lineRule="exact"/>
              <w:rPr>
                <w:rFonts w:ascii="宋体" w:hAnsi="宋体" w:cs="宋体"/>
                <w:spacing w:val="-20"/>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2698" w:type="dxa"/>
            <w:gridSpan w:val="2"/>
            <w:vAlign w:val="center"/>
          </w:tcPr>
          <w:p>
            <w:pPr>
              <w:spacing w:line="360" w:lineRule="exact"/>
              <w:jc w:val="center"/>
              <w:rPr>
                <w:rFonts w:ascii="宋体" w:hAnsi="宋体" w:cs="宋体"/>
                <w:szCs w:val="21"/>
              </w:rPr>
            </w:pPr>
            <w:r>
              <w:rPr>
                <w:rFonts w:hint="eastAsia" w:ascii="宋体" w:hAnsi="宋体" w:cs="宋体"/>
                <w:b/>
                <w:szCs w:val="21"/>
              </w:rPr>
              <w:t>总计金额</w:t>
            </w:r>
          </w:p>
        </w:tc>
        <w:tc>
          <w:tcPr>
            <w:tcW w:w="5878" w:type="dxa"/>
            <w:gridSpan w:val="4"/>
            <w:vAlign w:val="center"/>
          </w:tcPr>
          <w:p>
            <w:pPr>
              <w:spacing w:line="400" w:lineRule="exact"/>
              <w:ind w:firstLine="420" w:firstLineChars="200"/>
              <w:rPr>
                <w:rFonts w:asciiTheme="minorEastAsia" w:hAnsiTheme="minorEastAsia" w:eastAsiaTheme="minorEastAsia"/>
                <w:u w:val="single"/>
              </w:rPr>
            </w:pPr>
            <w:r>
              <w:rPr>
                <w:rFonts w:hint="eastAsia" w:asciiTheme="minorEastAsia" w:hAnsiTheme="minorEastAsia" w:eastAsiaTheme="minorEastAsia"/>
              </w:rPr>
              <w:t>小写：￥</w:t>
            </w:r>
            <w:r>
              <w:rPr>
                <w:rFonts w:hint="eastAsia" w:asciiTheme="minorEastAsia" w:hAnsiTheme="minorEastAsia" w:eastAsiaTheme="minorEastAsia"/>
                <w:u w:val="single"/>
              </w:rPr>
              <w:t xml:space="preserve">                            </w:t>
            </w:r>
          </w:p>
          <w:p>
            <w:pPr>
              <w:tabs>
                <w:tab w:val="left" w:pos="930"/>
              </w:tabs>
              <w:spacing w:line="360" w:lineRule="exact"/>
              <w:ind w:firstLine="420" w:firstLineChars="200"/>
              <w:rPr>
                <w:rFonts w:hint="default" w:ascii="宋体" w:hAnsi="宋体" w:cs="宋体" w:eastAsiaTheme="minorEastAsia"/>
                <w:spacing w:val="-20"/>
                <w:szCs w:val="21"/>
                <w:u w:val="single"/>
                <w:lang w:val="en-US" w:eastAsia="zh-CN"/>
              </w:rPr>
            </w:pPr>
            <w:r>
              <w:rPr>
                <w:rFonts w:hint="eastAsia" w:asciiTheme="minorEastAsia" w:hAnsiTheme="minorEastAsia" w:eastAsiaTheme="minorEastAsia"/>
              </w:rPr>
              <w:t>大写：人民币</w:t>
            </w:r>
            <w:r>
              <w:rPr>
                <w:rFonts w:hint="eastAsia" w:asciiTheme="minorEastAsia" w:hAnsiTheme="minorEastAsia" w:eastAsiaTheme="minorEastAsia"/>
                <w:u w:val="single"/>
              </w:rPr>
              <w:t xml:space="preserve">                        </w:t>
            </w:r>
          </w:p>
        </w:tc>
      </w:tr>
    </w:tbl>
    <w:p>
      <w:pPr>
        <w:spacing w:line="400" w:lineRule="exact"/>
        <w:rPr>
          <w:rFonts w:ascii="宋体" w:hAnsi="宋体" w:eastAsia="楷体_GB2312"/>
          <w:bCs/>
          <w:sz w:val="24"/>
        </w:rPr>
      </w:pPr>
    </w:p>
    <w:bookmarkEnd w:id="37"/>
    <w:bookmarkEnd w:id="38"/>
    <w:bookmarkEnd w:id="39"/>
    <w:p>
      <w:pPr>
        <w:widowControl/>
        <w:spacing w:line="360" w:lineRule="exact"/>
        <w:ind w:firstLine="422" w:firstLineChars="200"/>
        <w:rPr>
          <w:rFonts w:hint="eastAsia" w:ascii="宋体" w:hAnsi="宋体" w:eastAsia="宋体" w:cs="宋体"/>
          <w:b/>
          <w:kern w:val="0"/>
          <w:szCs w:val="21"/>
          <w:lang w:eastAsia="zh-CN"/>
        </w:rPr>
      </w:pPr>
      <w:r>
        <w:rPr>
          <w:rFonts w:hint="eastAsia" w:ascii="宋体" w:hAnsi="宋体" w:cs="宋体"/>
          <w:b/>
          <w:kern w:val="0"/>
          <w:szCs w:val="21"/>
        </w:rPr>
        <w:t>备注：上表中的“总计金额”与《开标一览表》中的“项目总价”一致</w:t>
      </w:r>
      <w:r>
        <w:rPr>
          <w:rFonts w:hint="eastAsia" w:ascii="宋体" w:hAnsi="宋体" w:cs="宋体"/>
          <w:b/>
          <w:kern w:val="0"/>
          <w:szCs w:val="21"/>
          <w:lang w:eastAsia="zh-CN"/>
        </w:rPr>
        <w:t>。</w:t>
      </w:r>
    </w:p>
    <w:p>
      <w:pPr>
        <w:spacing w:line="400" w:lineRule="exact"/>
        <w:ind w:firstLine="600" w:firstLineChars="250"/>
        <w:rPr>
          <w:rFonts w:ascii="宋体" w:hAnsi="宋体" w:cs="宋体"/>
          <w:bCs/>
          <w:sz w:val="24"/>
        </w:rPr>
      </w:pPr>
    </w:p>
    <w:p>
      <w:pPr>
        <w:spacing w:line="480" w:lineRule="auto"/>
        <w:ind w:firstLine="1200" w:firstLineChars="500"/>
        <w:rPr>
          <w:rFonts w:hint="eastAsia" w:asciiTheme="minorEastAsia" w:hAnsiTheme="minorEastAsia" w:eastAsiaTheme="minorEastAsia"/>
          <w:bCs/>
          <w:sz w:val="24"/>
        </w:rPr>
      </w:pPr>
    </w:p>
    <w:p>
      <w:pPr>
        <w:spacing w:line="480" w:lineRule="auto"/>
        <w:ind w:firstLine="3120" w:firstLineChars="13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3120" w:firstLineChars="13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3120" w:firstLineChars="13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outlineLvl w:val="1"/>
        <w:rPr>
          <w:rFonts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rPr>
      </w:pPr>
    </w:p>
    <w:p>
      <w:pPr>
        <w:spacing w:line="400" w:lineRule="exact"/>
        <w:jc w:val="center"/>
        <w:outlineLvl w:val="1"/>
        <w:rPr>
          <w:rFonts w:hint="eastAsia" w:ascii="黑体" w:eastAsia="黑体"/>
          <w:sz w:val="28"/>
          <w:szCs w:val="28"/>
          <w:lang w:eastAsia="zh-CN"/>
        </w:rPr>
      </w:pPr>
    </w:p>
    <w:p>
      <w:pPr>
        <w:spacing w:line="400" w:lineRule="exact"/>
        <w:jc w:val="center"/>
        <w:outlineLvl w:val="1"/>
        <w:rPr>
          <w:rFonts w:ascii="黑体" w:eastAsia="黑体"/>
          <w:sz w:val="28"/>
          <w:szCs w:val="28"/>
        </w:rPr>
      </w:pPr>
      <w:r>
        <w:rPr>
          <w:rFonts w:hint="eastAsia" w:ascii="黑体" w:eastAsia="黑体"/>
          <w:sz w:val="28"/>
          <w:szCs w:val="28"/>
          <w:lang w:eastAsia="zh-CN"/>
        </w:rPr>
        <w:t>四</w:t>
      </w:r>
      <w:r>
        <w:rPr>
          <w:rFonts w:hint="eastAsia" w:ascii="黑体" w:eastAsia="黑体"/>
          <w:sz w:val="28"/>
          <w:szCs w:val="28"/>
        </w:rPr>
        <w:t>、项目服务方案</w:t>
      </w:r>
    </w:p>
    <w:p>
      <w:pPr>
        <w:adjustRightInd w:val="0"/>
        <w:snapToGrid w:val="0"/>
        <w:spacing w:line="400" w:lineRule="exact"/>
        <w:ind w:firstLine="560" w:firstLineChars="200"/>
        <w:rPr>
          <w:rFonts w:ascii="楷体_GB2312" w:eastAsia="楷体_GB2312"/>
          <w:sz w:val="28"/>
          <w:szCs w:val="28"/>
        </w:rPr>
      </w:pPr>
    </w:p>
    <w:p>
      <w:pPr>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根据采购文件要求自行拟定针对本项目的详细项目服务方案：</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500" w:lineRule="exact"/>
        <w:textAlignment w:val="baseline"/>
        <w:rPr>
          <w:rFonts w:ascii="楷体_GB2312" w:eastAsia="楷体_GB2312"/>
          <w:b/>
          <w:sz w:val="24"/>
          <w:u w:val="single"/>
        </w:rPr>
      </w:pPr>
      <w:r>
        <w:rPr>
          <w:rFonts w:hint="eastAsia" w:ascii="楷体_GB2312" w:eastAsia="楷体_GB2312"/>
          <w:b/>
          <w:sz w:val="24"/>
          <w:u w:val="single"/>
        </w:rPr>
        <w:t xml:space="preserve">　　　　　　　　　　　　　　　　　　　　　　　　　　　　　　　　　　　　　 </w:t>
      </w:r>
    </w:p>
    <w:p>
      <w:pPr>
        <w:adjustRightInd w:val="0"/>
        <w:snapToGrid w:val="0"/>
        <w:spacing w:line="500" w:lineRule="exact"/>
        <w:rPr>
          <w:rFonts w:ascii="楷体_GB2312" w:eastAsia="楷体_GB2312"/>
          <w:b/>
          <w:sz w:val="24"/>
          <w:u w:val="single"/>
        </w:rPr>
      </w:pPr>
      <w:r>
        <w:rPr>
          <w:rFonts w:hint="eastAsia" w:ascii="楷体_GB2312" w:eastAsia="楷体_GB2312"/>
          <w:b/>
          <w:sz w:val="24"/>
          <w:u w:val="single"/>
        </w:rPr>
        <w:t>　　　　　　　　　　　　　　　　　　　　　　　　　　　　　　　　 　　　　　</w:t>
      </w:r>
    </w:p>
    <w:p>
      <w:pPr>
        <w:adjustRightInd w:val="0"/>
        <w:snapToGrid w:val="0"/>
        <w:spacing w:line="500" w:lineRule="exact"/>
        <w:rPr>
          <w:rFonts w:ascii="楷体_GB2312" w:hAnsi="Lucida Grande" w:eastAsia="楷体_GB2312"/>
          <w:sz w:val="28"/>
          <w:szCs w:val="28"/>
        </w:rPr>
      </w:pPr>
      <w:r>
        <w:rPr>
          <w:rFonts w:hint="eastAsia" w:ascii="楷体_GB2312" w:eastAsia="楷体_GB2312"/>
          <w:b/>
          <w:sz w:val="24"/>
          <w:u w:val="single"/>
        </w:rPr>
        <w:t>　　　　　　　　　　　　　　　　　　　　　　　　　　　　　　　　 　　　　　</w:t>
      </w:r>
    </w:p>
    <w:p>
      <w:pPr>
        <w:spacing w:line="400" w:lineRule="exact"/>
        <w:jc w:val="center"/>
        <w:outlineLvl w:val="1"/>
        <w:rPr>
          <w:rFonts w:ascii="楷体_GB2312" w:eastAsia="楷体_GB2312"/>
          <w:b/>
          <w:sz w:val="28"/>
          <w:szCs w:val="28"/>
        </w:rPr>
      </w:pPr>
    </w:p>
    <w:p>
      <w:pPr>
        <w:spacing w:line="360" w:lineRule="exact"/>
        <w:jc w:val="center"/>
        <w:rPr>
          <w:rFonts w:ascii="黑体" w:eastAsia="黑体"/>
          <w:sz w:val="28"/>
          <w:szCs w:val="28"/>
        </w:rPr>
      </w:pPr>
      <w:r>
        <w:rPr>
          <w:rFonts w:hint="eastAsia" w:ascii="黑体" w:eastAsia="黑体"/>
          <w:sz w:val="28"/>
          <w:szCs w:val="28"/>
          <w:lang w:eastAsia="zh-CN"/>
        </w:rPr>
        <w:t>五</w:t>
      </w:r>
      <w:r>
        <w:rPr>
          <w:rFonts w:hint="eastAsia" w:ascii="黑体" w:eastAsia="黑体"/>
          <w:sz w:val="28"/>
          <w:szCs w:val="28"/>
        </w:rPr>
        <w:t>、商务、技术要求响应及偏离表</w:t>
      </w:r>
    </w:p>
    <w:p>
      <w:pPr>
        <w:spacing w:line="360" w:lineRule="exact"/>
        <w:jc w:val="center"/>
        <w:rPr>
          <w:rFonts w:asciiTheme="minorEastAsia" w:hAnsiTheme="minorEastAsia" w:eastAsiaTheme="minorEastAsia"/>
          <w:b/>
          <w:sz w:val="28"/>
          <w:szCs w:val="28"/>
        </w:rPr>
      </w:pPr>
    </w:p>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（一）商务要求响应及偏离表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商务规范描述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（二）技术要求响应及偏离表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15"/>
        <w:gridCol w:w="2308"/>
        <w:gridCol w:w="1713"/>
        <w:gridCol w:w="1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41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招标文件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技术要求</w:t>
            </w:r>
          </w:p>
        </w:tc>
        <w:tc>
          <w:tcPr>
            <w:tcW w:w="230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投标文件</w:t>
            </w:r>
          </w:p>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技术规范描述</w:t>
            </w:r>
          </w:p>
        </w:tc>
        <w:tc>
          <w:tcPr>
            <w:tcW w:w="1713"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有无偏离</w:t>
            </w:r>
          </w:p>
        </w:tc>
        <w:tc>
          <w:tcPr>
            <w:tcW w:w="191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偏离内容及原因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spacing w:line="360" w:lineRule="exact"/>
              <w:jc w:val="center"/>
              <w:rPr>
                <w:rFonts w:asciiTheme="minorEastAsia" w:hAnsiTheme="minorEastAsia" w:eastAsiaTheme="minorEastAsia"/>
                <w:sz w:val="24"/>
              </w:rPr>
            </w:pPr>
          </w:p>
        </w:tc>
        <w:tc>
          <w:tcPr>
            <w:tcW w:w="2415" w:type="dxa"/>
            <w:vAlign w:val="center"/>
          </w:tcPr>
          <w:p>
            <w:pPr>
              <w:spacing w:line="360" w:lineRule="exact"/>
              <w:jc w:val="center"/>
              <w:rPr>
                <w:rFonts w:asciiTheme="minorEastAsia" w:hAnsiTheme="minorEastAsia" w:eastAsiaTheme="minorEastAsia"/>
                <w:sz w:val="24"/>
              </w:rPr>
            </w:pPr>
          </w:p>
        </w:tc>
        <w:tc>
          <w:tcPr>
            <w:tcW w:w="2308" w:type="dxa"/>
            <w:vAlign w:val="center"/>
          </w:tcPr>
          <w:p>
            <w:pPr>
              <w:spacing w:line="360" w:lineRule="exact"/>
              <w:jc w:val="center"/>
              <w:rPr>
                <w:rFonts w:asciiTheme="minorEastAsia" w:hAnsiTheme="minorEastAsia" w:eastAsiaTheme="minorEastAsia"/>
                <w:sz w:val="24"/>
              </w:rPr>
            </w:pPr>
          </w:p>
        </w:tc>
        <w:tc>
          <w:tcPr>
            <w:tcW w:w="1713" w:type="dxa"/>
            <w:vAlign w:val="center"/>
          </w:tcPr>
          <w:p>
            <w:pPr>
              <w:spacing w:line="360" w:lineRule="exact"/>
              <w:jc w:val="center"/>
              <w:rPr>
                <w:rFonts w:asciiTheme="minorEastAsia" w:hAnsiTheme="minorEastAsia" w:eastAsiaTheme="minorEastAsia"/>
                <w:sz w:val="24"/>
              </w:rPr>
            </w:pPr>
          </w:p>
        </w:tc>
        <w:tc>
          <w:tcPr>
            <w:tcW w:w="1911" w:type="dxa"/>
            <w:vAlign w:val="center"/>
          </w:tcPr>
          <w:p>
            <w:pPr>
              <w:spacing w:line="360" w:lineRule="exact"/>
              <w:jc w:val="center"/>
              <w:rPr>
                <w:rFonts w:asciiTheme="minorEastAsia" w:hAnsiTheme="minorEastAsia" w:eastAsiaTheme="minorEastAsia"/>
                <w:sz w:val="24"/>
              </w:rPr>
            </w:pPr>
          </w:p>
        </w:tc>
      </w:tr>
    </w:tbl>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注：1、投标单位应据实、详细填写上述表格，因未标明或表述含糊导致的评审风险将由投标单位承担。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2、质保期、工期、付款方式、售后服务等商务响应情况在“商务要求响应及偏离表”填写。产品技术参数要求响应等技术响应情况在“技术要求响应及偏离表”填写。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4、“投标文件技术规范描述”完全照抄“招标文件技术要求”的，有被判定为负偏离的风险。</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5、表格不够可另接。</w:t>
      </w:r>
    </w:p>
    <w:p>
      <w:pPr>
        <w:spacing w:line="360" w:lineRule="exact"/>
        <w:rPr>
          <w:rFonts w:ascii="楷体_GB2312" w:eastAsia="楷体_GB2312"/>
          <w:sz w:val="24"/>
        </w:rPr>
      </w:pPr>
    </w:p>
    <w:p>
      <w:pPr>
        <w:spacing w:line="360" w:lineRule="exact"/>
        <w:rPr>
          <w:rFonts w:ascii="楷体_GB2312" w:eastAsia="楷体_GB2312"/>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360" w:lineRule="exact"/>
        <w:jc w:val="center"/>
        <w:rPr>
          <w:rFonts w:ascii="黑体" w:eastAsia="黑体"/>
          <w:sz w:val="28"/>
          <w:szCs w:val="28"/>
        </w:rPr>
      </w:pPr>
    </w:p>
    <w:p>
      <w:pPr>
        <w:spacing w:line="360" w:lineRule="exact"/>
        <w:jc w:val="center"/>
        <w:rPr>
          <w:rFonts w:ascii="黑体" w:eastAsia="黑体"/>
          <w:sz w:val="28"/>
          <w:szCs w:val="28"/>
        </w:rPr>
      </w:pPr>
      <w:r>
        <w:rPr>
          <w:rFonts w:hint="eastAsia" w:ascii="黑体" w:eastAsia="黑体"/>
          <w:sz w:val="28"/>
          <w:szCs w:val="28"/>
          <w:lang w:eastAsia="zh-CN"/>
        </w:rPr>
        <w:t>六</w:t>
      </w:r>
      <w:r>
        <w:rPr>
          <w:rFonts w:hint="eastAsia" w:ascii="黑体" w:eastAsia="黑体"/>
          <w:sz w:val="28"/>
          <w:szCs w:val="28"/>
        </w:rPr>
        <w:t>、投标人综合实力</w:t>
      </w:r>
    </w:p>
    <w:p>
      <w:pPr>
        <w:spacing w:line="360" w:lineRule="exact"/>
        <w:jc w:val="center"/>
        <w:rPr>
          <w:rFonts w:asciiTheme="minorEastAsia" w:hAnsiTheme="minorEastAsia" w:eastAsiaTheme="minorEastAsia"/>
          <w:b/>
          <w:sz w:val="28"/>
          <w:szCs w:val="28"/>
        </w:rPr>
      </w:pPr>
    </w:p>
    <w:p>
      <w:pPr>
        <w:jc w:val="center"/>
        <w:outlineLvl w:val="1"/>
        <w:rPr>
          <w:rFonts w:asciiTheme="minorEastAsia" w:hAnsiTheme="minorEastAsia" w:eastAsiaTheme="minorEastAsia"/>
          <w:b/>
          <w:sz w:val="24"/>
        </w:rPr>
      </w:pPr>
      <w:r>
        <w:rPr>
          <w:rFonts w:hint="eastAsia" w:asciiTheme="minorEastAsia" w:hAnsiTheme="minorEastAsia" w:eastAsiaTheme="minorEastAsia"/>
          <w:b/>
          <w:sz w:val="24"/>
        </w:rPr>
        <w:t>（一）投标单位综合情况一览表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9"/>
        <w:gridCol w:w="1700"/>
        <w:gridCol w:w="1318"/>
        <w:gridCol w:w="144"/>
        <w:gridCol w:w="701"/>
        <w:gridCol w:w="673"/>
        <w:gridCol w:w="1117"/>
        <w:gridCol w:w="370"/>
        <w:gridCol w:w="2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一、公司基本信息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公司名称</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注册资金：</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公司地址：</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成立日期：</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法定代表人：</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开户银行：</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帐号：</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项目联系人：</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联系电话：</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二、公司财务状况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上一年度财务状况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销售收（万）：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利润总额（元）</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年末“固定资产合计”（万）：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年末“流动资产”余额（万）：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年末“短期负债”余额（万）：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年末“长期负债”余额（万）：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年末“资产总计”余额（万）</w:t>
            </w:r>
          </w:p>
        </w:tc>
        <w:tc>
          <w:tcPr>
            <w:tcW w:w="1462" w:type="dxa"/>
            <w:gridSpan w:val="2"/>
            <w:vAlign w:val="center"/>
          </w:tcPr>
          <w:p>
            <w:pPr>
              <w:pStyle w:val="22"/>
              <w:ind w:firstLine="0"/>
              <w:jc w:val="center"/>
              <w:rPr>
                <w:rFonts w:asciiTheme="minorEastAsia" w:hAnsiTheme="minorEastAsia" w:eastAsiaTheme="minorEastAsia"/>
                <w:szCs w:val="24"/>
              </w:rPr>
            </w:pPr>
          </w:p>
        </w:tc>
        <w:tc>
          <w:tcPr>
            <w:tcW w:w="701"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1790"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年末“货币资金”余额（万）：</w:t>
            </w:r>
          </w:p>
        </w:tc>
        <w:tc>
          <w:tcPr>
            <w:tcW w:w="2674" w:type="dxa"/>
            <w:gridSpan w:val="2"/>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三、投标人其他信息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（一）</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公司取得的相关资质认证：</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029"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（二）</w:t>
            </w:r>
          </w:p>
        </w:tc>
        <w:tc>
          <w:tcPr>
            <w:tcW w:w="1700"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公司获得的荣誉信誉认证表彰等情况</w:t>
            </w:r>
          </w:p>
        </w:tc>
        <w:tc>
          <w:tcPr>
            <w:tcW w:w="6627" w:type="dxa"/>
            <w:gridSpan w:val="7"/>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shd w:val="clear" w:color="auto" w:fill="D9D9D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四、提供的案例清单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项目名称</w:t>
            </w:r>
          </w:p>
        </w:tc>
        <w:tc>
          <w:tcPr>
            <w:tcW w:w="1318"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合同金额（万）</w:t>
            </w:r>
          </w:p>
        </w:tc>
        <w:tc>
          <w:tcPr>
            <w:tcW w:w="1518" w:type="dxa"/>
            <w:gridSpan w:val="3"/>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项目联系人及电话</w:t>
            </w:r>
          </w:p>
        </w:tc>
        <w:tc>
          <w:tcPr>
            <w:tcW w:w="1487" w:type="dxa"/>
            <w:gridSpan w:val="2"/>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实施时间</w:t>
            </w:r>
          </w:p>
        </w:tc>
        <w:tc>
          <w:tcPr>
            <w:tcW w:w="2304" w:type="dxa"/>
            <w:vAlign w:val="center"/>
          </w:tcPr>
          <w:p>
            <w:pPr>
              <w:pStyle w:val="22"/>
              <w:ind w:firstLine="0"/>
              <w:jc w:val="center"/>
              <w:rPr>
                <w:rFonts w:asciiTheme="minorEastAsia" w:hAnsiTheme="minorEastAsia" w:eastAsiaTheme="minorEastAsia"/>
                <w:szCs w:val="24"/>
              </w:rPr>
            </w:pPr>
            <w:r>
              <w:rPr>
                <w:rFonts w:hint="eastAsia" w:asciiTheme="minorEastAsia" w:hAnsiTheme="minorEastAsia" w:eastAsiaTheme="minorEastAsia"/>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2729" w:type="dxa"/>
            <w:gridSpan w:val="2"/>
            <w:vAlign w:val="center"/>
          </w:tcPr>
          <w:p>
            <w:pPr>
              <w:pStyle w:val="22"/>
              <w:ind w:firstLine="0"/>
              <w:jc w:val="center"/>
              <w:rPr>
                <w:rFonts w:asciiTheme="minorEastAsia" w:hAnsiTheme="minorEastAsia" w:eastAsiaTheme="minorEastAsia"/>
                <w:szCs w:val="24"/>
              </w:rPr>
            </w:pPr>
          </w:p>
        </w:tc>
        <w:tc>
          <w:tcPr>
            <w:tcW w:w="1318" w:type="dxa"/>
            <w:vAlign w:val="center"/>
          </w:tcPr>
          <w:p>
            <w:pPr>
              <w:pStyle w:val="22"/>
              <w:ind w:firstLine="0"/>
              <w:jc w:val="center"/>
              <w:rPr>
                <w:rFonts w:asciiTheme="minorEastAsia" w:hAnsiTheme="minorEastAsia" w:eastAsiaTheme="minorEastAsia"/>
                <w:szCs w:val="24"/>
              </w:rPr>
            </w:pPr>
          </w:p>
        </w:tc>
        <w:tc>
          <w:tcPr>
            <w:tcW w:w="1518" w:type="dxa"/>
            <w:gridSpan w:val="3"/>
            <w:vAlign w:val="center"/>
          </w:tcPr>
          <w:p>
            <w:pPr>
              <w:pStyle w:val="22"/>
              <w:ind w:firstLine="0"/>
              <w:jc w:val="center"/>
              <w:rPr>
                <w:rFonts w:asciiTheme="minorEastAsia" w:hAnsiTheme="minorEastAsia" w:eastAsiaTheme="minorEastAsia"/>
                <w:szCs w:val="24"/>
              </w:rPr>
            </w:pPr>
          </w:p>
        </w:tc>
        <w:tc>
          <w:tcPr>
            <w:tcW w:w="1487" w:type="dxa"/>
            <w:gridSpan w:val="2"/>
            <w:vAlign w:val="center"/>
          </w:tcPr>
          <w:p>
            <w:pPr>
              <w:pStyle w:val="22"/>
              <w:ind w:firstLine="0"/>
              <w:jc w:val="center"/>
              <w:rPr>
                <w:rFonts w:asciiTheme="minorEastAsia" w:hAnsiTheme="minorEastAsia" w:eastAsiaTheme="minorEastAsia"/>
                <w:szCs w:val="24"/>
              </w:rPr>
            </w:pPr>
          </w:p>
        </w:tc>
        <w:tc>
          <w:tcPr>
            <w:tcW w:w="2304" w:type="dxa"/>
            <w:vAlign w:val="center"/>
          </w:tcPr>
          <w:p>
            <w:pPr>
              <w:pStyle w:val="22"/>
              <w:ind w:firstLine="0"/>
              <w:jc w:val="center"/>
              <w:rPr>
                <w:rFonts w:asciiTheme="minorEastAsia" w:hAnsiTheme="minorEastAsia" w:eastAsiaTheme="minorEastAsia"/>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9356" w:type="dxa"/>
            <w:gridSpan w:val="9"/>
            <w:vAlign w:val="center"/>
          </w:tcPr>
          <w:p>
            <w:pPr>
              <w:pStyle w:val="22"/>
              <w:ind w:firstLine="0"/>
              <w:jc w:val="center"/>
              <w:rPr>
                <w:rFonts w:asciiTheme="minorEastAsia" w:hAnsiTheme="minorEastAsia" w:eastAsiaTheme="minorEastAsia"/>
                <w:b/>
                <w:szCs w:val="24"/>
              </w:rPr>
            </w:pPr>
            <w:r>
              <w:rPr>
                <w:rFonts w:hint="eastAsia" w:asciiTheme="minorEastAsia" w:hAnsiTheme="minorEastAsia" w:eastAsiaTheme="minorEastAsia"/>
                <w:b/>
                <w:szCs w:val="24"/>
              </w:rPr>
              <w:t>五、其他投标单位综合实力证明材料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48" w:hRule="atLeast"/>
          <w:jc w:val="center"/>
        </w:trPr>
        <w:tc>
          <w:tcPr>
            <w:tcW w:w="9356" w:type="dxa"/>
            <w:gridSpan w:val="9"/>
            <w:vAlign w:val="center"/>
          </w:tcPr>
          <w:p>
            <w:pPr>
              <w:pStyle w:val="22"/>
              <w:ind w:firstLine="0"/>
              <w:jc w:val="center"/>
              <w:rPr>
                <w:rFonts w:asciiTheme="minorEastAsia" w:hAnsiTheme="minorEastAsia" w:eastAsiaTheme="minorEastAsia"/>
                <w:szCs w:val="24"/>
              </w:rPr>
            </w:pPr>
          </w:p>
        </w:tc>
      </w:tr>
    </w:tbl>
    <w:p>
      <w:pPr>
        <w:jc w:val="center"/>
        <w:rPr>
          <w:rFonts w:asciiTheme="minorEastAsia" w:hAnsiTheme="minorEastAsia" w:eastAsiaTheme="minorEastAsia"/>
          <w:b/>
          <w:bCs/>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（二）项目负责人（项目总监）简历表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1727"/>
        <w:gridCol w:w="993"/>
        <w:gridCol w:w="1403"/>
        <w:gridCol w:w="1870"/>
        <w:gridCol w:w="15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727" w:type="dxa"/>
            <w:vAlign w:val="center"/>
          </w:tcPr>
          <w:p>
            <w:pPr>
              <w:adjustRightInd w:val="0"/>
              <w:snapToGrid w:val="0"/>
              <w:spacing w:line="360" w:lineRule="exact"/>
              <w:jc w:val="center"/>
              <w:rPr>
                <w:rFonts w:asciiTheme="minorEastAsia" w:hAnsiTheme="minorEastAsia" w:eastAsiaTheme="minorEastAsia"/>
                <w:sz w:val="24"/>
              </w:rPr>
            </w:pPr>
          </w:p>
        </w:tc>
        <w:tc>
          <w:tcPr>
            <w:tcW w:w="99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职 务</w:t>
            </w:r>
          </w:p>
        </w:tc>
        <w:tc>
          <w:tcPr>
            <w:tcW w:w="1727" w:type="dxa"/>
            <w:vAlign w:val="center"/>
          </w:tcPr>
          <w:p>
            <w:pPr>
              <w:adjustRightInd w:val="0"/>
              <w:snapToGrid w:val="0"/>
              <w:spacing w:line="360" w:lineRule="exact"/>
              <w:jc w:val="center"/>
              <w:rPr>
                <w:rFonts w:asciiTheme="minorEastAsia" w:hAnsiTheme="minorEastAsia" w:eastAsiaTheme="minorEastAsia"/>
                <w:sz w:val="24"/>
              </w:rPr>
            </w:pPr>
          </w:p>
        </w:tc>
        <w:tc>
          <w:tcPr>
            <w:tcW w:w="99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职 称</w:t>
            </w: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学位</w:t>
            </w: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56" w:type="dxa"/>
            <w:gridSpan w:val="6"/>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具备的资质证书情况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资质证书名称（需提供相关证明）</w:t>
            </w: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4123"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3469" w:type="dxa"/>
            <w:gridSpan w:val="2"/>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56" w:type="dxa"/>
            <w:gridSpan w:val="6"/>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经验、业绩情况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1403"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规模</w:t>
            </w:r>
          </w:p>
        </w:tc>
        <w:tc>
          <w:tcPr>
            <w:tcW w:w="1870"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实施时间</w:t>
            </w:r>
          </w:p>
        </w:tc>
        <w:tc>
          <w:tcPr>
            <w:tcW w:w="159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764" w:type="dxa"/>
            <w:vAlign w:val="center"/>
          </w:tcPr>
          <w:p>
            <w:pPr>
              <w:adjustRightInd w:val="0"/>
              <w:snapToGrid w:val="0"/>
              <w:spacing w:line="360" w:lineRule="exact"/>
              <w:jc w:val="center"/>
              <w:rPr>
                <w:rFonts w:asciiTheme="minorEastAsia" w:hAnsiTheme="minorEastAsia" w:eastAsiaTheme="minorEastAsia"/>
                <w:sz w:val="24"/>
              </w:rPr>
            </w:pPr>
          </w:p>
        </w:tc>
        <w:tc>
          <w:tcPr>
            <w:tcW w:w="2720" w:type="dxa"/>
            <w:gridSpan w:val="2"/>
            <w:vAlign w:val="center"/>
          </w:tcPr>
          <w:p>
            <w:pPr>
              <w:adjustRightInd w:val="0"/>
              <w:snapToGrid w:val="0"/>
              <w:spacing w:line="360" w:lineRule="exact"/>
              <w:jc w:val="center"/>
              <w:rPr>
                <w:rFonts w:asciiTheme="minorEastAsia" w:hAnsiTheme="minorEastAsia" w:eastAsiaTheme="minorEastAsia"/>
                <w:sz w:val="24"/>
              </w:rPr>
            </w:pPr>
          </w:p>
        </w:tc>
        <w:tc>
          <w:tcPr>
            <w:tcW w:w="1403" w:type="dxa"/>
            <w:vAlign w:val="center"/>
          </w:tcPr>
          <w:p>
            <w:pPr>
              <w:adjustRightInd w:val="0"/>
              <w:snapToGrid w:val="0"/>
              <w:spacing w:line="360" w:lineRule="exact"/>
              <w:jc w:val="center"/>
              <w:rPr>
                <w:rFonts w:asciiTheme="minorEastAsia" w:hAnsiTheme="minorEastAsia" w:eastAsiaTheme="minorEastAsia"/>
                <w:sz w:val="24"/>
              </w:rPr>
            </w:pPr>
          </w:p>
        </w:tc>
        <w:tc>
          <w:tcPr>
            <w:tcW w:w="1870" w:type="dxa"/>
            <w:vAlign w:val="center"/>
          </w:tcPr>
          <w:p>
            <w:pPr>
              <w:adjustRightInd w:val="0"/>
              <w:snapToGrid w:val="0"/>
              <w:spacing w:line="360" w:lineRule="exact"/>
              <w:jc w:val="center"/>
              <w:rPr>
                <w:rFonts w:asciiTheme="minorEastAsia" w:hAnsiTheme="minorEastAsia" w:eastAsiaTheme="minorEastAsia"/>
                <w:sz w:val="24"/>
              </w:rPr>
            </w:pPr>
          </w:p>
        </w:tc>
        <w:tc>
          <w:tcPr>
            <w:tcW w:w="1599" w:type="dxa"/>
            <w:vAlign w:val="center"/>
          </w:tcPr>
          <w:p>
            <w:pPr>
              <w:adjustRightInd w:val="0"/>
              <w:snapToGrid w:val="0"/>
              <w:spacing w:line="360" w:lineRule="exact"/>
              <w:jc w:val="center"/>
              <w:rPr>
                <w:rFonts w:asciiTheme="minorEastAsia" w:hAnsiTheme="minorEastAsia" w:eastAsiaTheme="minorEastAsia"/>
                <w:sz w:val="24"/>
              </w:rPr>
            </w:pPr>
          </w:p>
        </w:tc>
      </w:tr>
    </w:tbl>
    <w:p>
      <w:pPr>
        <w:jc w:val="center"/>
        <w:rPr>
          <w:rFonts w:asciiTheme="minorEastAsia" w:hAnsiTheme="minorEastAsia" w:eastAsiaTheme="minorEastAsia"/>
          <w:b/>
          <w:bCs/>
          <w:sz w:val="24"/>
        </w:rPr>
      </w:pPr>
      <w:r>
        <w:rPr>
          <w:rFonts w:hint="eastAsia" w:asciiTheme="minorEastAsia" w:hAnsiTheme="minorEastAsia" w:eastAsiaTheme="minorEastAsia"/>
          <w:b/>
          <w:bCs/>
          <w:sz w:val="24"/>
        </w:rPr>
        <w:t>（三）项目组成员一览表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916"/>
        <w:gridCol w:w="2242"/>
        <w:gridCol w:w="1378"/>
        <w:gridCol w:w="1377"/>
        <w:gridCol w:w="2065"/>
        <w:gridCol w:w="137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职称、资质</w:t>
            </w: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岗位</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16"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242"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7"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2065"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378"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r>
    </w:tbl>
    <w:p>
      <w:pPr>
        <w:spacing w:line="360" w:lineRule="exact"/>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注：需提供相关证明材料。</w:t>
      </w:r>
    </w:p>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（四）拟投入设备设施一览表</w:t>
      </w:r>
    </w:p>
    <w:tbl>
      <w:tblPr>
        <w:tblStyle w:val="88"/>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1862"/>
        <w:gridCol w:w="1031"/>
        <w:gridCol w:w="2337"/>
        <w:gridCol w:w="33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62"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设备设施名称</w:t>
            </w:r>
          </w:p>
        </w:tc>
        <w:tc>
          <w:tcPr>
            <w:tcW w:w="1031"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337"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品牌型号</w:t>
            </w:r>
          </w:p>
        </w:tc>
        <w:tc>
          <w:tcPr>
            <w:tcW w:w="3347"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设备功能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tabs>
                <w:tab w:val="left" w:pos="540"/>
              </w:tabs>
              <w:snapToGrid w:val="0"/>
              <w:spacing w:line="360" w:lineRule="exact"/>
              <w:ind w:left="-132" w:leftChars="-64" w:right="-105" w:rightChars="-50" w:hanging="2"/>
              <w:jc w:val="center"/>
              <w:textAlignment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79" w:type="dxa"/>
            <w:vAlign w:val="center"/>
          </w:tcPr>
          <w:p>
            <w:pPr>
              <w:spacing w:line="360" w:lineRule="exact"/>
              <w:jc w:val="center"/>
              <w:rPr>
                <w:rFonts w:asciiTheme="minorEastAsia" w:hAnsiTheme="minorEastAsia" w:eastAsiaTheme="minorEastAsia"/>
                <w:sz w:val="24"/>
              </w:rPr>
            </w:pPr>
          </w:p>
        </w:tc>
        <w:tc>
          <w:tcPr>
            <w:tcW w:w="1862" w:type="dxa"/>
            <w:vAlign w:val="center"/>
          </w:tcPr>
          <w:p>
            <w:pPr>
              <w:widowControl/>
              <w:spacing w:line="360" w:lineRule="exact"/>
              <w:jc w:val="center"/>
              <w:rPr>
                <w:rFonts w:cs="宋体" w:asciiTheme="minorEastAsia" w:hAnsiTheme="minorEastAsia" w:eastAsiaTheme="minorEastAsia"/>
                <w:kern w:val="0"/>
                <w:sz w:val="24"/>
              </w:rPr>
            </w:pPr>
          </w:p>
        </w:tc>
        <w:tc>
          <w:tcPr>
            <w:tcW w:w="1031" w:type="dxa"/>
            <w:vAlign w:val="center"/>
          </w:tcPr>
          <w:p>
            <w:pPr>
              <w:widowControl/>
              <w:spacing w:line="360" w:lineRule="exact"/>
              <w:jc w:val="center"/>
              <w:rPr>
                <w:rFonts w:cs="宋体" w:asciiTheme="minorEastAsia" w:hAnsiTheme="minorEastAsia" w:eastAsiaTheme="minorEastAsia"/>
                <w:kern w:val="0"/>
                <w:sz w:val="24"/>
              </w:rPr>
            </w:pPr>
          </w:p>
        </w:tc>
        <w:tc>
          <w:tcPr>
            <w:tcW w:w="2337" w:type="dxa"/>
            <w:vAlign w:val="center"/>
          </w:tcPr>
          <w:p>
            <w:pPr>
              <w:spacing w:line="360" w:lineRule="exact"/>
              <w:jc w:val="center"/>
              <w:rPr>
                <w:rFonts w:asciiTheme="minorEastAsia" w:hAnsiTheme="minorEastAsia" w:eastAsiaTheme="minorEastAsia"/>
                <w:sz w:val="24"/>
              </w:rPr>
            </w:pPr>
          </w:p>
        </w:tc>
        <w:tc>
          <w:tcPr>
            <w:tcW w:w="3347" w:type="dxa"/>
            <w:vAlign w:val="center"/>
          </w:tcPr>
          <w:p>
            <w:pPr>
              <w:widowControl/>
              <w:spacing w:line="360" w:lineRule="exact"/>
              <w:jc w:val="center"/>
              <w:rPr>
                <w:rFonts w:cs="宋体" w:asciiTheme="minorEastAsia" w:hAnsiTheme="minorEastAsia" w:eastAsiaTheme="minorEastAsia"/>
                <w:kern w:val="0"/>
                <w:sz w:val="24"/>
              </w:rPr>
            </w:pPr>
          </w:p>
        </w:tc>
      </w:tr>
    </w:tbl>
    <w:p>
      <w:pPr>
        <w:spacing w:line="400" w:lineRule="exact"/>
        <w:outlineLvl w:val="1"/>
        <w:rPr>
          <w:rFonts w:asciiTheme="minorEastAsia" w:hAnsiTheme="minorEastAsia" w:eastAsiaTheme="minorEastAsia"/>
          <w:bCs/>
          <w:sz w:val="24"/>
        </w:rPr>
      </w:pPr>
      <w:r>
        <w:rPr>
          <w:rFonts w:hint="eastAsia" w:cs="宋体" w:asciiTheme="minorEastAsia" w:hAnsiTheme="minorEastAsia" w:eastAsiaTheme="minorEastAsia"/>
          <w:b/>
          <w:kern w:val="0"/>
          <w:sz w:val="24"/>
        </w:rPr>
        <w:t>注：需提供相关证明材料。</w:t>
      </w:r>
    </w:p>
    <w:p>
      <w:pPr>
        <w:spacing w:line="400" w:lineRule="exact"/>
        <w:jc w:val="center"/>
        <w:outlineLvl w:val="1"/>
        <w:rPr>
          <w:rFonts w:ascii="黑体" w:eastAsia="黑体"/>
          <w:sz w:val="28"/>
          <w:szCs w:val="28"/>
        </w:rPr>
      </w:pPr>
    </w:p>
    <w:bookmarkEnd w:id="35"/>
    <w:bookmarkEnd w:id="36"/>
    <w:p>
      <w:pPr>
        <w:pStyle w:val="5"/>
        <w:spacing w:before="0" w:after="0" w:line="400" w:lineRule="exact"/>
        <w:jc w:val="center"/>
        <w:rPr>
          <w:rFonts w:ascii="黑体"/>
          <w:b w:val="0"/>
          <w:sz w:val="24"/>
        </w:rPr>
      </w:pPr>
      <w:r>
        <w:rPr>
          <w:rFonts w:hint="eastAsia" w:ascii="黑体"/>
          <w:b w:val="0"/>
          <w:sz w:val="28"/>
          <w:szCs w:val="28"/>
        </w:rPr>
        <w:t>七、</w:t>
      </w:r>
      <w:r>
        <w:rPr>
          <w:rFonts w:hint="eastAsia" w:ascii="黑体" w:hAnsi="宋体"/>
          <w:b w:val="0"/>
          <w:bCs w:val="0"/>
          <w:sz w:val="28"/>
          <w:szCs w:val="28"/>
        </w:rPr>
        <w:t>法定代表人授权委托书</w:t>
      </w:r>
    </w:p>
    <w:p>
      <w:pPr>
        <w:spacing w:line="400" w:lineRule="exact"/>
        <w:ind w:firstLine="480" w:firstLineChars="200"/>
        <w:rPr>
          <w:rFonts w:ascii="仿宋_GB2312" w:eastAsia="仿宋_GB2312"/>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系中华人民共和国合法企业。法定地址：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特授权</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代表我公司（单位）全权办理针对上述项目的投标、参与评标、签约等具体工作，并签署全部有关的文件、协议及合同。</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我公司（单位）对授权委托人的签名负全部责任。</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在撤销授权的书面通知送达你处以前，本授权书一直有效，授权委托人签署的所有文件（在授权书有效期内签署的）不因授权的撤销而失效。授权委托人无转委托权。</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授权委托人情况：</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姓名：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性别：</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年龄：</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职务：</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身份证号码：</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电话：</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通讯地址：</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授权委托人签名：</w:t>
      </w:r>
      <w:r>
        <w:rPr>
          <w:rFonts w:hint="eastAsia" w:asciiTheme="minorEastAsia" w:hAnsiTheme="minorEastAsia" w:eastAsiaTheme="minorEastAsia"/>
          <w:bCs/>
          <w:sz w:val="24"/>
          <w:u w:val="single"/>
        </w:rPr>
        <w:t>　　　　　　　　　</w:t>
      </w:r>
      <w:r>
        <w:rPr>
          <w:rFonts w:hint="eastAsia" w:asciiTheme="minorEastAsia" w:hAnsiTheme="minorEastAsia" w:eastAsiaTheme="minorEastAsia"/>
          <w:bCs/>
          <w:sz w:val="24"/>
        </w:rPr>
        <w:t>单位名称（公章）：</w:t>
      </w:r>
      <w:r>
        <w:rPr>
          <w:rFonts w:hint="eastAsia" w:asciiTheme="minorEastAsia" w:hAnsiTheme="minorEastAsia" w:eastAsiaTheme="minorEastAsia"/>
          <w:bCs/>
          <w:sz w:val="24"/>
          <w:u w:val="single"/>
        </w:rPr>
        <w:t>　　　　　　　</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                     　　 法定代表人（签名或盖章）：</w:t>
      </w:r>
      <w:r>
        <w:rPr>
          <w:rFonts w:hint="eastAsia" w:asciiTheme="minorEastAsia" w:hAnsiTheme="minorEastAsia" w:eastAsiaTheme="minorEastAsia"/>
          <w:bCs/>
          <w:sz w:val="24"/>
          <w:u w:val="single"/>
        </w:rPr>
        <w:t>　　　　　　　</w:t>
      </w:r>
    </w:p>
    <w:p>
      <w:pPr>
        <w:spacing w:line="400" w:lineRule="exact"/>
        <w:jc w:val="center"/>
        <w:rPr>
          <w:rFonts w:asciiTheme="minorEastAsia" w:hAnsiTheme="minorEastAsia" w:eastAsiaTheme="minorEastAsia"/>
          <w:b/>
          <w:bCs/>
          <w:sz w:val="24"/>
        </w:rPr>
      </w:pPr>
    </w:p>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【授权委托人必须提供本单位连续6个月（且至少包含近3个月中任意1个月份&lt;不含投标当月&gt;）为其缴纳社保的证明复印件】</w:t>
      </w:r>
    </w:p>
    <w:p>
      <w:pPr>
        <w:spacing w:line="400" w:lineRule="exact"/>
        <w:jc w:val="center"/>
        <w:rPr>
          <w:rFonts w:asciiTheme="minorEastAsia" w:hAnsiTheme="minorEastAsia" w:eastAsiaTheme="minorEastAsia"/>
          <w:bCs/>
          <w:sz w:val="24"/>
        </w:rPr>
      </w:pPr>
    </w:p>
    <w:tbl>
      <w:tblPr>
        <w:tblStyle w:val="88"/>
        <w:tblpPr w:leftFromText="180" w:rightFromText="180" w:vertAnchor="text" w:horzAnchor="page" w:tblpXSpec="center" w:tblpY="4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842"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法定代表人身份证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c>
          <w:tcPr>
            <w:tcW w:w="2843" w:type="dxa"/>
            <w:tcBorders>
              <w:top w:val="nil"/>
              <w:bottom w:val="nil"/>
            </w:tcBorders>
          </w:tcPr>
          <w:p>
            <w:pPr>
              <w:spacing w:line="400" w:lineRule="exact"/>
              <w:rPr>
                <w:rFonts w:asciiTheme="minorEastAsia" w:hAnsiTheme="minorEastAsia" w:eastAsiaTheme="minorEastAsia"/>
                <w:bCs/>
                <w:sz w:val="24"/>
              </w:rPr>
            </w:pPr>
          </w:p>
        </w:tc>
        <w:tc>
          <w:tcPr>
            <w:tcW w:w="2843" w:type="dxa"/>
            <w:vAlign w:val="center"/>
          </w:tcPr>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授权委托人身份证</w:t>
            </w:r>
          </w:p>
          <w:p>
            <w:pPr>
              <w:spacing w:line="40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复印件</w:t>
            </w:r>
          </w:p>
        </w:tc>
      </w:tr>
    </w:tbl>
    <w:p>
      <w:pPr>
        <w:spacing w:line="400" w:lineRule="exact"/>
        <w:rPr>
          <w:rFonts w:asciiTheme="minorEastAsia" w:hAnsiTheme="minorEastAsia" w:eastAsiaTheme="minorEastAsia"/>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ind w:firstLine="562" w:firstLineChars="200"/>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rPr>
          <w:rFonts w:ascii="黑体" w:hAnsi="宋体" w:eastAsia="楷体_GB2312"/>
          <w:b/>
          <w:bCs/>
          <w:sz w:val="28"/>
          <w:szCs w:val="28"/>
        </w:rPr>
      </w:pPr>
    </w:p>
    <w:p>
      <w:pPr>
        <w:spacing w:line="400" w:lineRule="exact"/>
        <w:jc w:val="center"/>
        <w:outlineLvl w:val="1"/>
        <w:rPr>
          <w:rFonts w:ascii="黑体" w:eastAsia="黑体"/>
          <w:bCs/>
          <w:sz w:val="28"/>
          <w:szCs w:val="28"/>
        </w:rPr>
      </w:pPr>
      <w:r>
        <w:rPr>
          <w:rFonts w:hint="eastAsia" w:ascii="黑体" w:hAnsi="宋体" w:eastAsia="黑体"/>
          <w:bCs/>
          <w:sz w:val="28"/>
          <w:szCs w:val="28"/>
        </w:rPr>
        <w:t>八、关于资格的声明函</w:t>
      </w:r>
    </w:p>
    <w:p>
      <w:pPr>
        <w:spacing w:line="400" w:lineRule="exact"/>
        <w:ind w:firstLine="420" w:firstLineChars="200"/>
        <w:rPr>
          <w:rFonts w:ascii="仿宋_GB2312" w:eastAsia="仿宋_GB2312"/>
          <w:bCs/>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国企采购编号：</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日　　　　期：</w:t>
      </w:r>
    </w:p>
    <w:p>
      <w:pPr>
        <w:spacing w:line="400" w:lineRule="exact"/>
        <w:ind w:firstLine="480" w:firstLineChars="200"/>
        <w:rPr>
          <w:rFonts w:asciiTheme="minorEastAsia" w:hAnsiTheme="minorEastAsia" w:eastAsiaTheme="minorEastAsia"/>
          <w:bCs/>
          <w:sz w:val="24"/>
        </w:rPr>
      </w:pPr>
    </w:p>
    <w:p>
      <w:pPr>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江阴市公共资源交易中心：</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我公司（单位）参加本次</w:t>
      </w:r>
      <w:r>
        <w:rPr>
          <w:rFonts w:hint="eastAsia" w:asciiTheme="minorEastAsia" w:hAnsiTheme="minorEastAsia" w:eastAsiaTheme="minorEastAsia"/>
          <w:bCs/>
          <w:sz w:val="24"/>
          <w:u w:val="single"/>
          <w:lang w:eastAsia="zh-CN"/>
        </w:rPr>
        <w:t>江阴市2022-2024年度路灯箱式变电站维护项目</w:t>
      </w:r>
      <w:r>
        <w:rPr>
          <w:rFonts w:hint="eastAsia" w:asciiTheme="minorEastAsia" w:hAnsiTheme="minorEastAsia" w:eastAsiaTheme="minorEastAsia"/>
          <w:bCs/>
          <w:sz w:val="24"/>
        </w:rPr>
        <w:t>的投标，作如下承诺：</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1、我公司（单位）投标文件中所有关于投标资格的文件、证明、陈述均是真实的、准确的。</w:t>
      </w:r>
    </w:p>
    <w:p>
      <w:pPr>
        <w:spacing w:line="40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2、我公司（单位）未被列入“信用中国”网站、“中国政府采购网”列入失信被执行人、重大税收违法案件当事人名单、政府采购严重违法失信行为信息记录名单。</w:t>
      </w:r>
    </w:p>
    <w:p>
      <w:pPr>
        <w:spacing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3、我公司（单位）不具有违反政府采购法第二十二条的情形。</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bCs/>
          <w:sz w:val="24"/>
        </w:rPr>
        <w:t>若有违背，我公司（单位）愿意承担因“提供虚假材料谋取中标的”的一切法律后果。</w:t>
      </w:r>
    </w:p>
    <w:p>
      <w:pPr>
        <w:spacing w:line="400" w:lineRule="exact"/>
        <w:ind w:firstLine="480" w:firstLineChars="200"/>
        <w:rPr>
          <w:rFonts w:asciiTheme="minorEastAsia" w:hAnsiTheme="minorEastAsia" w:eastAsiaTheme="minorEastAsia"/>
          <w:bCs/>
          <w:sz w:val="24"/>
        </w:rPr>
      </w:pPr>
    </w:p>
    <w:p>
      <w:pPr>
        <w:spacing w:line="400" w:lineRule="exact"/>
        <w:ind w:firstLine="480" w:firstLineChars="200"/>
        <w:rPr>
          <w:rFonts w:asciiTheme="minorEastAsia" w:hAnsiTheme="minorEastAsia" w:eastAsiaTheme="minorEastAsia"/>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spacing w:line="400" w:lineRule="exact"/>
        <w:rPr>
          <w:rFonts w:ascii="宋体" w:hAnsi="宋体" w:eastAsia="楷体_GB2312"/>
          <w:bCs/>
          <w:sz w:val="24"/>
        </w:rPr>
      </w:pPr>
    </w:p>
    <w:p>
      <w:pPr>
        <w:spacing w:line="400" w:lineRule="exact"/>
        <w:jc w:val="center"/>
        <w:outlineLvl w:val="1"/>
        <w:rPr>
          <w:rFonts w:ascii="黑体" w:hAnsi="黑体" w:eastAsia="黑体"/>
          <w:bCs/>
          <w:sz w:val="32"/>
          <w:szCs w:val="32"/>
        </w:rPr>
      </w:pPr>
      <w:r>
        <w:rPr>
          <w:rFonts w:ascii="楷体_GB2312" w:hAnsi="宋体" w:eastAsia="楷体_GB2312"/>
          <w:b/>
          <w:bCs/>
          <w:sz w:val="28"/>
          <w:szCs w:val="28"/>
        </w:rPr>
        <w:br w:type="page"/>
      </w:r>
    </w:p>
    <w:p>
      <w:pPr>
        <w:spacing w:line="400" w:lineRule="exact"/>
        <w:outlineLvl w:val="1"/>
        <w:rPr>
          <w:rFonts w:ascii="黑体" w:hAnsi="黑体" w:eastAsia="黑体"/>
          <w:bCs/>
          <w:sz w:val="32"/>
          <w:szCs w:val="32"/>
        </w:rPr>
      </w:pPr>
      <w:r>
        <w:rPr>
          <w:rFonts w:hint="eastAsia" w:ascii="黑体" w:hAnsi="黑体" w:eastAsia="黑体"/>
          <w:bCs/>
          <w:sz w:val="32"/>
          <w:szCs w:val="32"/>
        </w:rPr>
        <w:t>附件：</w:t>
      </w:r>
    </w:p>
    <w:p>
      <w:pPr>
        <w:spacing w:line="500" w:lineRule="exact"/>
        <w:jc w:val="center"/>
        <w:rPr>
          <w:rFonts w:ascii="黑体" w:hAnsi="宋体" w:eastAsia="黑体"/>
          <w:bCs/>
          <w:sz w:val="28"/>
          <w:szCs w:val="28"/>
        </w:rPr>
      </w:pPr>
    </w:p>
    <w:p>
      <w:pPr>
        <w:spacing w:line="500" w:lineRule="exact"/>
        <w:jc w:val="center"/>
        <w:rPr>
          <w:rFonts w:ascii="楷体_GB2312" w:eastAsia="楷体_GB2312"/>
          <w:spacing w:val="6"/>
          <w:sz w:val="24"/>
        </w:rPr>
      </w:pPr>
      <w:r>
        <w:rPr>
          <w:rFonts w:hint="eastAsia" w:ascii="黑体" w:hAnsi="宋体" w:eastAsia="黑体"/>
          <w:sz w:val="28"/>
          <w:szCs w:val="28"/>
        </w:rPr>
        <w:t>一、具备履行合同所必需的设备和专业技术能力的书面声明</w:t>
      </w:r>
    </w:p>
    <w:p>
      <w:pPr>
        <w:spacing w:line="500" w:lineRule="exact"/>
        <w:ind w:firstLine="492"/>
        <w:jc w:val="center"/>
        <w:rPr>
          <w:rFonts w:ascii="宋体" w:hAnsi="宋体"/>
          <w:bCs/>
          <w:sz w:val="24"/>
        </w:rPr>
      </w:pP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我单位郑重声明：我单位具备履行本项采购合同所必需的设备和专业技术能力，为履行本项采购合同我公司具备如下主要设备和主要专业技术能力：</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主要设备有：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ind w:firstLine="492"/>
        <w:rPr>
          <w:rFonts w:asciiTheme="minorEastAsia" w:hAnsiTheme="minorEastAsia" w:eastAsiaTheme="minorEastAsia"/>
          <w:bCs/>
          <w:sz w:val="24"/>
        </w:rPr>
      </w:pPr>
      <w:r>
        <w:rPr>
          <w:rFonts w:hint="eastAsia" w:asciiTheme="minorEastAsia" w:hAnsiTheme="minorEastAsia" w:eastAsiaTheme="minorEastAsia"/>
          <w:bCs/>
          <w:sz w:val="24"/>
        </w:rPr>
        <w:t>主要专业技术能力有：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500" w:lineRule="exact"/>
        <w:rPr>
          <w:rFonts w:asciiTheme="minorEastAsia" w:hAnsiTheme="minorEastAsia" w:eastAsiaTheme="minorEastAsia"/>
          <w:bCs/>
          <w:spacing w:val="20"/>
          <w:sz w:val="72"/>
        </w:rPr>
      </w:pPr>
    </w:p>
    <w:p>
      <w:pPr>
        <w:spacing w:line="500" w:lineRule="exact"/>
        <w:rPr>
          <w:rFonts w:asciiTheme="minorEastAsia" w:hAnsiTheme="minorEastAsia" w:eastAsiaTheme="minorEastAsia"/>
          <w:bCs/>
          <w:spacing w:val="20"/>
          <w:sz w:val="72"/>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rPr>
          <w:rFonts w:ascii="楷体_GB2312" w:hAnsi="华文中宋" w:eastAsia="楷体_GB2312"/>
          <w:bCs/>
          <w:spacing w:val="20"/>
          <w:sz w:val="72"/>
        </w:rPr>
      </w:pPr>
    </w:p>
    <w:p>
      <w:pPr>
        <w:pStyle w:val="6"/>
        <w:spacing w:before="0" w:after="0" w:line="500" w:lineRule="exact"/>
        <w:jc w:val="center"/>
        <w:rPr>
          <w:rFonts w:ascii="黑体" w:hAnsi="宋体" w:eastAsia="黑体"/>
          <w:b w:val="0"/>
          <w:sz w:val="28"/>
          <w:szCs w:val="28"/>
        </w:rPr>
      </w:pPr>
    </w:p>
    <w:p>
      <w:pPr>
        <w:pStyle w:val="6"/>
        <w:spacing w:before="0" w:after="0" w:line="500" w:lineRule="exact"/>
        <w:jc w:val="center"/>
        <w:rPr>
          <w:rFonts w:ascii="黑体" w:hAnsi="宋体" w:eastAsia="黑体"/>
          <w:b w:val="0"/>
          <w:sz w:val="28"/>
          <w:szCs w:val="28"/>
        </w:rPr>
      </w:pPr>
      <w:r>
        <w:rPr>
          <w:rFonts w:hint="eastAsia" w:ascii="黑体" w:hAnsi="宋体" w:eastAsia="黑体"/>
          <w:b w:val="0"/>
          <w:sz w:val="28"/>
          <w:szCs w:val="28"/>
        </w:rPr>
        <w:t>二、参加国企采购活动前3年内在经营活动中没有重大违法记</w:t>
      </w:r>
      <w:r>
        <w:rPr>
          <w:rFonts w:hint="eastAsia" w:ascii="黑体" w:hAnsi="宋体" w:eastAsia="黑体"/>
          <w:b w:val="0"/>
          <w:bCs w:val="0"/>
          <w:sz w:val="28"/>
          <w:szCs w:val="28"/>
        </w:rPr>
        <w:t>录的书面声明</w:t>
      </w:r>
    </w:p>
    <w:p>
      <w:pPr>
        <w:spacing w:line="500" w:lineRule="exact"/>
        <w:rPr>
          <w:rFonts w:ascii="宋体" w:hAnsi="宋体"/>
          <w:b/>
          <w:bCs/>
          <w:sz w:val="44"/>
          <w:szCs w:val="44"/>
        </w:rPr>
      </w:pPr>
    </w:p>
    <w:p>
      <w:pPr>
        <w:spacing w:line="500" w:lineRule="exact"/>
        <w:jc w:val="center"/>
        <w:rPr>
          <w:rFonts w:ascii="宋体" w:hAnsi="宋体"/>
          <w:b/>
          <w:bCs/>
          <w:sz w:val="44"/>
          <w:szCs w:val="44"/>
        </w:rPr>
      </w:pPr>
    </w:p>
    <w:p>
      <w:pPr>
        <w:spacing w:line="5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声  明</w:t>
      </w:r>
    </w:p>
    <w:p>
      <w:pPr>
        <w:spacing w:line="500" w:lineRule="exact"/>
        <w:rPr>
          <w:rFonts w:ascii="楷体_GB2312" w:hAnsi="宋体" w:eastAsia="楷体_GB2312"/>
          <w:b/>
          <w:bCs/>
          <w:sz w:val="24"/>
        </w:rPr>
      </w:pPr>
    </w:p>
    <w:p>
      <w:pPr>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我单位郑重声明：参加本次国企采购活动前 3 年内，我单位在经营活动中没有因违法经营受到刑事处罚或者责令停产停业、吊销许可证或者执照、较大数额罚款等行政处罚。</w:t>
      </w:r>
    </w:p>
    <w:p>
      <w:pPr>
        <w:spacing w:line="500" w:lineRule="exact"/>
        <w:ind w:firstLine="3840" w:firstLineChars="1600"/>
        <w:rPr>
          <w:rFonts w:ascii="宋体" w:hAnsi="宋体" w:eastAsia="楷体_GB2312"/>
          <w:bCs/>
          <w:sz w:val="24"/>
        </w:rPr>
      </w:pPr>
    </w:p>
    <w:p>
      <w:pPr>
        <w:spacing w:line="500" w:lineRule="exact"/>
        <w:ind w:firstLine="3840" w:firstLineChars="1600"/>
        <w:rPr>
          <w:rFonts w:ascii="宋体" w:hAnsi="宋体" w:eastAsia="楷体_GB2312"/>
          <w:bCs/>
          <w:sz w:val="24"/>
        </w:rPr>
      </w:pP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投标单位（公章）：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bCs/>
          <w:sz w:val="24"/>
        </w:rPr>
        <w:t>法定代表人或授权委托人（签名或盖章）：</w:t>
      </w:r>
    </w:p>
    <w:p>
      <w:pPr>
        <w:spacing w:line="480" w:lineRule="auto"/>
        <w:ind w:firstLine="1200" w:firstLineChars="500"/>
        <w:rPr>
          <w:rFonts w:asciiTheme="minorEastAsia" w:hAnsiTheme="minorEastAsia" w:eastAsiaTheme="minorEastAsia"/>
          <w:bCs/>
          <w:sz w:val="24"/>
        </w:rPr>
      </w:pPr>
      <w:r>
        <w:rPr>
          <w:rFonts w:hint="eastAsia" w:asciiTheme="minorEastAsia" w:hAnsiTheme="minorEastAsia" w:eastAsiaTheme="minorEastAsia"/>
          <w:sz w:val="24"/>
        </w:rPr>
        <w:t>日期：     年    月    日</w:t>
      </w:r>
    </w:p>
    <w:p>
      <w:pPr>
        <w:rPr>
          <w:rFonts w:ascii="楷体_GB2312" w:hAnsi="华文中宋" w:eastAsia="楷体_GB2312"/>
          <w:bCs/>
          <w:spacing w:val="20"/>
          <w:sz w:val="72"/>
        </w:rPr>
      </w:pPr>
    </w:p>
    <w:p>
      <w:pPr>
        <w:jc w:val="center"/>
        <w:rPr>
          <w:rFonts w:ascii="黑体" w:hAnsi="宋体" w:eastAsia="黑体"/>
          <w:bCs/>
          <w:sz w:val="28"/>
          <w:szCs w:val="28"/>
        </w:rPr>
      </w:pPr>
    </w:p>
    <w:p>
      <w:pPr>
        <w:rPr>
          <w:rFonts w:ascii="楷体_GB2312" w:hAnsi="华文中宋" w:eastAsia="楷体_GB2312"/>
          <w:bCs/>
          <w:spacing w:val="20"/>
          <w:sz w:val="72"/>
        </w:rPr>
      </w:pPr>
    </w:p>
    <w:sectPr>
      <w:headerReference r:id="rId6" w:type="default"/>
      <w:footerReference r:id="rId7"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楷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金梅簡體中黑字形">
    <w:altName w:val="黑体"/>
    <w:panose1 w:val="00000000000000000000"/>
    <w:charset w:val="88"/>
    <w:family w:val="modern"/>
    <w:pitch w:val="default"/>
    <w:sig w:usb0="00000000" w:usb1="00000000" w:usb2="00000010" w:usb3="00000000" w:csb0="00100000" w:csb1="00000000"/>
  </w:font>
  <w:font w:name="DFKai-SB">
    <w:panose1 w:val="03000509000000000000"/>
    <w:charset w:val="88"/>
    <w:family w:val="script"/>
    <w:pitch w:val="default"/>
    <w:sig w:usb0="00000003" w:usb1="082E0000" w:usb2="00000016" w:usb3="00000000" w:csb0="00100001" w:csb1="00000000"/>
  </w:font>
  <w:font w:name="Batang">
    <w:panose1 w:val="02030600000101010101"/>
    <w:charset w:val="81"/>
    <w:family w:val="roman"/>
    <w:pitch w:val="default"/>
    <w:sig w:usb0="B00002AF" w:usb1="69D77CFB" w:usb2="00000030" w:usb3="00000000" w:csb0="4008009F" w:csb1="DFD7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FZKai-Z03S">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NeueLT Std Cn">
    <w:altName w:val="新宋体"/>
    <w:panose1 w:val="00000000000000000000"/>
    <w:charset w:val="86"/>
    <w:family w:val="swiss"/>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EU-F1">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MingLiU">
    <w:panose1 w:val="02020509000000000000"/>
    <w:charset w:val="88"/>
    <w:family w:val="modern"/>
    <w:pitch w:val="default"/>
    <w:sig w:usb0="A00002FF" w:usb1="2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新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FrutigerNext LT Regular">
    <w:altName w:val="Corbel"/>
    <w:panose1 w:val="00000000000000000000"/>
    <w:charset w:val="00"/>
    <w:family w:val="swiss"/>
    <w:pitch w:val="default"/>
    <w:sig w:usb0="00000000" w:usb1="00000000" w:usb2="00000000" w:usb3="00000000" w:csb0="00000111" w:csb1="00000000"/>
  </w:font>
  <w:font w:name="Corbel">
    <w:panose1 w:val="020B0503020204020204"/>
    <w:charset w:val="00"/>
    <w:family w:val="auto"/>
    <w:pitch w:val="default"/>
    <w:sig w:usb0="A00002EF" w:usb1="4000A44B" w:usb2="00000000" w:usb3="00000000" w:csb0="2000019F"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体">
    <w:altName w:val="宋体"/>
    <w:panose1 w:val="00000000000000000000"/>
    <w:charset w:val="86"/>
    <w:family w:val="auto"/>
    <w:pitch w:val="default"/>
    <w:sig w:usb0="00000000" w:usb1="00000000" w:usb2="00000010" w:usb3="00000000" w:csb0="00040000" w:csb1="00000000"/>
  </w:font>
  <w:font w:name="E-F1">
    <w:altName w:val="Gulim"/>
    <w:panose1 w:val="00000000000000000000"/>
    <w:charset w:val="81"/>
    <w:family w:val="roman"/>
    <w:pitch w:val="default"/>
    <w:sig w:usb0="00000000" w:usb1="00000000" w:usb2="00000033" w:usb3="00000000" w:csb0="00080000" w:csb1="00000000"/>
  </w:font>
  <w:font w:name="Gulim">
    <w:panose1 w:val="020B0600000101010101"/>
    <w:charset w:val="81"/>
    <w:family w:val="auto"/>
    <w:pitch w:val="default"/>
    <w:sig w:usb0="B00002AF" w:usb1="69D77CFB" w:usb2="00000030" w:usb3="00000000" w:csb0="4008009F" w:csb1="DFD70000"/>
  </w:font>
  <w:font w:name="Book Antiqua">
    <w:panose1 w:val="02040602050305030304"/>
    <w:charset w:val="00"/>
    <w:family w:val="roman"/>
    <w:pitch w:val="default"/>
    <w:sig w:usb0="00000287" w:usb1="00000000" w:usb2="00000000" w:usb3="00000000" w:csb0="2000009F" w:csb1="DFD7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Franklin Gothic Demi Cond">
    <w:altName w:val="Segoe Print"/>
    <w:panose1 w:val="020B0706030402020204"/>
    <w:charset w:val="00"/>
    <w:family w:val="swiss"/>
    <w:pitch w:val="default"/>
    <w:sig w:usb0="00000000" w:usb1="00000000" w:usb2="00000000" w:usb3="00000000" w:csb0="2000009F" w:csb1="DFD7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DFPHei Std W7">
    <w:altName w:val="新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创艺简楷体">
    <w:altName w:val="黑体"/>
    <w:panose1 w:val="00000000000000000000"/>
    <w:charset w:val="86"/>
    <w:family w:val="auto"/>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幼圆">
    <w:panose1 w:val="02010509060101010101"/>
    <w:charset w:val="86"/>
    <w:family w:val="modern"/>
    <w:pitch w:val="default"/>
    <w:sig w:usb0="00000001" w:usb1="080E0000" w:usb2="00000000" w:usb3="00000000" w:csb0="00040000" w:csb1="00000000"/>
  </w:font>
  <w:font w:name="文新字海-粗楷">
    <w:altName w:val="PMingLiU"/>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FZFangSong-Z02S">
    <w:altName w:val="黑体"/>
    <w:panose1 w:val="00000000000000000000"/>
    <w:charset w:val="86"/>
    <w:family w:val="script"/>
    <w:pitch w:val="default"/>
    <w:sig w:usb0="00000000" w:usb1="00000000" w:usb2="00000010" w:usb3="00000000" w:csb0="00040000"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Arial"/>
    <w:panose1 w:val="00000000000000000000"/>
    <w:charset w:val="00"/>
    <w:family w:val="swiss"/>
    <w:pitch w:val="default"/>
    <w:sig w:usb0="00000000" w:usb1="00000000" w:usb2="00000000" w:usb3="00000000" w:csb0="00000001" w:csb1="00000000"/>
  </w:font>
  <w:font w:name="Britannic Bold">
    <w:panose1 w:val="020B0903060703020204"/>
    <w:charset w:val="00"/>
    <w:family w:val="swiss"/>
    <w:pitch w:val="default"/>
    <w:sig w:usb0="00000003" w:usb1="00000000" w:usb2="00000000" w:usb3="00000000" w:csb0="20000001" w:csb1="00000000"/>
  </w:font>
  <w:font w:name="DFLiHeiBold(P)">
    <w:altName w:val="MingLiU"/>
    <w:panose1 w:val="00000000000000000000"/>
    <w:charset w:val="88"/>
    <w:family w:val="swiss"/>
    <w:pitch w:val="default"/>
    <w:sig w:usb0="00000000" w:usb1="00000000" w:usb2="00000016" w:usb3="00000000" w:csb0="00100000"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H Yb 1gj">
    <w:altName w:val="hakuyoxingshu7000"/>
    <w:panose1 w:val="00000000000000000000"/>
    <w:charset w:val="88"/>
    <w:family w:val="swiss"/>
    <w:pitch w:val="default"/>
    <w:sig w:usb0="00000000" w:usb1="00000000" w:usb2="00000010" w:usb3="00000000" w:csb0="00140000" w:csb1="00000000"/>
  </w:font>
  <w:font w:name="hakuyoxingshu7000">
    <w:panose1 w:val="02000600000000000000"/>
    <w:charset w:val="86"/>
    <w:family w:val="auto"/>
    <w:pitch w:val="default"/>
    <w:sig w:usb0="FFFFFFFF" w:usb1="E9FFFFFF" w:usb2="0000003F" w:usb3="00000000" w:csb0="603F00FF" w:csb1="FFFF0000"/>
  </w:font>
  <w:font w:name="Sim Sun">
    <w:altName w:val="黑体"/>
    <w:panose1 w:val="00000000000000000000"/>
    <w:charset w:val="86"/>
    <w:family w:val="auto"/>
    <w:pitch w:val="default"/>
    <w:sig w:usb0="00000000" w:usb1="00000000" w:usb2="00000010" w:usb3="00000000" w:csb0="00040000" w:csb1="00000000"/>
  </w:font>
  <w:font w:name="華康粗黑體">
    <w:altName w:val="PMingLiU"/>
    <w:panose1 w:val="00000000000000000000"/>
    <w:charset w:val="88"/>
    <w:family w:val="modern"/>
    <w:pitch w:val="default"/>
    <w:sig w:usb0="00000000" w:usb1="00000000" w:usb2="00000010" w:usb3="00000000" w:csb0="00100000" w:csb1="00000000"/>
  </w:font>
  <w:font w:name="全真簡粗明">
    <w:altName w:val="MingLiU"/>
    <w:panose1 w:val="00000000000000000000"/>
    <w:charset w:val="88"/>
    <w:family w:val="modern"/>
    <w:pitch w:val="default"/>
    <w:sig w:usb0="00000000" w:usb1="00000000" w:usb2="00000010" w:usb3="00000000" w:csb0="00100000" w:csb1="00000000"/>
  </w:font>
  <w:font w:name="2OcuAe">
    <w:altName w:val="MingLiU"/>
    <w:panose1 w:val="00000000000000000000"/>
    <w:charset w:val="88"/>
    <w:family w:val="modern"/>
    <w:pitch w:val="default"/>
    <w:sig w:usb0="00000000" w:usb1="00000000" w:usb2="00000010" w:usb3="00000000" w:csb0="00100000" w:csb1="00000000"/>
  </w:font>
  <w:font w:name="FZZhongDengXian-Z07S">
    <w:altName w:val="黑体"/>
    <w:panose1 w:val="00000000000000000000"/>
    <w:charset w:val="86"/>
    <w:family w:val="script"/>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utura-Book">
    <w:altName w:val="Arial"/>
    <w:panose1 w:val="00000000000000000000"/>
    <w:charset w:val="00"/>
    <w:family w:val="swiss"/>
    <w:pitch w:val="default"/>
    <w:sig w:usb0="00000000" w:usb1="00000000" w:usb2="00000000" w:usb3="00000000" w:csb0="00000001" w:csb1="00000000"/>
  </w:font>
  <w:font w:name="Cordia New">
    <w:panose1 w:val="020B0304020202020204"/>
    <w:charset w:val="00"/>
    <w:family w:val="swiss"/>
    <w:pitch w:val="default"/>
    <w:sig w:usb0="81000003" w:usb1="00000000" w:usb2="00000000" w:usb3="00000000" w:csb0="00010001" w:csb1="00000000"/>
  </w:font>
  <w:font w:name="Nokia Sans">
    <w:altName w:val="Tahoma"/>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FuturaA Md BT">
    <w:altName w:val="Times New Roman"/>
    <w:panose1 w:val="00000000000000000000"/>
    <w:charset w:val="00"/>
    <w:family w:val="roman"/>
    <w:pitch w:val="default"/>
    <w:sig w:usb0="00000000" w:usb1="00000000" w:usb2="00000000" w:usb3="00000000" w:csb0="00000001" w:csb1="00000000"/>
  </w:font>
  <w:font w:name="Invensys Nimrod">
    <w:altName w:val="Georgia"/>
    <w:panose1 w:val="00000000000000000000"/>
    <w:charset w:val="00"/>
    <w:family w:val="roman"/>
    <w:pitch w:val="default"/>
    <w:sig w:usb0="00000000" w:usb1="00000000" w:usb2="00000000" w:usb3="00000000" w:csb0="0000009F" w:csb1="00000000"/>
  </w:font>
  <w:font w:name="Georgia">
    <w:panose1 w:val="02040502050405020303"/>
    <w:charset w:val="00"/>
    <w:family w:val="auto"/>
    <w:pitch w:val="default"/>
    <w:sig w:usb0="00000287" w:usb1="00000000" w:usb2="00000000" w:usb3="00000000" w:csb0="2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Corbel"/>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Times New Roman"/>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全真中明體">
    <w:altName w:val="MingLiU"/>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等线 Light">
    <w:altName w:val="宋体"/>
    <w:panose1 w:val="00000000000000000000"/>
    <w:charset w:val="86"/>
    <w:family w:val="auto"/>
    <w:pitch w:val="default"/>
    <w:sig w:usb0="00000000" w:usb1="00000000" w:usb2="00000016" w:usb3="00000000" w:csb0="0004000F" w:csb1="00000000"/>
  </w:font>
  <w:font w:name="Palatino">
    <w:altName w:val="Palatino Linotype"/>
    <w:panose1 w:val="00000000000000000000"/>
    <w:charset w:val="00"/>
    <w:family w:val="roman"/>
    <w:pitch w:val="default"/>
    <w:sig w:usb0="00000000" w:usb1="00000000" w:usb2="00000000" w:usb3="00000000" w:csb0="00000093" w:csb1="00000000"/>
  </w:font>
  <w:font w:name="Helvetica Neue">
    <w:altName w:val="Arial"/>
    <w:panose1 w:val="00000000000000000000"/>
    <w:charset w:val="00"/>
    <w:family w:val="roman"/>
    <w:pitch w:val="default"/>
    <w:sig w:usb0="00000000" w:usb1="00000000" w:usb2="00000000" w:usb3="00000000" w:csb0="00040001" w:csb1="00000000"/>
  </w:font>
  <w:font w:name="Gill Sans">
    <w:altName w:val="Segoe Print"/>
    <w:panose1 w:val="00000000000000000000"/>
    <w:charset w:val="00"/>
    <w:family w:val="swiss"/>
    <w:pitch w:val="default"/>
    <w:sig w:usb0="00000000" w:usb1="00000000" w:usb2="00000000" w:usb3="00000000" w:csb0="00000001" w:csb1="00000000"/>
  </w:font>
  <w:font w:name="Lucida Grand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- 18 -</w:t>
    </w:r>
    <w:r>
      <w:fldChar w:fldCharType="end"/>
    </w:r>
  </w:p>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separate"/>
    </w:r>
    <w:r>
      <w:rPr>
        <w:rStyle w:val="93"/>
      </w:rPr>
      <w:t>1</w:t>
    </w:r>
    <w:r>
      <w:fldChar w:fldCharType="end"/>
    </w:r>
  </w:p>
  <w:p>
    <w:pPr>
      <w:pStyle w:val="5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3"/>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ascii="黑体" w:hAnsi="黑体" w:eastAsia="黑体"/>
        <w:szCs w:val="18"/>
      </w:rPr>
    </w:pPr>
    <w:r>
      <w:rPr>
        <w:rFonts w:hint="eastAsia" w:ascii="黑体" w:hAnsi="黑体" w:eastAsia="黑体"/>
        <w:bCs/>
        <w:szCs w:val="18"/>
      </w:rPr>
      <w:t>JYGQ2021G0</w:t>
    </w:r>
    <w:r>
      <w:rPr>
        <w:rFonts w:hint="eastAsia" w:ascii="黑体" w:hAnsi="黑体" w:eastAsia="黑体"/>
        <w:bCs/>
        <w:szCs w:val="18"/>
        <w:lang w:val="en-US" w:eastAsia="zh-CN"/>
      </w:rPr>
      <w:t>30</w:t>
    </w:r>
    <w:r>
      <w:rPr>
        <w:rFonts w:hint="eastAsia" w:ascii="黑体" w:hAnsi="黑体" w:eastAsia="黑体"/>
        <w:bCs/>
        <w:szCs w:val="18"/>
      </w:rPr>
      <w:t xml:space="preserve"> </w:t>
    </w:r>
    <w:r>
      <w:rPr>
        <w:rFonts w:hint="eastAsia" w:ascii="黑体" w:hAnsi="黑体" w:eastAsia="黑体"/>
        <w:bCs/>
        <w:szCs w:val="18"/>
        <w:lang w:eastAsia="zh-CN"/>
      </w:rPr>
      <w:t>江阴市2022-2024年度路灯箱式变电站维护项目</w:t>
    </w:r>
    <w:r>
      <w:rPr>
        <w:rFonts w:hint="eastAsia" w:ascii="黑体" w:hAnsi="黑体" w:eastAsia="黑体"/>
        <w:bCs/>
        <w:szCs w:val="18"/>
      </w:rPr>
      <w:t xml:space="preserve">                  </w:t>
    </w:r>
    <w:r>
      <w:rPr>
        <w:rFonts w:hint="eastAsia" w:ascii="黑体" w:hAnsi="黑体" w:eastAsia="黑体"/>
        <w:bCs/>
        <w:szCs w:val="18"/>
        <w:lang w:val="en-US" w:eastAsia="zh-CN"/>
      </w:rPr>
      <w:t xml:space="preserve">    </w:t>
    </w:r>
    <w:r>
      <w:rPr>
        <w:rFonts w:hint="eastAsia" w:ascii="黑体" w:hAnsi="黑体" w:eastAsia="黑体"/>
        <w:bCs/>
        <w:szCs w:val="18"/>
      </w:rPr>
      <w:t xml:space="preserve">   </w:t>
    </w:r>
    <w:r>
      <w:rPr>
        <w:rFonts w:ascii="黑体" w:hAnsi="黑体" w:eastAsia="黑体"/>
        <w:szCs w:val="18"/>
      </w:rPr>
      <w:t>江阴市</w:t>
    </w:r>
    <w:r>
      <w:rPr>
        <w:rFonts w:hint="eastAsia" w:ascii="黑体" w:hAnsi="黑体" w:eastAsia="黑体"/>
        <w:szCs w:val="18"/>
      </w:rPr>
      <w:t>公共资源交易</w:t>
    </w:r>
    <w:r>
      <w:rPr>
        <w:rFonts w:ascii="黑体" w:hAnsi="黑体" w:eastAsia="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DE904"/>
    <w:multiLevelType w:val="singleLevel"/>
    <w:tmpl w:val="BC0DE9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EFF"/>
    <w:rsid w:val="00001222"/>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9CB"/>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5AE6"/>
    <w:rsid w:val="00016B22"/>
    <w:rsid w:val="00016D4F"/>
    <w:rsid w:val="00017014"/>
    <w:rsid w:val="00020CB7"/>
    <w:rsid w:val="00020DC2"/>
    <w:rsid w:val="000212F3"/>
    <w:rsid w:val="0002182D"/>
    <w:rsid w:val="0002282D"/>
    <w:rsid w:val="00022DFE"/>
    <w:rsid w:val="00023AB5"/>
    <w:rsid w:val="000246A8"/>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469CF"/>
    <w:rsid w:val="00046C81"/>
    <w:rsid w:val="00050B0A"/>
    <w:rsid w:val="00051763"/>
    <w:rsid w:val="00051A42"/>
    <w:rsid w:val="00051FE0"/>
    <w:rsid w:val="000521B0"/>
    <w:rsid w:val="00053386"/>
    <w:rsid w:val="000547B3"/>
    <w:rsid w:val="00054833"/>
    <w:rsid w:val="0005496D"/>
    <w:rsid w:val="00054A61"/>
    <w:rsid w:val="00054D52"/>
    <w:rsid w:val="000567E8"/>
    <w:rsid w:val="00056A9A"/>
    <w:rsid w:val="0005700A"/>
    <w:rsid w:val="0005748F"/>
    <w:rsid w:val="000607F8"/>
    <w:rsid w:val="00061318"/>
    <w:rsid w:val="0006174E"/>
    <w:rsid w:val="00061890"/>
    <w:rsid w:val="00061BBE"/>
    <w:rsid w:val="00061E16"/>
    <w:rsid w:val="00063692"/>
    <w:rsid w:val="00063870"/>
    <w:rsid w:val="00064486"/>
    <w:rsid w:val="00064B97"/>
    <w:rsid w:val="00064C05"/>
    <w:rsid w:val="00065B72"/>
    <w:rsid w:val="00065EF3"/>
    <w:rsid w:val="00066394"/>
    <w:rsid w:val="00067430"/>
    <w:rsid w:val="0006788A"/>
    <w:rsid w:val="000704AA"/>
    <w:rsid w:val="0007056F"/>
    <w:rsid w:val="000705BF"/>
    <w:rsid w:val="000708FC"/>
    <w:rsid w:val="00070A62"/>
    <w:rsid w:val="0007182F"/>
    <w:rsid w:val="00072071"/>
    <w:rsid w:val="000744F4"/>
    <w:rsid w:val="00074A8B"/>
    <w:rsid w:val="0007592E"/>
    <w:rsid w:val="00075EEE"/>
    <w:rsid w:val="00076676"/>
    <w:rsid w:val="00076EC0"/>
    <w:rsid w:val="000772A5"/>
    <w:rsid w:val="000777FB"/>
    <w:rsid w:val="00077AE3"/>
    <w:rsid w:val="00077B92"/>
    <w:rsid w:val="00077F45"/>
    <w:rsid w:val="000811F0"/>
    <w:rsid w:val="00081862"/>
    <w:rsid w:val="00083CAB"/>
    <w:rsid w:val="000842F5"/>
    <w:rsid w:val="0008455E"/>
    <w:rsid w:val="00084861"/>
    <w:rsid w:val="000862B3"/>
    <w:rsid w:val="00086888"/>
    <w:rsid w:val="0008712E"/>
    <w:rsid w:val="000872CD"/>
    <w:rsid w:val="000873DE"/>
    <w:rsid w:val="00087A2D"/>
    <w:rsid w:val="00090855"/>
    <w:rsid w:val="00090C7A"/>
    <w:rsid w:val="00090ECA"/>
    <w:rsid w:val="00091307"/>
    <w:rsid w:val="00092622"/>
    <w:rsid w:val="00093CB2"/>
    <w:rsid w:val="00093F47"/>
    <w:rsid w:val="00094580"/>
    <w:rsid w:val="00094F36"/>
    <w:rsid w:val="0009599A"/>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1D97"/>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7A5"/>
    <w:rsid w:val="000D0144"/>
    <w:rsid w:val="000D01B7"/>
    <w:rsid w:val="000D17D1"/>
    <w:rsid w:val="000D307B"/>
    <w:rsid w:val="000D34A7"/>
    <w:rsid w:val="000D41DA"/>
    <w:rsid w:val="000D433B"/>
    <w:rsid w:val="000D46E4"/>
    <w:rsid w:val="000D5739"/>
    <w:rsid w:val="000D5A06"/>
    <w:rsid w:val="000D6871"/>
    <w:rsid w:val="000E082E"/>
    <w:rsid w:val="000E0AD0"/>
    <w:rsid w:val="000E19DE"/>
    <w:rsid w:val="000E1E77"/>
    <w:rsid w:val="000E21BB"/>
    <w:rsid w:val="000E2C2B"/>
    <w:rsid w:val="000E385E"/>
    <w:rsid w:val="000E3A7B"/>
    <w:rsid w:val="000E43D9"/>
    <w:rsid w:val="000E44F1"/>
    <w:rsid w:val="000E5774"/>
    <w:rsid w:val="000E5AA9"/>
    <w:rsid w:val="000E65F3"/>
    <w:rsid w:val="000E7369"/>
    <w:rsid w:val="000F0D50"/>
    <w:rsid w:val="000F164C"/>
    <w:rsid w:val="000F17D6"/>
    <w:rsid w:val="000F1CC6"/>
    <w:rsid w:val="000F2237"/>
    <w:rsid w:val="000F3F2E"/>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453"/>
    <w:rsid w:val="00102D63"/>
    <w:rsid w:val="00102DDF"/>
    <w:rsid w:val="00103FF7"/>
    <w:rsid w:val="001044A5"/>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670"/>
    <w:rsid w:val="00113C06"/>
    <w:rsid w:val="001148D3"/>
    <w:rsid w:val="001162E1"/>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584D"/>
    <w:rsid w:val="00166247"/>
    <w:rsid w:val="001670CF"/>
    <w:rsid w:val="0017065B"/>
    <w:rsid w:val="0017150D"/>
    <w:rsid w:val="00172A27"/>
    <w:rsid w:val="00172B81"/>
    <w:rsid w:val="00172B91"/>
    <w:rsid w:val="00173B9C"/>
    <w:rsid w:val="0017464F"/>
    <w:rsid w:val="001768A7"/>
    <w:rsid w:val="00176E14"/>
    <w:rsid w:val="001800C3"/>
    <w:rsid w:val="00180181"/>
    <w:rsid w:val="00180CDA"/>
    <w:rsid w:val="00180D86"/>
    <w:rsid w:val="00180F57"/>
    <w:rsid w:val="00181B14"/>
    <w:rsid w:val="00181FD1"/>
    <w:rsid w:val="00182926"/>
    <w:rsid w:val="00182947"/>
    <w:rsid w:val="00182C81"/>
    <w:rsid w:val="00182CC4"/>
    <w:rsid w:val="0018307C"/>
    <w:rsid w:val="00184418"/>
    <w:rsid w:val="001848EA"/>
    <w:rsid w:val="0018682C"/>
    <w:rsid w:val="0018717F"/>
    <w:rsid w:val="001874C0"/>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4E1"/>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439A"/>
    <w:rsid w:val="001E06FE"/>
    <w:rsid w:val="001E2DDF"/>
    <w:rsid w:val="001E587C"/>
    <w:rsid w:val="001E6F8C"/>
    <w:rsid w:val="001F0E10"/>
    <w:rsid w:val="001F175E"/>
    <w:rsid w:val="001F1A87"/>
    <w:rsid w:val="001F1DCA"/>
    <w:rsid w:val="001F23D2"/>
    <w:rsid w:val="001F272D"/>
    <w:rsid w:val="001F286C"/>
    <w:rsid w:val="001F3207"/>
    <w:rsid w:val="001F3792"/>
    <w:rsid w:val="001F5102"/>
    <w:rsid w:val="001F5EC9"/>
    <w:rsid w:val="001F5ED8"/>
    <w:rsid w:val="001F618A"/>
    <w:rsid w:val="001F63A8"/>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34C"/>
    <w:rsid w:val="00207942"/>
    <w:rsid w:val="00207A1D"/>
    <w:rsid w:val="0021086F"/>
    <w:rsid w:val="00210EAA"/>
    <w:rsid w:val="00211064"/>
    <w:rsid w:val="00211E81"/>
    <w:rsid w:val="00212797"/>
    <w:rsid w:val="00212BBD"/>
    <w:rsid w:val="00212F22"/>
    <w:rsid w:val="00213249"/>
    <w:rsid w:val="0021371F"/>
    <w:rsid w:val="0021388E"/>
    <w:rsid w:val="0021503B"/>
    <w:rsid w:val="00215104"/>
    <w:rsid w:val="0021561E"/>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51E"/>
    <w:rsid w:val="00231800"/>
    <w:rsid w:val="002320C3"/>
    <w:rsid w:val="002321EA"/>
    <w:rsid w:val="00232C01"/>
    <w:rsid w:val="002344BF"/>
    <w:rsid w:val="00235A79"/>
    <w:rsid w:val="00235D44"/>
    <w:rsid w:val="002361A3"/>
    <w:rsid w:val="002363B5"/>
    <w:rsid w:val="002373F0"/>
    <w:rsid w:val="00237AEF"/>
    <w:rsid w:val="00240F6E"/>
    <w:rsid w:val="00241CF4"/>
    <w:rsid w:val="00241D03"/>
    <w:rsid w:val="002434D7"/>
    <w:rsid w:val="00243605"/>
    <w:rsid w:val="00243A69"/>
    <w:rsid w:val="00243C93"/>
    <w:rsid w:val="00244C5F"/>
    <w:rsid w:val="00245203"/>
    <w:rsid w:val="0024564D"/>
    <w:rsid w:val="00246A56"/>
    <w:rsid w:val="00246F51"/>
    <w:rsid w:val="0024708D"/>
    <w:rsid w:val="0024727E"/>
    <w:rsid w:val="00247576"/>
    <w:rsid w:val="0025068C"/>
    <w:rsid w:val="002513F4"/>
    <w:rsid w:val="002514E5"/>
    <w:rsid w:val="00251EC8"/>
    <w:rsid w:val="00252149"/>
    <w:rsid w:val="002526CA"/>
    <w:rsid w:val="00252D0F"/>
    <w:rsid w:val="00253062"/>
    <w:rsid w:val="00253870"/>
    <w:rsid w:val="00254502"/>
    <w:rsid w:val="00254842"/>
    <w:rsid w:val="0025486C"/>
    <w:rsid w:val="00254E1A"/>
    <w:rsid w:val="00255952"/>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331D"/>
    <w:rsid w:val="002958DB"/>
    <w:rsid w:val="00295A18"/>
    <w:rsid w:val="002972C7"/>
    <w:rsid w:val="002A09EE"/>
    <w:rsid w:val="002A0BB4"/>
    <w:rsid w:val="002A0F46"/>
    <w:rsid w:val="002A16C4"/>
    <w:rsid w:val="002A18AC"/>
    <w:rsid w:val="002A2A7B"/>
    <w:rsid w:val="002A2E14"/>
    <w:rsid w:val="002A32D5"/>
    <w:rsid w:val="002A3469"/>
    <w:rsid w:val="002A3D11"/>
    <w:rsid w:val="002A4187"/>
    <w:rsid w:val="002A5540"/>
    <w:rsid w:val="002A5597"/>
    <w:rsid w:val="002A59F8"/>
    <w:rsid w:val="002A5C7E"/>
    <w:rsid w:val="002A6D2B"/>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751"/>
    <w:rsid w:val="002C78CA"/>
    <w:rsid w:val="002D0592"/>
    <w:rsid w:val="002D092E"/>
    <w:rsid w:val="002D0B1C"/>
    <w:rsid w:val="002D1494"/>
    <w:rsid w:val="002D15F1"/>
    <w:rsid w:val="002D2F58"/>
    <w:rsid w:val="002D3177"/>
    <w:rsid w:val="002D44E3"/>
    <w:rsid w:val="002D4E42"/>
    <w:rsid w:val="002D4FE3"/>
    <w:rsid w:val="002D513B"/>
    <w:rsid w:val="002D5F17"/>
    <w:rsid w:val="002D69E3"/>
    <w:rsid w:val="002D6A7C"/>
    <w:rsid w:val="002D7121"/>
    <w:rsid w:val="002D7A1F"/>
    <w:rsid w:val="002E01DD"/>
    <w:rsid w:val="002E0410"/>
    <w:rsid w:val="002E0BF3"/>
    <w:rsid w:val="002E140B"/>
    <w:rsid w:val="002E1E34"/>
    <w:rsid w:val="002E2284"/>
    <w:rsid w:val="002E5707"/>
    <w:rsid w:val="002E61AE"/>
    <w:rsid w:val="002E6516"/>
    <w:rsid w:val="002E7589"/>
    <w:rsid w:val="002F0053"/>
    <w:rsid w:val="002F0CC3"/>
    <w:rsid w:val="002F1140"/>
    <w:rsid w:val="002F13DC"/>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776"/>
    <w:rsid w:val="003070CF"/>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33A"/>
    <w:rsid w:val="0032743F"/>
    <w:rsid w:val="00327939"/>
    <w:rsid w:val="00330BBD"/>
    <w:rsid w:val="00330FC0"/>
    <w:rsid w:val="00331233"/>
    <w:rsid w:val="0033130A"/>
    <w:rsid w:val="003323DF"/>
    <w:rsid w:val="00332F46"/>
    <w:rsid w:val="0033324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6DFB"/>
    <w:rsid w:val="0035717C"/>
    <w:rsid w:val="003575AE"/>
    <w:rsid w:val="00357AB7"/>
    <w:rsid w:val="003605C2"/>
    <w:rsid w:val="00361757"/>
    <w:rsid w:val="00361BBF"/>
    <w:rsid w:val="003624AF"/>
    <w:rsid w:val="00362CDA"/>
    <w:rsid w:val="0036430D"/>
    <w:rsid w:val="00364355"/>
    <w:rsid w:val="0036477A"/>
    <w:rsid w:val="003650A0"/>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50"/>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488"/>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4A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2244"/>
    <w:rsid w:val="003D3B3E"/>
    <w:rsid w:val="003D4162"/>
    <w:rsid w:val="003D4E6B"/>
    <w:rsid w:val="003D710E"/>
    <w:rsid w:val="003E034A"/>
    <w:rsid w:val="003E0583"/>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2FC8"/>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40A5"/>
    <w:rsid w:val="0040435D"/>
    <w:rsid w:val="00404CB9"/>
    <w:rsid w:val="004059D3"/>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37F9"/>
    <w:rsid w:val="004339E8"/>
    <w:rsid w:val="00433AAF"/>
    <w:rsid w:val="0043422A"/>
    <w:rsid w:val="00434561"/>
    <w:rsid w:val="00434728"/>
    <w:rsid w:val="0043523D"/>
    <w:rsid w:val="004356AC"/>
    <w:rsid w:val="00435F37"/>
    <w:rsid w:val="00436027"/>
    <w:rsid w:val="004363F0"/>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889"/>
    <w:rsid w:val="00453903"/>
    <w:rsid w:val="00454969"/>
    <w:rsid w:val="00455FF4"/>
    <w:rsid w:val="004568D0"/>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1FCF"/>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A90"/>
    <w:rsid w:val="004A2CBE"/>
    <w:rsid w:val="004A39FD"/>
    <w:rsid w:val="004A3A22"/>
    <w:rsid w:val="004A407E"/>
    <w:rsid w:val="004A41BC"/>
    <w:rsid w:val="004A52DE"/>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418C"/>
    <w:rsid w:val="004B62B0"/>
    <w:rsid w:val="004B63E6"/>
    <w:rsid w:val="004B6938"/>
    <w:rsid w:val="004C0374"/>
    <w:rsid w:val="004C0E54"/>
    <w:rsid w:val="004C1269"/>
    <w:rsid w:val="004C2A21"/>
    <w:rsid w:val="004C2D16"/>
    <w:rsid w:val="004C354E"/>
    <w:rsid w:val="004C3C7E"/>
    <w:rsid w:val="004C477A"/>
    <w:rsid w:val="004C5166"/>
    <w:rsid w:val="004C5323"/>
    <w:rsid w:val="004C6857"/>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0A27"/>
    <w:rsid w:val="004E1B73"/>
    <w:rsid w:val="004E2398"/>
    <w:rsid w:val="004E2C06"/>
    <w:rsid w:val="004E2CF6"/>
    <w:rsid w:val="004E2D2B"/>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C46"/>
    <w:rsid w:val="005612B7"/>
    <w:rsid w:val="005625C5"/>
    <w:rsid w:val="00562669"/>
    <w:rsid w:val="00563B73"/>
    <w:rsid w:val="00563C26"/>
    <w:rsid w:val="00563E85"/>
    <w:rsid w:val="00563F69"/>
    <w:rsid w:val="005640D6"/>
    <w:rsid w:val="00564BED"/>
    <w:rsid w:val="00565072"/>
    <w:rsid w:val="005677AC"/>
    <w:rsid w:val="00567CF9"/>
    <w:rsid w:val="00567E21"/>
    <w:rsid w:val="00570A5C"/>
    <w:rsid w:val="005723F7"/>
    <w:rsid w:val="005726FE"/>
    <w:rsid w:val="00573F4D"/>
    <w:rsid w:val="005743A3"/>
    <w:rsid w:val="00574536"/>
    <w:rsid w:val="00574752"/>
    <w:rsid w:val="005749C3"/>
    <w:rsid w:val="00576093"/>
    <w:rsid w:val="0057627E"/>
    <w:rsid w:val="0057659E"/>
    <w:rsid w:val="00577C28"/>
    <w:rsid w:val="00580082"/>
    <w:rsid w:val="005802DB"/>
    <w:rsid w:val="0058095A"/>
    <w:rsid w:val="00580A41"/>
    <w:rsid w:val="00580C84"/>
    <w:rsid w:val="005812BD"/>
    <w:rsid w:val="005821D4"/>
    <w:rsid w:val="00582207"/>
    <w:rsid w:val="005824DA"/>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A4A"/>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AF5"/>
    <w:rsid w:val="005E3D35"/>
    <w:rsid w:val="005E3F3A"/>
    <w:rsid w:val="005E4F79"/>
    <w:rsid w:val="005E5279"/>
    <w:rsid w:val="005E5322"/>
    <w:rsid w:val="005E6DD5"/>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A8"/>
    <w:rsid w:val="006067B2"/>
    <w:rsid w:val="00606DAA"/>
    <w:rsid w:val="0060766A"/>
    <w:rsid w:val="006077FE"/>
    <w:rsid w:val="00607834"/>
    <w:rsid w:val="006079CF"/>
    <w:rsid w:val="00607AB9"/>
    <w:rsid w:val="006100EF"/>
    <w:rsid w:val="00610C6B"/>
    <w:rsid w:val="0061100A"/>
    <w:rsid w:val="00611297"/>
    <w:rsid w:val="00611469"/>
    <w:rsid w:val="00611ACF"/>
    <w:rsid w:val="00611C4F"/>
    <w:rsid w:val="006126AD"/>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1AD"/>
    <w:rsid w:val="00624C85"/>
    <w:rsid w:val="00624CF8"/>
    <w:rsid w:val="0062506D"/>
    <w:rsid w:val="006263BD"/>
    <w:rsid w:val="006265A8"/>
    <w:rsid w:val="00627D2B"/>
    <w:rsid w:val="006307AB"/>
    <w:rsid w:val="00631024"/>
    <w:rsid w:val="006310CD"/>
    <w:rsid w:val="00632D72"/>
    <w:rsid w:val="006332B0"/>
    <w:rsid w:val="00633439"/>
    <w:rsid w:val="0063403E"/>
    <w:rsid w:val="00634D28"/>
    <w:rsid w:val="00635323"/>
    <w:rsid w:val="00636114"/>
    <w:rsid w:val="00636442"/>
    <w:rsid w:val="00636ECC"/>
    <w:rsid w:val="006378F7"/>
    <w:rsid w:val="00637D6C"/>
    <w:rsid w:val="00637E1D"/>
    <w:rsid w:val="00640036"/>
    <w:rsid w:val="00641451"/>
    <w:rsid w:val="00641F7B"/>
    <w:rsid w:val="0064224D"/>
    <w:rsid w:val="006422DE"/>
    <w:rsid w:val="00644988"/>
    <w:rsid w:val="00645B85"/>
    <w:rsid w:val="00646752"/>
    <w:rsid w:val="00647F4C"/>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5F58"/>
    <w:rsid w:val="0065631C"/>
    <w:rsid w:val="006569A6"/>
    <w:rsid w:val="00656A4D"/>
    <w:rsid w:val="00656B2B"/>
    <w:rsid w:val="00657190"/>
    <w:rsid w:val="0065725B"/>
    <w:rsid w:val="006572B8"/>
    <w:rsid w:val="006574ED"/>
    <w:rsid w:val="00657FA7"/>
    <w:rsid w:val="00661A01"/>
    <w:rsid w:val="00661C40"/>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6F1F"/>
    <w:rsid w:val="00697E98"/>
    <w:rsid w:val="006A0CB0"/>
    <w:rsid w:val="006A1556"/>
    <w:rsid w:val="006A15FC"/>
    <w:rsid w:val="006A1710"/>
    <w:rsid w:val="006A1932"/>
    <w:rsid w:val="006A1D11"/>
    <w:rsid w:val="006A1EC4"/>
    <w:rsid w:val="006A43F4"/>
    <w:rsid w:val="006A5B7A"/>
    <w:rsid w:val="006A5E27"/>
    <w:rsid w:val="006A60E9"/>
    <w:rsid w:val="006A6636"/>
    <w:rsid w:val="006A6684"/>
    <w:rsid w:val="006A6AD8"/>
    <w:rsid w:val="006A732E"/>
    <w:rsid w:val="006A78CD"/>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3E1"/>
    <w:rsid w:val="006C1D01"/>
    <w:rsid w:val="006C28E5"/>
    <w:rsid w:val="006C3300"/>
    <w:rsid w:val="006C39FD"/>
    <w:rsid w:val="006C4AF5"/>
    <w:rsid w:val="006C53A5"/>
    <w:rsid w:val="006C547A"/>
    <w:rsid w:val="006C5B6B"/>
    <w:rsid w:val="006C7465"/>
    <w:rsid w:val="006C7828"/>
    <w:rsid w:val="006C7AF9"/>
    <w:rsid w:val="006C7C82"/>
    <w:rsid w:val="006D0690"/>
    <w:rsid w:val="006D0CAD"/>
    <w:rsid w:val="006D1091"/>
    <w:rsid w:val="006D1294"/>
    <w:rsid w:val="006D16CE"/>
    <w:rsid w:val="006D1B8C"/>
    <w:rsid w:val="006D1D51"/>
    <w:rsid w:val="006D1ED8"/>
    <w:rsid w:val="006D280C"/>
    <w:rsid w:val="006D2A65"/>
    <w:rsid w:val="006D34DA"/>
    <w:rsid w:val="006D3A8B"/>
    <w:rsid w:val="006D4A23"/>
    <w:rsid w:val="006D56F2"/>
    <w:rsid w:val="006D5F0D"/>
    <w:rsid w:val="006D64E6"/>
    <w:rsid w:val="006D68A9"/>
    <w:rsid w:val="006D6D26"/>
    <w:rsid w:val="006D6E79"/>
    <w:rsid w:val="006D7B0C"/>
    <w:rsid w:val="006D7C1D"/>
    <w:rsid w:val="006D7C2F"/>
    <w:rsid w:val="006D7CCB"/>
    <w:rsid w:val="006E01E3"/>
    <w:rsid w:val="006E059B"/>
    <w:rsid w:val="006E0753"/>
    <w:rsid w:val="006E1565"/>
    <w:rsid w:val="006E1C7F"/>
    <w:rsid w:val="006E318C"/>
    <w:rsid w:val="006E32BB"/>
    <w:rsid w:val="006E34CC"/>
    <w:rsid w:val="006E3B2F"/>
    <w:rsid w:val="006E3D06"/>
    <w:rsid w:val="006E42D3"/>
    <w:rsid w:val="006E6084"/>
    <w:rsid w:val="006E748B"/>
    <w:rsid w:val="006E763B"/>
    <w:rsid w:val="006E7B26"/>
    <w:rsid w:val="006F0A11"/>
    <w:rsid w:val="006F0F90"/>
    <w:rsid w:val="006F103C"/>
    <w:rsid w:val="006F1323"/>
    <w:rsid w:val="006F2908"/>
    <w:rsid w:val="006F2A58"/>
    <w:rsid w:val="006F32DA"/>
    <w:rsid w:val="006F3A0B"/>
    <w:rsid w:val="006F4F08"/>
    <w:rsid w:val="006F4F33"/>
    <w:rsid w:val="006F645F"/>
    <w:rsid w:val="006F684B"/>
    <w:rsid w:val="006F70BB"/>
    <w:rsid w:val="0070002C"/>
    <w:rsid w:val="007002B9"/>
    <w:rsid w:val="00700651"/>
    <w:rsid w:val="00700710"/>
    <w:rsid w:val="0070103C"/>
    <w:rsid w:val="007018F8"/>
    <w:rsid w:val="00701956"/>
    <w:rsid w:val="00702B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27E9D"/>
    <w:rsid w:val="007303D4"/>
    <w:rsid w:val="007310D6"/>
    <w:rsid w:val="007314B3"/>
    <w:rsid w:val="0073222B"/>
    <w:rsid w:val="0073297E"/>
    <w:rsid w:val="00732BB5"/>
    <w:rsid w:val="0073301F"/>
    <w:rsid w:val="0073308E"/>
    <w:rsid w:val="00733339"/>
    <w:rsid w:val="007337DA"/>
    <w:rsid w:val="007341CC"/>
    <w:rsid w:val="007347EE"/>
    <w:rsid w:val="007347FC"/>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677"/>
    <w:rsid w:val="00745A26"/>
    <w:rsid w:val="00746DFE"/>
    <w:rsid w:val="00747659"/>
    <w:rsid w:val="00747B79"/>
    <w:rsid w:val="007513A5"/>
    <w:rsid w:val="00751851"/>
    <w:rsid w:val="00752654"/>
    <w:rsid w:val="0075327A"/>
    <w:rsid w:val="00753DCC"/>
    <w:rsid w:val="00754079"/>
    <w:rsid w:val="00754570"/>
    <w:rsid w:val="007551B8"/>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52D"/>
    <w:rsid w:val="0077079B"/>
    <w:rsid w:val="00770B3C"/>
    <w:rsid w:val="00771567"/>
    <w:rsid w:val="007719FB"/>
    <w:rsid w:val="00772144"/>
    <w:rsid w:val="00772497"/>
    <w:rsid w:val="00772875"/>
    <w:rsid w:val="00773DB9"/>
    <w:rsid w:val="00774378"/>
    <w:rsid w:val="00774777"/>
    <w:rsid w:val="00774FC2"/>
    <w:rsid w:val="00775029"/>
    <w:rsid w:val="0077560C"/>
    <w:rsid w:val="00776A6B"/>
    <w:rsid w:val="00776BF8"/>
    <w:rsid w:val="00780610"/>
    <w:rsid w:val="0078199E"/>
    <w:rsid w:val="00782684"/>
    <w:rsid w:val="00782F43"/>
    <w:rsid w:val="007835B3"/>
    <w:rsid w:val="00784671"/>
    <w:rsid w:val="00785673"/>
    <w:rsid w:val="00785EF1"/>
    <w:rsid w:val="00786392"/>
    <w:rsid w:val="007864FB"/>
    <w:rsid w:val="00786A2F"/>
    <w:rsid w:val="00786C89"/>
    <w:rsid w:val="00786E1C"/>
    <w:rsid w:val="007875AD"/>
    <w:rsid w:val="007909D8"/>
    <w:rsid w:val="00790BF3"/>
    <w:rsid w:val="00791230"/>
    <w:rsid w:val="00792752"/>
    <w:rsid w:val="00792B3D"/>
    <w:rsid w:val="007932C7"/>
    <w:rsid w:val="00793FF3"/>
    <w:rsid w:val="00794259"/>
    <w:rsid w:val="007956A0"/>
    <w:rsid w:val="00795A5F"/>
    <w:rsid w:val="007965E1"/>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3FB9"/>
    <w:rsid w:val="007B428A"/>
    <w:rsid w:val="007B7149"/>
    <w:rsid w:val="007B731D"/>
    <w:rsid w:val="007B7EE0"/>
    <w:rsid w:val="007C1047"/>
    <w:rsid w:val="007C10A6"/>
    <w:rsid w:val="007C1977"/>
    <w:rsid w:val="007C1C97"/>
    <w:rsid w:val="007C2D81"/>
    <w:rsid w:val="007C3418"/>
    <w:rsid w:val="007C3A0D"/>
    <w:rsid w:val="007C449F"/>
    <w:rsid w:val="007C4C2D"/>
    <w:rsid w:val="007C542F"/>
    <w:rsid w:val="007C5475"/>
    <w:rsid w:val="007C6071"/>
    <w:rsid w:val="007C62C2"/>
    <w:rsid w:val="007C63F6"/>
    <w:rsid w:val="007C7294"/>
    <w:rsid w:val="007D0BB0"/>
    <w:rsid w:val="007D0DC3"/>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F14F9"/>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2365"/>
    <w:rsid w:val="008226A7"/>
    <w:rsid w:val="008228B5"/>
    <w:rsid w:val="00823023"/>
    <w:rsid w:val="008232AC"/>
    <w:rsid w:val="00823D2C"/>
    <w:rsid w:val="008245F1"/>
    <w:rsid w:val="008261AF"/>
    <w:rsid w:val="00826957"/>
    <w:rsid w:val="0082720A"/>
    <w:rsid w:val="00827390"/>
    <w:rsid w:val="00827FD7"/>
    <w:rsid w:val="0083052C"/>
    <w:rsid w:val="00830BE3"/>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57BF6"/>
    <w:rsid w:val="00860A21"/>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77FA9"/>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3054"/>
    <w:rsid w:val="00893AE9"/>
    <w:rsid w:val="00894597"/>
    <w:rsid w:val="00894A36"/>
    <w:rsid w:val="0089524B"/>
    <w:rsid w:val="00896DF4"/>
    <w:rsid w:val="0089718A"/>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2B9E"/>
    <w:rsid w:val="008D2DA7"/>
    <w:rsid w:val="008D31FC"/>
    <w:rsid w:val="008D464B"/>
    <w:rsid w:val="008D581D"/>
    <w:rsid w:val="008D7070"/>
    <w:rsid w:val="008D70F0"/>
    <w:rsid w:val="008E0300"/>
    <w:rsid w:val="008E04A0"/>
    <w:rsid w:val="008E069A"/>
    <w:rsid w:val="008E08EC"/>
    <w:rsid w:val="008E099F"/>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A68"/>
    <w:rsid w:val="009016A7"/>
    <w:rsid w:val="00901789"/>
    <w:rsid w:val="00901BE7"/>
    <w:rsid w:val="009023A8"/>
    <w:rsid w:val="009024AD"/>
    <w:rsid w:val="00902B58"/>
    <w:rsid w:val="00902CF7"/>
    <w:rsid w:val="0090311B"/>
    <w:rsid w:val="009033FF"/>
    <w:rsid w:val="00903465"/>
    <w:rsid w:val="0090428B"/>
    <w:rsid w:val="00905148"/>
    <w:rsid w:val="0090672C"/>
    <w:rsid w:val="00907421"/>
    <w:rsid w:val="00907AB6"/>
    <w:rsid w:val="009104D4"/>
    <w:rsid w:val="00911066"/>
    <w:rsid w:val="009114A5"/>
    <w:rsid w:val="0091171F"/>
    <w:rsid w:val="009134A5"/>
    <w:rsid w:val="00913BCF"/>
    <w:rsid w:val="00913C50"/>
    <w:rsid w:val="00914294"/>
    <w:rsid w:val="00914605"/>
    <w:rsid w:val="00914EC4"/>
    <w:rsid w:val="00915122"/>
    <w:rsid w:val="0091514D"/>
    <w:rsid w:val="00916C78"/>
    <w:rsid w:val="00916E76"/>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2F5"/>
    <w:rsid w:val="00943536"/>
    <w:rsid w:val="00943822"/>
    <w:rsid w:val="00943FCC"/>
    <w:rsid w:val="009442CC"/>
    <w:rsid w:val="00944721"/>
    <w:rsid w:val="00946341"/>
    <w:rsid w:val="00947506"/>
    <w:rsid w:val="00947803"/>
    <w:rsid w:val="0095069E"/>
    <w:rsid w:val="009506AF"/>
    <w:rsid w:val="00950E79"/>
    <w:rsid w:val="00950EA9"/>
    <w:rsid w:val="0095156A"/>
    <w:rsid w:val="009516A3"/>
    <w:rsid w:val="00952DE5"/>
    <w:rsid w:val="00953B46"/>
    <w:rsid w:val="009541C2"/>
    <w:rsid w:val="0095460C"/>
    <w:rsid w:val="00954635"/>
    <w:rsid w:val="00955683"/>
    <w:rsid w:val="00957459"/>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2DE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4CB7"/>
    <w:rsid w:val="009B589E"/>
    <w:rsid w:val="009B66C6"/>
    <w:rsid w:val="009B6BDD"/>
    <w:rsid w:val="009B7003"/>
    <w:rsid w:val="009B768A"/>
    <w:rsid w:val="009C00E5"/>
    <w:rsid w:val="009C0ADF"/>
    <w:rsid w:val="009C0E83"/>
    <w:rsid w:val="009C118B"/>
    <w:rsid w:val="009C125D"/>
    <w:rsid w:val="009C1EFF"/>
    <w:rsid w:val="009C1FF7"/>
    <w:rsid w:val="009C238A"/>
    <w:rsid w:val="009C2472"/>
    <w:rsid w:val="009C4A4F"/>
    <w:rsid w:val="009C5716"/>
    <w:rsid w:val="009C603E"/>
    <w:rsid w:val="009C6102"/>
    <w:rsid w:val="009C66D2"/>
    <w:rsid w:val="009C7354"/>
    <w:rsid w:val="009C73CD"/>
    <w:rsid w:val="009C7BBC"/>
    <w:rsid w:val="009C7CAC"/>
    <w:rsid w:val="009C7DBC"/>
    <w:rsid w:val="009D02EC"/>
    <w:rsid w:val="009D0E6C"/>
    <w:rsid w:val="009D12EB"/>
    <w:rsid w:val="009D1324"/>
    <w:rsid w:val="009D1CC3"/>
    <w:rsid w:val="009D1F34"/>
    <w:rsid w:val="009D3049"/>
    <w:rsid w:val="009D3361"/>
    <w:rsid w:val="009D3F5B"/>
    <w:rsid w:val="009D437C"/>
    <w:rsid w:val="009D7FBD"/>
    <w:rsid w:val="009E020F"/>
    <w:rsid w:val="009E0A66"/>
    <w:rsid w:val="009E0B87"/>
    <w:rsid w:val="009E0DF3"/>
    <w:rsid w:val="009E1A07"/>
    <w:rsid w:val="009E23BD"/>
    <w:rsid w:val="009E2502"/>
    <w:rsid w:val="009E3307"/>
    <w:rsid w:val="009E53E0"/>
    <w:rsid w:val="009E5401"/>
    <w:rsid w:val="009E5644"/>
    <w:rsid w:val="009E63CA"/>
    <w:rsid w:val="009E68B4"/>
    <w:rsid w:val="009E71CA"/>
    <w:rsid w:val="009E7325"/>
    <w:rsid w:val="009F05F1"/>
    <w:rsid w:val="009F125D"/>
    <w:rsid w:val="009F19B0"/>
    <w:rsid w:val="009F1C8C"/>
    <w:rsid w:val="009F2B1B"/>
    <w:rsid w:val="009F42FC"/>
    <w:rsid w:val="009F4B28"/>
    <w:rsid w:val="009F4F8D"/>
    <w:rsid w:val="009F571F"/>
    <w:rsid w:val="009F605A"/>
    <w:rsid w:val="009F612A"/>
    <w:rsid w:val="009F7591"/>
    <w:rsid w:val="009F76A7"/>
    <w:rsid w:val="009F7BF2"/>
    <w:rsid w:val="009F7D8D"/>
    <w:rsid w:val="00A004AF"/>
    <w:rsid w:val="00A00B56"/>
    <w:rsid w:val="00A00E52"/>
    <w:rsid w:val="00A01463"/>
    <w:rsid w:val="00A018B3"/>
    <w:rsid w:val="00A0214D"/>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391"/>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599B"/>
    <w:rsid w:val="00A26512"/>
    <w:rsid w:val="00A26BCC"/>
    <w:rsid w:val="00A27428"/>
    <w:rsid w:val="00A275A1"/>
    <w:rsid w:val="00A27634"/>
    <w:rsid w:val="00A27BAF"/>
    <w:rsid w:val="00A27BDD"/>
    <w:rsid w:val="00A27E9F"/>
    <w:rsid w:val="00A27FCC"/>
    <w:rsid w:val="00A306CA"/>
    <w:rsid w:val="00A31EFE"/>
    <w:rsid w:val="00A329BC"/>
    <w:rsid w:val="00A32C88"/>
    <w:rsid w:val="00A34ED8"/>
    <w:rsid w:val="00A35CE5"/>
    <w:rsid w:val="00A36C5C"/>
    <w:rsid w:val="00A37D86"/>
    <w:rsid w:val="00A410DD"/>
    <w:rsid w:val="00A41711"/>
    <w:rsid w:val="00A420E9"/>
    <w:rsid w:val="00A436E9"/>
    <w:rsid w:val="00A43E52"/>
    <w:rsid w:val="00A4509E"/>
    <w:rsid w:val="00A458F5"/>
    <w:rsid w:val="00A45F82"/>
    <w:rsid w:val="00A463E9"/>
    <w:rsid w:val="00A46B3C"/>
    <w:rsid w:val="00A470B9"/>
    <w:rsid w:val="00A47409"/>
    <w:rsid w:val="00A47464"/>
    <w:rsid w:val="00A47F56"/>
    <w:rsid w:val="00A47FD4"/>
    <w:rsid w:val="00A50113"/>
    <w:rsid w:val="00A5051C"/>
    <w:rsid w:val="00A507AD"/>
    <w:rsid w:val="00A50E9B"/>
    <w:rsid w:val="00A51D50"/>
    <w:rsid w:val="00A53079"/>
    <w:rsid w:val="00A5313E"/>
    <w:rsid w:val="00A537BF"/>
    <w:rsid w:val="00A53918"/>
    <w:rsid w:val="00A543E4"/>
    <w:rsid w:val="00A54C1E"/>
    <w:rsid w:val="00A55B65"/>
    <w:rsid w:val="00A60793"/>
    <w:rsid w:val="00A619A6"/>
    <w:rsid w:val="00A619D1"/>
    <w:rsid w:val="00A63063"/>
    <w:rsid w:val="00A643EA"/>
    <w:rsid w:val="00A64B1F"/>
    <w:rsid w:val="00A65953"/>
    <w:rsid w:val="00A65F5C"/>
    <w:rsid w:val="00A6784E"/>
    <w:rsid w:val="00A67E38"/>
    <w:rsid w:val="00A705E9"/>
    <w:rsid w:val="00A708BA"/>
    <w:rsid w:val="00A71C54"/>
    <w:rsid w:val="00A7227D"/>
    <w:rsid w:val="00A72711"/>
    <w:rsid w:val="00A737C9"/>
    <w:rsid w:val="00A73B39"/>
    <w:rsid w:val="00A7413D"/>
    <w:rsid w:val="00A74873"/>
    <w:rsid w:val="00A74AC1"/>
    <w:rsid w:val="00A754FF"/>
    <w:rsid w:val="00A764B8"/>
    <w:rsid w:val="00A766BD"/>
    <w:rsid w:val="00A76774"/>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210"/>
    <w:rsid w:val="00A945A0"/>
    <w:rsid w:val="00A94821"/>
    <w:rsid w:val="00A9543A"/>
    <w:rsid w:val="00A956EF"/>
    <w:rsid w:val="00A95754"/>
    <w:rsid w:val="00A9635F"/>
    <w:rsid w:val="00A963AA"/>
    <w:rsid w:val="00AA0A29"/>
    <w:rsid w:val="00AA12BE"/>
    <w:rsid w:val="00AA2E5D"/>
    <w:rsid w:val="00AA327E"/>
    <w:rsid w:val="00AA32D1"/>
    <w:rsid w:val="00AA3640"/>
    <w:rsid w:val="00AA3A82"/>
    <w:rsid w:val="00AA3D45"/>
    <w:rsid w:val="00AA4040"/>
    <w:rsid w:val="00AA417D"/>
    <w:rsid w:val="00AA53C3"/>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C0FA1"/>
    <w:rsid w:val="00AC282C"/>
    <w:rsid w:val="00AC2D97"/>
    <w:rsid w:val="00AC3665"/>
    <w:rsid w:val="00AC3A9F"/>
    <w:rsid w:val="00AC3F0E"/>
    <w:rsid w:val="00AC402A"/>
    <w:rsid w:val="00AC419B"/>
    <w:rsid w:val="00AC41EE"/>
    <w:rsid w:val="00AC5EF3"/>
    <w:rsid w:val="00AC7B0D"/>
    <w:rsid w:val="00AD0924"/>
    <w:rsid w:val="00AD1363"/>
    <w:rsid w:val="00AD13C1"/>
    <w:rsid w:val="00AD2170"/>
    <w:rsid w:val="00AD2637"/>
    <w:rsid w:val="00AD3B4A"/>
    <w:rsid w:val="00AD4C22"/>
    <w:rsid w:val="00AD4CA3"/>
    <w:rsid w:val="00AD5939"/>
    <w:rsid w:val="00AD6215"/>
    <w:rsid w:val="00AD6B74"/>
    <w:rsid w:val="00AD72B2"/>
    <w:rsid w:val="00AD7765"/>
    <w:rsid w:val="00AD7D0D"/>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E7B78"/>
    <w:rsid w:val="00AF07C5"/>
    <w:rsid w:val="00AF0F02"/>
    <w:rsid w:val="00AF0F04"/>
    <w:rsid w:val="00AF26FB"/>
    <w:rsid w:val="00AF2AFA"/>
    <w:rsid w:val="00AF3A1D"/>
    <w:rsid w:val="00AF3D2A"/>
    <w:rsid w:val="00AF3FB8"/>
    <w:rsid w:val="00AF4BF6"/>
    <w:rsid w:val="00AF4C8D"/>
    <w:rsid w:val="00AF563B"/>
    <w:rsid w:val="00AF5F12"/>
    <w:rsid w:val="00AF63A8"/>
    <w:rsid w:val="00AF666F"/>
    <w:rsid w:val="00AF6801"/>
    <w:rsid w:val="00AF6EB5"/>
    <w:rsid w:val="00AF728A"/>
    <w:rsid w:val="00AF7761"/>
    <w:rsid w:val="00B0022F"/>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B1F"/>
    <w:rsid w:val="00B16096"/>
    <w:rsid w:val="00B16356"/>
    <w:rsid w:val="00B1661B"/>
    <w:rsid w:val="00B17884"/>
    <w:rsid w:val="00B17AAB"/>
    <w:rsid w:val="00B20F72"/>
    <w:rsid w:val="00B21172"/>
    <w:rsid w:val="00B2186C"/>
    <w:rsid w:val="00B23465"/>
    <w:rsid w:val="00B2462B"/>
    <w:rsid w:val="00B248EB"/>
    <w:rsid w:val="00B2515D"/>
    <w:rsid w:val="00B25EBC"/>
    <w:rsid w:val="00B25F75"/>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6E4D"/>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0BA"/>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C00"/>
    <w:rsid w:val="00B7032E"/>
    <w:rsid w:val="00B709F2"/>
    <w:rsid w:val="00B71413"/>
    <w:rsid w:val="00B71510"/>
    <w:rsid w:val="00B71FF1"/>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33C1"/>
    <w:rsid w:val="00BA4FD6"/>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9F5"/>
    <w:rsid w:val="00BB2F64"/>
    <w:rsid w:val="00BB3A09"/>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E39"/>
    <w:rsid w:val="00BD35D9"/>
    <w:rsid w:val="00BD3855"/>
    <w:rsid w:val="00BD4CA0"/>
    <w:rsid w:val="00BD511B"/>
    <w:rsid w:val="00BD5875"/>
    <w:rsid w:val="00BD5B40"/>
    <w:rsid w:val="00BD6A08"/>
    <w:rsid w:val="00BD6D2D"/>
    <w:rsid w:val="00BD6D84"/>
    <w:rsid w:val="00BD6E4C"/>
    <w:rsid w:val="00BD70F8"/>
    <w:rsid w:val="00BD77C2"/>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E7F87"/>
    <w:rsid w:val="00BF071F"/>
    <w:rsid w:val="00BF0A1B"/>
    <w:rsid w:val="00BF143E"/>
    <w:rsid w:val="00BF19A2"/>
    <w:rsid w:val="00BF19B0"/>
    <w:rsid w:val="00BF212A"/>
    <w:rsid w:val="00BF27C7"/>
    <w:rsid w:val="00BF3584"/>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BFB"/>
    <w:rsid w:val="00C14C92"/>
    <w:rsid w:val="00C1535A"/>
    <w:rsid w:val="00C166B4"/>
    <w:rsid w:val="00C16B7E"/>
    <w:rsid w:val="00C175B5"/>
    <w:rsid w:val="00C179E1"/>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30B2C"/>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46C47"/>
    <w:rsid w:val="00C503D4"/>
    <w:rsid w:val="00C50960"/>
    <w:rsid w:val="00C51CFD"/>
    <w:rsid w:val="00C52586"/>
    <w:rsid w:val="00C52977"/>
    <w:rsid w:val="00C52C25"/>
    <w:rsid w:val="00C5356F"/>
    <w:rsid w:val="00C53DE8"/>
    <w:rsid w:val="00C54350"/>
    <w:rsid w:val="00C5499C"/>
    <w:rsid w:val="00C54D81"/>
    <w:rsid w:val="00C55959"/>
    <w:rsid w:val="00C56F5B"/>
    <w:rsid w:val="00C6046E"/>
    <w:rsid w:val="00C61086"/>
    <w:rsid w:val="00C61695"/>
    <w:rsid w:val="00C61842"/>
    <w:rsid w:val="00C623E1"/>
    <w:rsid w:val="00C6272C"/>
    <w:rsid w:val="00C63643"/>
    <w:rsid w:val="00C63A93"/>
    <w:rsid w:val="00C63EF8"/>
    <w:rsid w:val="00C64132"/>
    <w:rsid w:val="00C64165"/>
    <w:rsid w:val="00C65BB0"/>
    <w:rsid w:val="00C6678A"/>
    <w:rsid w:val="00C67278"/>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B77DB"/>
    <w:rsid w:val="00CC0449"/>
    <w:rsid w:val="00CC0532"/>
    <w:rsid w:val="00CC0816"/>
    <w:rsid w:val="00CC0D72"/>
    <w:rsid w:val="00CC102F"/>
    <w:rsid w:val="00CC41C1"/>
    <w:rsid w:val="00CC54CE"/>
    <w:rsid w:val="00CC5946"/>
    <w:rsid w:val="00CD0318"/>
    <w:rsid w:val="00CD1E5C"/>
    <w:rsid w:val="00CD1E8A"/>
    <w:rsid w:val="00CD1ED1"/>
    <w:rsid w:val="00CD25DC"/>
    <w:rsid w:val="00CD338F"/>
    <w:rsid w:val="00CD467F"/>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5F5"/>
    <w:rsid w:val="00CF662A"/>
    <w:rsid w:val="00CF6A93"/>
    <w:rsid w:val="00CF729E"/>
    <w:rsid w:val="00D025F9"/>
    <w:rsid w:val="00D02E6E"/>
    <w:rsid w:val="00D0373F"/>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54"/>
    <w:rsid w:val="00D13CA7"/>
    <w:rsid w:val="00D14F44"/>
    <w:rsid w:val="00D15046"/>
    <w:rsid w:val="00D15BBE"/>
    <w:rsid w:val="00D16FB0"/>
    <w:rsid w:val="00D17873"/>
    <w:rsid w:val="00D1787F"/>
    <w:rsid w:val="00D17DFB"/>
    <w:rsid w:val="00D21135"/>
    <w:rsid w:val="00D211FC"/>
    <w:rsid w:val="00D217E5"/>
    <w:rsid w:val="00D21C9C"/>
    <w:rsid w:val="00D22AB7"/>
    <w:rsid w:val="00D22D80"/>
    <w:rsid w:val="00D22E01"/>
    <w:rsid w:val="00D23D2F"/>
    <w:rsid w:val="00D24A87"/>
    <w:rsid w:val="00D2622C"/>
    <w:rsid w:val="00D26C4E"/>
    <w:rsid w:val="00D30CA2"/>
    <w:rsid w:val="00D3210C"/>
    <w:rsid w:val="00D32644"/>
    <w:rsid w:val="00D3330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382"/>
    <w:rsid w:val="00D47238"/>
    <w:rsid w:val="00D4798A"/>
    <w:rsid w:val="00D513BF"/>
    <w:rsid w:val="00D51777"/>
    <w:rsid w:val="00D51C2E"/>
    <w:rsid w:val="00D527C8"/>
    <w:rsid w:val="00D528BA"/>
    <w:rsid w:val="00D52AA2"/>
    <w:rsid w:val="00D52D32"/>
    <w:rsid w:val="00D533CD"/>
    <w:rsid w:val="00D53550"/>
    <w:rsid w:val="00D5447B"/>
    <w:rsid w:val="00D54947"/>
    <w:rsid w:val="00D555F8"/>
    <w:rsid w:val="00D55FB8"/>
    <w:rsid w:val="00D56320"/>
    <w:rsid w:val="00D56680"/>
    <w:rsid w:val="00D57B86"/>
    <w:rsid w:val="00D600E8"/>
    <w:rsid w:val="00D6035E"/>
    <w:rsid w:val="00D61BD6"/>
    <w:rsid w:val="00D61CD2"/>
    <w:rsid w:val="00D61D9D"/>
    <w:rsid w:val="00D62789"/>
    <w:rsid w:val="00D62B9D"/>
    <w:rsid w:val="00D633D0"/>
    <w:rsid w:val="00D64CEB"/>
    <w:rsid w:val="00D64F9A"/>
    <w:rsid w:val="00D659D9"/>
    <w:rsid w:val="00D65ECE"/>
    <w:rsid w:val="00D66211"/>
    <w:rsid w:val="00D67093"/>
    <w:rsid w:val="00D67121"/>
    <w:rsid w:val="00D6743D"/>
    <w:rsid w:val="00D67675"/>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77DAE"/>
    <w:rsid w:val="00D80D1F"/>
    <w:rsid w:val="00D825C4"/>
    <w:rsid w:val="00D829D0"/>
    <w:rsid w:val="00D833A0"/>
    <w:rsid w:val="00D83816"/>
    <w:rsid w:val="00D847FE"/>
    <w:rsid w:val="00D84A37"/>
    <w:rsid w:val="00D84BD7"/>
    <w:rsid w:val="00D851A6"/>
    <w:rsid w:val="00D8527C"/>
    <w:rsid w:val="00D856CE"/>
    <w:rsid w:val="00D87A88"/>
    <w:rsid w:val="00D87DEB"/>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066E"/>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3B37"/>
    <w:rsid w:val="00DE4725"/>
    <w:rsid w:val="00DE48FC"/>
    <w:rsid w:val="00DE585D"/>
    <w:rsid w:val="00DE6120"/>
    <w:rsid w:val="00DF0A71"/>
    <w:rsid w:val="00DF0A99"/>
    <w:rsid w:val="00DF0D52"/>
    <w:rsid w:val="00DF110C"/>
    <w:rsid w:val="00DF127F"/>
    <w:rsid w:val="00DF1803"/>
    <w:rsid w:val="00DF1911"/>
    <w:rsid w:val="00DF22D3"/>
    <w:rsid w:val="00DF2F3E"/>
    <w:rsid w:val="00DF38D0"/>
    <w:rsid w:val="00DF3A72"/>
    <w:rsid w:val="00DF3AB8"/>
    <w:rsid w:val="00DF4036"/>
    <w:rsid w:val="00DF5509"/>
    <w:rsid w:val="00DF5CCE"/>
    <w:rsid w:val="00DF76D0"/>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A8F"/>
    <w:rsid w:val="00E05D3B"/>
    <w:rsid w:val="00E0631C"/>
    <w:rsid w:val="00E06785"/>
    <w:rsid w:val="00E06A8E"/>
    <w:rsid w:val="00E07CBB"/>
    <w:rsid w:val="00E112F2"/>
    <w:rsid w:val="00E11787"/>
    <w:rsid w:val="00E134AB"/>
    <w:rsid w:val="00E1384E"/>
    <w:rsid w:val="00E13883"/>
    <w:rsid w:val="00E142F3"/>
    <w:rsid w:val="00E14AA1"/>
    <w:rsid w:val="00E14AA9"/>
    <w:rsid w:val="00E14AB2"/>
    <w:rsid w:val="00E15105"/>
    <w:rsid w:val="00E153D5"/>
    <w:rsid w:val="00E15637"/>
    <w:rsid w:val="00E15F62"/>
    <w:rsid w:val="00E160E8"/>
    <w:rsid w:val="00E1656D"/>
    <w:rsid w:val="00E16BB4"/>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52F7"/>
    <w:rsid w:val="00E46892"/>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1C2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C3D"/>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97D"/>
    <w:rsid w:val="00EA4BEB"/>
    <w:rsid w:val="00EA4F04"/>
    <w:rsid w:val="00EA5116"/>
    <w:rsid w:val="00EA5147"/>
    <w:rsid w:val="00EA5C4B"/>
    <w:rsid w:val="00EA6037"/>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599E"/>
    <w:rsid w:val="00EB5B70"/>
    <w:rsid w:val="00EB688D"/>
    <w:rsid w:val="00EB7006"/>
    <w:rsid w:val="00EB70AB"/>
    <w:rsid w:val="00EB765D"/>
    <w:rsid w:val="00EC0B72"/>
    <w:rsid w:val="00EC1578"/>
    <w:rsid w:val="00EC1764"/>
    <w:rsid w:val="00EC1E5F"/>
    <w:rsid w:val="00EC21A3"/>
    <w:rsid w:val="00EC21F1"/>
    <w:rsid w:val="00EC25BD"/>
    <w:rsid w:val="00EC3C51"/>
    <w:rsid w:val="00EC4BC9"/>
    <w:rsid w:val="00EC5C3C"/>
    <w:rsid w:val="00EC602F"/>
    <w:rsid w:val="00EC6341"/>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403"/>
    <w:rsid w:val="00EE27A4"/>
    <w:rsid w:val="00EE2BD8"/>
    <w:rsid w:val="00EE335E"/>
    <w:rsid w:val="00EE43F0"/>
    <w:rsid w:val="00EE5447"/>
    <w:rsid w:val="00EE5D60"/>
    <w:rsid w:val="00EE67EC"/>
    <w:rsid w:val="00EF07C6"/>
    <w:rsid w:val="00EF0ABF"/>
    <w:rsid w:val="00EF2C4C"/>
    <w:rsid w:val="00EF40B5"/>
    <w:rsid w:val="00EF4C2F"/>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1D4B"/>
    <w:rsid w:val="00F13284"/>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71B"/>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455"/>
    <w:rsid w:val="00F35BFC"/>
    <w:rsid w:val="00F404BE"/>
    <w:rsid w:val="00F41C05"/>
    <w:rsid w:val="00F41C75"/>
    <w:rsid w:val="00F42583"/>
    <w:rsid w:val="00F4266D"/>
    <w:rsid w:val="00F44389"/>
    <w:rsid w:val="00F44D08"/>
    <w:rsid w:val="00F455A5"/>
    <w:rsid w:val="00F4564C"/>
    <w:rsid w:val="00F456EB"/>
    <w:rsid w:val="00F45B07"/>
    <w:rsid w:val="00F46178"/>
    <w:rsid w:val="00F46581"/>
    <w:rsid w:val="00F473D4"/>
    <w:rsid w:val="00F479C7"/>
    <w:rsid w:val="00F50863"/>
    <w:rsid w:val="00F50EA8"/>
    <w:rsid w:val="00F52B4D"/>
    <w:rsid w:val="00F52C93"/>
    <w:rsid w:val="00F52D25"/>
    <w:rsid w:val="00F5312A"/>
    <w:rsid w:val="00F5336B"/>
    <w:rsid w:val="00F5375B"/>
    <w:rsid w:val="00F53A73"/>
    <w:rsid w:val="00F54BAA"/>
    <w:rsid w:val="00F54D88"/>
    <w:rsid w:val="00F54DCB"/>
    <w:rsid w:val="00F54E57"/>
    <w:rsid w:val="00F5509E"/>
    <w:rsid w:val="00F55A19"/>
    <w:rsid w:val="00F57AA8"/>
    <w:rsid w:val="00F57DAE"/>
    <w:rsid w:val="00F6038B"/>
    <w:rsid w:val="00F606DC"/>
    <w:rsid w:val="00F60811"/>
    <w:rsid w:val="00F60B44"/>
    <w:rsid w:val="00F6115E"/>
    <w:rsid w:val="00F6205F"/>
    <w:rsid w:val="00F621C1"/>
    <w:rsid w:val="00F6241F"/>
    <w:rsid w:val="00F64C25"/>
    <w:rsid w:val="00F65016"/>
    <w:rsid w:val="00F65776"/>
    <w:rsid w:val="00F65C35"/>
    <w:rsid w:val="00F65DA4"/>
    <w:rsid w:val="00F66ECC"/>
    <w:rsid w:val="00F66F13"/>
    <w:rsid w:val="00F67962"/>
    <w:rsid w:val="00F71289"/>
    <w:rsid w:val="00F7190B"/>
    <w:rsid w:val="00F71BB3"/>
    <w:rsid w:val="00F71F37"/>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149"/>
    <w:rsid w:val="00FF6316"/>
    <w:rsid w:val="014E7962"/>
    <w:rsid w:val="01514187"/>
    <w:rsid w:val="016C2437"/>
    <w:rsid w:val="017E0F8F"/>
    <w:rsid w:val="028712D5"/>
    <w:rsid w:val="033A0CA2"/>
    <w:rsid w:val="035B3E9E"/>
    <w:rsid w:val="04471946"/>
    <w:rsid w:val="05051CC3"/>
    <w:rsid w:val="053F02B8"/>
    <w:rsid w:val="06616ACA"/>
    <w:rsid w:val="07261A30"/>
    <w:rsid w:val="081410B1"/>
    <w:rsid w:val="0AC55483"/>
    <w:rsid w:val="0B690167"/>
    <w:rsid w:val="0C5E56D6"/>
    <w:rsid w:val="0CC5464B"/>
    <w:rsid w:val="0CCC23A9"/>
    <w:rsid w:val="0EAE0943"/>
    <w:rsid w:val="0F4B2B4D"/>
    <w:rsid w:val="0F6F6DD1"/>
    <w:rsid w:val="10C23733"/>
    <w:rsid w:val="11244A2B"/>
    <w:rsid w:val="1285670B"/>
    <w:rsid w:val="12C86806"/>
    <w:rsid w:val="13A96C14"/>
    <w:rsid w:val="150E7772"/>
    <w:rsid w:val="15F277DC"/>
    <w:rsid w:val="16331689"/>
    <w:rsid w:val="17C13123"/>
    <w:rsid w:val="182432B7"/>
    <w:rsid w:val="1A0533DA"/>
    <w:rsid w:val="1AF3088C"/>
    <w:rsid w:val="1CA21B40"/>
    <w:rsid w:val="1D465F0D"/>
    <w:rsid w:val="1D763357"/>
    <w:rsid w:val="21BF5E1C"/>
    <w:rsid w:val="22755CB1"/>
    <w:rsid w:val="22A47DC8"/>
    <w:rsid w:val="23054EC7"/>
    <w:rsid w:val="23E0469F"/>
    <w:rsid w:val="245852A4"/>
    <w:rsid w:val="25C71D10"/>
    <w:rsid w:val="267963F4"/>
    <w:rsid w:val="2767305B"/>
    <w:rsid w:val="2A3E41A3"/>
    <w:rsid w:val="2AE942BA"/>
    <w:rsid w:val="2BA6603E"/>
    <w:rsid w:val="2C8F11EF"/>
    <w:rsid w:val="2E47327D"/>
    <w:rsid w:val="2E655A7C"/>
    <w:rsid w:val="2FC670D0"/>
    <w:rsid w:val="306D7D06"/>
    <w:rsid w:val="30763817"/>
    <w:rsid w:val="31FC1DC3"/>
    <w:rsid w:val="3396610A"/>
    <w:rsid w:val="34A878CD"/>
    <w:rsid w:val="34A91EEC"/>
    <w:rsid w:val="34AB37A9"/>
    <w:rsid w:val="3627392A"/>
    <w:rsid w:val="377E301C"/>
    <w:rsid w:val="37990A3A"/>
    <w:rsid w:val="37FA2039"/>
    <w:rsid w:val="389D66FD"/>
    <w:rsid w:val="39295A66"/>
    <w:rsid w:val="398748EE"/>
    <w:rsid w:val="3A825C89"/>
    <w:rsid w:val="3C77570A"/>
    <w:rsid w:val="3C8F6A0B"/>
    <w:rsid w:val="3CE653AB"/>
    <w:rsid w:val="3D2F6469"/>
    <w:rsid w:val="3DC706E3"/>
    <w:rsid w:val="3F332665"/>
    <w:rsid w:val="40A86806"/>
    <w:rsid w:val="40FA7243"/>
    <w:rsid w:val="41841F1D"/>
    <w:rsid w:val="42A73C6B"/>
    <w:rsid w:val="42BA0D29"/>
    <w:rsid w:val="42D4149E"/>
    <w:rsid w:val="42D73B70"/>
    <w:rsid w:val="42D93F30"/>
    <w:rsid w:val="43A3448B"/>
    <w:rsid w:val="45077A99"/>
    <w:rsid w:val="477977E0"/>
    <w:rsid w:val="491614F0"/>
    <w:rsid w:val="49320F2A"/>
    <w:rsid w:val="4A1D1DCA"/>
    <w:rsid w:val="4A3E4501"/>
    <w:rsid w:val="4B266879"/>
    <w:rsid w:val="4D9862E0"/>
    <w:rsid w:val="4F642D81"/>
    <w:rsid w:val="5145170B"/>
    <w:rsid w:val="515C25B1"/>
    <w:rsid w:val="529A4A75"/>
    <w:rsid w:val="565274AA"/>
    <w:rsid w:val="5699137B"/>
    <w:rsid w:val="58105EE1"/>
    <w:rsid w:val="58374717"/>
    <w:rsid w:val="584C0B1E"/>
    <w:rsid w:val="59C81713"/>
    <w:rsid w:val="59E323D2"/>
    <w:rsid w:val="5AE525E7"/>
    <w:rsid w:val="5B2023A3"/>
    <w:rsid w:val="5B4B6238"/>
    <w:rsid w:val="5C7F4F8B"/>
    <w:rsid w:val="5D072F6F"/>
    <w:rsid w:val="5E543FD8"/>
    <w:rsid w:val="5E9D6BAF"/>
    <w:rsid w:val="5EFA3CDA"/>
    <w:rsid w:val="5F430340"/>
    <w:rsid w:val="5F61344B"/>
    <w:rsid w:val="5FC77324"/>
    <w:rsid w:val="607F79B4"/>
    <w:rsid w:val="61D45802"/>
    <w:rsid w:val="633C10ED"/>
    <w:rsid w:val="63673794"/>
    <w:rsid w:val="63B43289"/>
    <w:rsid w:val="646B52FC"/>
    <w:rsid w:val="64AF69A8"/>
    <w:rsid w:val="64FF1BE4"/>
    <w:rsid w:val="65896AC8"/>
    <w:rsid w:val="66255398"/>
    <w:rsid w:val="66561A8B"/>
    <w:rsid w:val="66C52516"/>
    <w:rsid w:val="67430B67"/>
    <w:rsid w:val="67CA20CA"/>
    <w:rsid w:val="67D24BE9"/>
    <w:rsid w:val="68536D0B"/>
    <w:rsid w:val="68CE6324"/>
    <w:rsid w:val="6A590829"/>
    <w:rsid w:val="6ABE7BD5"/>
    <w:rsid w:val="6BF82701"/>
    <w:rsid w:val="6C814056"/>
    <w:rsid w:val="6D925A18"/>
    <w:rsid w:val="6E720E71"/>
    <w:rsid w:val="6EA3305A"/>
    <w:rsid w:val="6F65226E"/>
    <w:rsid w:val="6F997C61"/>
    <w:rsid w:val="705C694C"/>
    <w:rsid w:val="7127573C"/>
    <w:rsid w:val="718C08D5"/>
    <w:rsid w:val="71C17A7E"/>
    <w:rsid w:val="72294715"/>
    <w:rsid w:val="72412925"/>
    <w:rsid w:val="7255257F"/>
    <w:rsid w:val="725F01C6"/>
    <w:rsid w:val="72BE527A"/>
    <w:rsid w:val="73220EEB"/>
    <w:rsid w:val="738618A4"/>
    <w:rsid w:val="7464511F"/>
    <w:rsid w:val="74E86204"/>
    <w:rsid w:val="756F0759"/>
    <w:rsid w:val="78F73E4B"/>
    <w:rsid w:val="794568AB"/>
    <w:rsid w:val="799D4017"/>
    <w:rsid w:val="79E27812"/>
    <w:rsid w:val="79F53215"/>
    <w:rsid w:val="7A011998"/>
    <w:rsid w:val="7D1E3EB3"/>
    <w:rsid w:val="7D2D740B"/>
    <w:rsid w:val="7E424A63"/>
    <w:rsid w:val="7E7512FD"/>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9"/>
    <w:qFormat/>
    <w:uiPriority w:val="99"/>
    <w:pPr>
      <w:keepNext/>
      <w:adjustRightInd w:val="0"/>
      <w:snapToGrid w:val="0"/>
      <w:spacing w:line="312" w:lineRule="auto"/>
      <w:outlineLvl w:val="0"/>
    </w:pPr>
    <w:rPr>
      <w:rFonts w:ascii="仿宋_GB2312" w:eastAsia="仿宋_GB2312"/>
      <w:b/>
      <w:bCs/>
    </w:rPr>
  </w:style>
  <w:style w:type="paragraph" w:styleId="5">
    <w:name w:val="heading 2"/>
    <w:basedOn w:val="1"/>
    <w:next w:val="1"/>
    <w:link w:val="567"/>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187"/>
    <w:qFormat/>
    <w:uiPriority w:val="0"/>
    <w:pPr>
      <w:keepNext/>
      <w:keepLines/>
      <w:spacing w:before="260" w:after="260" w:line="413" w:lineRule="auto"/>
      <w:outlineLvl w:val="2"/>
    </w:pPr>
    <w:rPr>
      <w:b/>
      <w:bCs/>
      <w:sz w:val="32"/>
      <w:szCs w:val="32"/>
    </w:rPr>
  </w:style>
  <w:style w:type="paragraph" w:styleId="7">
    <w:name w:val="heading 4"/>
    <w:basedOn w:val="1"/>
    <w:next w:val="1"/>
    <w:link w:val="1447"/>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1360"/>
    <w:qFormat/>
    <w:uiPriority w:val="0"/>
    <w:pPr>
      <w:keepNext/>
      <w:outlineLvl w:val="4"/>
    </w:pPr>
    <w:rPr>
      <w:rFonts w:ascii="楷体_GB2312" w:eastAsia="楷体_GB2312"/>
      <w:bCs/>
      <w:sz w:val="28"/>
      <w:szCs w:val="20"/>
    </w:rPr>
  </w:style>
  <w:style w:type="paragraph" w:styleId="9">
    <w:name w:val="heading 6"/>
    <w:basedOn w:val="1"/>
    <w:next w:val="1"/>
    <w:link w:val="562"/>
    <w:qFormat/>
    <w:uiPriority w:val="0"/>
    <w:pPr>
      <w:keepNext/>
      <w:keepLines/>
      <w:widowControl/>
      <w:spacing w:before="240" w:after="64" w:line="317" w:lineRule="auto"/>
      <w:jc w:val="left"/>
      <w:outlineLvl w:val="5"/>
    </w:pPr>
    <w:rPr>
      <w:rFonts w:ascii="Cambria" w:hAnsi="Cambria"/>
      <w:b/>
      <w:bCs/>
      <w:kern w:val="0"/>
      <w:sz w:val="28"/>
      <w:lang w:val="fr-FR" w:eastAsia="fr-FR"/>
    </w:rPr>
  </w:style>
  <w:style w:type="paragraph" w:styleId="10">
    <w:name w:val="heading 7"/>
    <w:basedOn w:val="1"/>
    <w:next w:val="1"/>
    <w:link w:val="843"/>
    <w:qFormat/>
    <w:uiPriority w:val="0"/>
    <w:pPr>
      <w:keepNext/>
      <w:tabs>
        <w:tab w:val="left" w:pos="360"/>
      </w:tabs>
      <w:ind w:left="360" w:hanging="360"/>
      <w:outlineLvl w:val="6"/>
    </w:pPr>
    <w:rPr>
      <w:rFonts w:ascii="楷体_GB2312" w:eastAsia="楷体_GB2312"/>
      <w:bCs/>
      <w:color w:val="FF0000"/>
      <w:sz w:val="28"/>
    </w:rPr>
  </w:style>
  <w:style w:type="paragraph" w:styleId="11">
    <w:name w:val="heading 8"/>
    <w:basedOn w:val="1"/>
    <w:next w:val="1"/>
    <w:link w:val="1071"/>
    <w:qFormat/>
    <w:uiPriority w:val="0"/>
    <w:pPr>
      <w:keepNext/>
      <w:keepLines/>
      <w:widowControl/>
      <w:spacing w:before="240" w:after="64" w:line="317" w:lineRule="auto"/>
      <w:jc w:val="left"/>
      <w:outlineLvl w:val="7"/>
    </w:pPr>
    <w:rPr>
      <w:rFonts w:ascii="Cambria" w:hAnsi="Cambria"/>
      <w:kern w:val="0"/>
      <w:sz w:val="28"/>
      <w:lang w:val="fr-FR" w:eastAsia="fr-FR"/>
    </w:rPr>
  </w:style>
  <w:style w:type="paragraph" w:styleId="12">
    <w:name w:val="heading 9"/>
    <w:basedOn w:val="1"/>
    <w:next w:val="1"/>
    <w:link w:val="1406"/>
    <w:qFormat/>
    <w:uiPriority w:val="0"/>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3">
    <w:name w:val="List 3"/>
    <w:basedOn w:val="1"/>
    <w:qFormat/>
    <w:uiPriority w:val="0"/>
    <w:pPr>
      <w:ind w:left="600" w:leftChars="400" w:hanging="200" w:hangingChars="200"/>
    </w:pPr>
  </w:style>
  <w:style w:type="paragraph" w:styleId="14">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5">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6">
    <w:name w:val="table of authorities"/>
    <w:basedOn w:val="1"/>
    <w:next w:val="1"/>
    <w:qFormat/>
    <w:uiPriority w:val="0"/>
    <w:pPr>
      <w:ind w:left="420" w:leftChars="200"/>
    </w:pPr>
    <w:rPr>
      <w:rFonts w:eastAsia="方正楷体简体"/>
      <w:sz w:val="28"/>
      <w:szCs w:val="20"/>
    </w:rPr>
  </w:style>
  <w:style w:type="paragraph" w:styleId="17">
    <w:name w:val="Note Heading"/>
    <w:basedOn w:val="1"/>
    <w:next w:val="1"/>
    <w:link w:val="1584"/>
    <w:qFormat/>
    <w:uiPriority w:val="0"/>
    <w:pPr>
      <w:jc w:val="center"/>
    </w:pPr>
    <w:rPr>
      <w:rFonts w:ascii="金梅簡體中黑字形" w:hAnsi="Arial" w:eastAsia="金梅簡體中黑字形"/>
      <w:kern w:val="0"/>
      <w:sz w:val="24"/>
    </w:rPr>
  </w:style>
  <w:style w:type="paragraph" w:styleId="18">
    <w:name w:val="List Bullet 4"/>
    <w:basedOn w:val="1"/>
    <w:qFormat/>
    <w:uiPriority w:val="0"/>
    <w:pPr>
      <w:tabs>
        <w:tab w:val="left" w:pos="1620"/>
      </w:tabs>
      <w:ind w:left="1620" w:leftChars="600" w:hanging="360" w:hangingChars="200"/>
    </w:pPr>
  </w:style>
  <w:style w:type="paragraph" w:styleId="19">
    <w:name w:val="index 8"/>
    <w:basedOn w:val="1"/>
    <w:next w:val="1"/>
    <w:qFormat/>
    <w:uiPriority w:val="0"/>
    <w:pPr>
      <w:adjustRightInd w:val="0"/>
      <w:spacing w:line="360" w:lineRule="auto"/>
      <w:ind w:left="1920" w:hanging="240"/>
      <w:jc w:val="left"/>
      <w:textAlignment w:val="baseline"/>
    </w:pPr>
    <w:rPr>
      <w:sz w:val="20"/>
      <w:szCs w:val="20"/>
    </w:rPr>
  </w:style>
  <w:style w:type="paragraph" w:styleId="20">
    <w:name w:val="E-mail Signature"/>
    <w:basedOn w:val="1"/>
    <w:link w:val="705"/>
    <w:qFormat/>
    <w:uiPriority w:val="0"/>
    <w:pPr>
      <w:jc w:val="left"/>
    </w:pPr>
    <w:rPr>
      <w:rFonts w:ascii="DFKai-SB" w:eastAsia="DFKai-SB"/>
      <w:kern w:val="0"/>
      <w:sz w:val="28"/>
    </w:rPr>
  </w:style>
  <w:style w:type="paragraph" w:styleId="21">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2">
    <w:name w:val="Normal Indent"/>
    <w:basedOn w:val="1"/>
    <w:link w:val="534"/>
    <w:qFormat/>
    <w:uiPriority w:val="0"/>
    <w:pPr>
      <w:widowControl/>
      <w:ind w:firstLine="420"/>
      <w:jc w:val="left"/>
    </w:pPr>
    <w:rPr>
      <w:rFonts w:eastAsia="楷体_GB2312"/>
      <w:kern w:val="0"/>
      <w:sz w:val="24"/>
      <w:szCs w:val="20"/>
    </w:rPr>
  </w:style>
  <w:style w:type="paragraph" w:styleId="23">
    <w:name w:val="caption"/>
    <w:basedOn w:val="1"/>
    <w:next w:val="1"/>
    <w:link w:val="369"/>
    <w:qFormat/>
    <w:uiPriority w:val="0"/>
    <w:rPr>
      <w:rFonts w:ascii="Arial" w:hAnsi="Arial" w:eastAsia="黑体"/>
      <w:sz w:val="20"/>
      <w:szCs w:val="20"/>
    </w:rPr>
  </w:style>
  <w:style w:type="paragraph" w:styleId="24">
    <w:name w:val="index 5"/>
    <w:basedOn w:val="1"/>
    <w:next w:val="1"/>
    <w:qFormat/>
    <w:uiPriority w:val="0"/>
    <w:pPr>
      <w:adjustRightInd w:val="0"/>
      <w:spacing w:line="360" w:lineRule="auto"/>
      <w:ind w:left="1200" w:hanging="240"/>
      <w:jc w:val="left"/>
      <w:textAlignment w:val="baseline"/>
    </w:pPr>
    <w:rPr>
      <w:sz w:val="20"/>
      <w:szCs w:val="20"/>
    </w:rPr>
  </w:style>
  <w:style w:type="paragraph" w:styleId="25">
    <w:name w:val="List Bullet"/>
    <w:basedOn w:val="1"/>
    <w:qFormat/>
    <w:uiPriority w:val="0"/>
    <w:pPr>
      <w:tabs>
        <w:tab w:val="left" w:pos="360"/>
        <w:tab w:val="left" w:pos="1104"/>
      </w:tabs>
      <w:ind w:left="1104" w:hanging="696"/>
    </w:pPr>
    <w:rPr>
      <w:szCs w:val="20"/>
    </w:rPr>
  </w:style>
  <w:style w:type="paragraph" w:styleId="26">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7">
    <w:name w:val="Document Map"/>
    <w:basedOn w:val="1"/>
    <w:link w:val="245"/>
    <w:qFormat/>
    <w:uiPriority w:val="0"/>
    <w:pPr>
      <w:shd w:val="clear" w:color="auto" w:fill="000080"/>
    </w:pPr>
    <w:rPr>
      <w:szCs w:val="20"/>
    </w:rPr>
  </w:style>
  <w:style w:type="paragraph" w:styleId="28">
    <w:name w:val="toa heading"/>
    <w:basedOn w:val="1"/>
    <w:next w:val="1"/>
    <w:qFormat/>
    <w:uiPriority w:val="0"/>
    <w:pPr>
      <w:spacing w:before="120"/>
    </w:pPr>
    <w:rPr>
      <w:rFonts w:ascii="Arial" w:hAnsi="Arial" w:eastAsia="方正楷体简体"/>
      <w:b/>
      <w:bCs/>
      <w:sz w:val="28"/>
    </w:rPr>
  </w:style>
  <w:style w:type="paragraph" w:styleId="29">
    <w:name w:val="annotation text"/>
    <w:basedOn w:val="1"/>
    <w:link w:val="1245"/>
    <w:qFormat/>
    <w:uiPriority w:val="99"/>
    <w:pPr>
      <w:widowControl/>
      <w:spacing w:before="120"/>
      <w:jc w:val="left"/>
    </w:pPr>
    <w:rPr>
      <w:kern w:val="0"/>
      <w:sz w:val="20"/>
      <w:szCs w:val="20"/>
      <w:lang w:eastAsia="en-US"/>
    </w:rPr>
  </w:style>
  <w:style w:type="paragraph" w:styleId="30">
    <w:name w:val="index 6"/>
    <w:basedOn w:val="1"/>
    <w:next w:val="1"/>
    <w:qFormat/>
    <w:uiPriority w:val="0"/>
    <w:pPr>
      <w:adjustRightInd w:val="0"/>
      <w:spacing w:line="360" w:lineRule="auto"/>
      <w:ind w:left="1440" w:hanging="240"/>
      <w:jc w:val="left"/>
      <w:textAlignment w:val="baseline"/>
    </w:pPr>
    <w:rPr>
      <w:sz w:val="20"/>
      <w:szCs w:val="20"/>
    </w:rPr>
  </w:style>
  <w:style w:type="paragraph" w:styleId="31">
    <w:name w:val="Salutation"/>
    <w:basedOn w:val="1"/>
    <w:next w:val="1"/>
    <w:link w:val="1274"/>
    <w:qFormat/>
    <w:uiPriority w:val="0"/>
    <w:rPr>
      <w:sz w:val="28"/>
    </w:rPr>
  </w:style>
  <w:style w:type="paragraph" w:styleId="32">
    <w:name w:val="Body Text 3"/>
    <w:basedOn w:val="1"/>
    <w:link w:val="1064"/>
    <w:qFormat/>
    <w:uiPriority w:val="0"/>
    <w:rPr>
      <w:rFonts w:ascii="仿宋_GB2312" w:eastAsia="仿宋_GB2312"/>
      <w:sz w:val="24"/>
    </w:rPr>
  </w:style>
  <w:style w:type="paragraph" w:styleId="33">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4">
    <w:name w:val="List Bullet 3"/>
    <w:basedOn w:val="1"/>
    <w:qFormat/>
    <w:uiPriority w:val="0"/>
    <w:pPr>
      <w:tabs>
        <w:tab w:val="left" w:pos="780"/>
        <w:tab w:val="left" w:pos="1200"/>
      </w:tabs>
      <w:ind w:left="1020" w:hanging="1020"/>
      <w:jc w:val="left"/>
    </w:pPr>
    <w:rPr>
      <w:rFonts w:ascii="宋体" w:hAnsi="宋体"/>
    </w:rPr>
  </w:style>
  <w:style w:type="paragraph" w:styleId="35">
    <w:name w:val="Body Text"/>
    <w:basedOn w:val="1"/>
    <w:link w:val="1383"/>
    <w:qFormat/>
    <w:uiPriority w:val="0"/>
    <w:pPr>
      <w:spacing w:line="360" w:lineRule="auto"/>
    </w:pPr>
    <w:rPr>
      <w:rFonts w:ascii="楷体_GB2312" w:eastAsia="楷体_GB2312"/>
      <w:bCs/>
      <w:sz w:val="28"/>
    </w:rPr>
  </w:style>
  <w:style w:type="paragraph" w:styleId="36">
    <w:name w:val="Body Text Indent"/>
    <w:basedOn w:val="1"/>
    <w:link w:val="1066"/>
    <w:qFormat/>
    <w:uiPriority w:val="0"/>
    <w:pPr>
      <w:ind w:firstLine="420" w:firstLineChars="200"/>
    </w:pPr>
    <w:rPr>
      <w:rFonts w:ascii="宋体" w:hAnsi="宋体"/>
    </w:rPr>
  </w:style>
  <w:style w:type="paragraph" w:styleId="37">
    <w:name w:val="List Number 3"/>
    <w:basedOn w:val="1"/>
    <w:qFormat/>
    <w:uiPriority w:val="0"/>
    <w:pPr>
      <w:tabs>
        <w:tab w:val="left" w:pos="360"/>
        <w:tab w:val="left" w:pos="450"/>
        <w:tab w:val="left" w:pos="1200"/>
      </w:tabs>
      <w:ind w:left="450" w:hanging="450"/>
      <w:jc w:val="left"/>
    </w:pPr>
    <w:rPr>
      <w:rFonts w:ascii="宋体" w:hAnsi="宋体"/>
    </w:rPr>
  </w:style>
  <w:style w:type="paragraph" w:styleId="38">
    <w:name w:val="List 2"/>
    <w:basedOn w:val="1"/>
    <w:qFormat/>
    <w:uiPriority w:val="0"/>
    <w:pPr>
      <w:ind w:left="100" w:leftChars="200" w:hanging="200" w:hangingChars="200"/>
      <w:jc w:val="left"/>
    </w:pPr>
    <w:rPr>
      <w:rFonts w:ascii="宋体" w:hAnsi="宋体"/>
    </w:rPr>
  </w:style>
  <w:style w:type="paragraph" w:styleId="39">
    <w:name w:val="List Continue"/>
    <w:basedOn w:val="1"/>
    <w:qFormat/>
    <w:uiPriority w:val="0"/>
    <w:pPr>
      <w:spacing w:after="120"/>
      <w:ind w:left="420"/>
      <w:jc w:val="left"/>
    </w:pPr>
    <w:rPr>
      <w:rFonts w:ascii="宋体" w:hAnsi="宋体"/>
    </w:r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0"/>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0"/>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0"/>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0"/>
    <w:rPr>
      <w:sz w:val="18"/>
      <w:szCs w:val="18"/>
    </w:rPr>
  </w:style>
  <w:style w:type="paragraph" w:styleId="55">
    <w:name w:val="footer"/>
    <w:basedOn w:val="1"/>
    <w:link w:val="838"/>
    <w:qFormat/>
    <w:uiPriority w:val="99"/>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99"/>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0"/>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99"/>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0"/>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99"/>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9"/>
    <w:next w:val="29"/>
    <w:link w:val="1223"/>
    <w:qFormat/>
    <w:uiPriority w:val="0"/>
    <w:pPr>
      <w:widowControl w:val="0"/>
      <w:spacing w:before="0"/>
    </w:pPr>
    <w:rPr>
      <w:b/>
      <w:bCs/>
      <w:kern w:val="2"/>
      <w:sz w:val="21"/>
      <w:lang w:eastAsia="zh-CN"/>
    </w:rPr>
  </w:style>
  <w:style w:type="paragraph" w:styleId="86">
    <w:name w:val="Body Text First Indent"/>
    <w:basedOn w:val="35"/>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6"/>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0"/>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99"/>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2"/>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qFormat/>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6"/>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6"/>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9"/>
    <w:next w:val="29"/>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FZKai-Z03S" w:eastAsia="FZKai-Z03S"/>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FZKai-Z03S" w:eastAsia="FZKai-Z03S"/>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6"/>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4"/>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0"/>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9"/>
    <w:next w:val="29"/>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5"/>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7"/>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4"/>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3"/>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7"/>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0"/>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5"/>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2"/>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0"/>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FZKai-Z03S" w:hAnsi="DFKai-SB" w:eastAsia="FZKai-Z03S"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FZKai-Z03S" w:hAnsi="DFKai-SB" w:eastAsia="FZKai-Z03S"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0"/>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1"/>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6"/>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3"/>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8"/>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0"/>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7"/>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0"/>
    <w:rPr>
      <w:rFonts w:ascii="楷体_GB2312" w:eastAsia="楷体_GB2312"/>
      <w:bCs/>
      <w:kern w:val="2"/>
      <w:sz w:val="28"/>
      <w:szCs w:val="24"/>
      <w:lang w:val="en-US" w:eastAsia="zh-CN" w:bidi="ar-SA"/>
    </w:rPr>
  </w:style>
  <w:style w:type="paragraph" w:customStyle="1" w:styleId="390">
    <w:name w:val="正文首行缩进11"/>
    <w:basedOn w:val="35"/>
    <w:link w:val="388"/>
    <w:qFormat/>
    <w:uiPriority w:val="0"/>
    <w:pPr>
      <w:spacing w:after="120" w:line="240" w:lineRule="auto"/>
      <w:ind w:firstLine="420" w:firstLineChars="100"/>
    </w:pPr>
  </w:style>
  <w:style w:type="character" w:customStyle="1" w:styleId="391">
    <w:name w:val="第二級 字元"/>
    <w:link w:val="392"/>
    <w:qFormat/>
    <w:uiPriority w:val="0"/>
    <w:rPr>
      <w:rFonts w:ascii="FZKai-Z03S" w:eastAsia="FZKai-Z03S"/>
      <w:b/>
      <w:kern w:val="2"/>
      <w:sz w:val="28"/>
      <w:szCs w:val="28"/>
      <w:lang w:val="en-US" w:eastAsia="zh-CN" w:bidi="ar-SA"/>
    </w:rPr>
  </w:style>
  <w:style w:type="paragraph" w:customStyle="1" w:styleId="392">
    <w:name w:val="第二級"/>
    <w:basedOn w:val="1"/>
    <w:link w:val="391"/>
    <w:qFormat/>
    <w:uiPriority w:val="0"/>
    <w:rPr>
      <w:rFonts w:ascii="FZKai-Z03S" w:eastAsia="FZKai-Z03S"/>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0"/>
    <w:rPr>
      <w:rFonts w:ascii="楷体_GB2312" w:eastAsia="楷体_GB2312"/>
      <w:bCs/>
      <w:kern w:val="2"/>
      <w:sz w:val="28"/>
      <w:szCs w:val="24"/>
      <w:lang w:val="en-US" w:eastAsia="zh-CN" w:bidi="ar-SA"/>
    </w:rPr>
  </w:style>
  <w:style w:type="character" w:customStyle="1" w:styleId="402">
    <w:name w:val="批注主题 Char"/>
    <w:qFormat/>
    <w:uiPriority w:val="99"/>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4"/>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1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6"/>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0"/>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FZKai-Z03S"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99"/>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99"/>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FZKai-Z03S" w:hAnsi="DFKai-SB" w:eastAsia="FZKai-Z03S"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34"/>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4"/>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0"/>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3"/>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6"/>
    <w:next w:val="6"/>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5"/>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5"/>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0"/>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2"/>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8"/>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2"/>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9"/>
    <w:qFormat/>
    <w:uiPriority w:val="0"/>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明显强调2"/>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5"/>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不明显强调1"/>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 w:val="left" w:pos="1701"/>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4"/>
    <w:qFormat/>
    <w:uiPriority w:val="9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6"/>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5"/>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2"/>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3"/>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99"/>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0"/>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1"/>
    <w:rPr>
      <w:rFonts w:ascii="Calibri" w:hAnsi="Calibri"/>
      <w:kern w:val="2"/>
      <w:sz w:val="21"/>
      <w:szCs w:val="21"/>
    </w:rPr>
  </w:style>
  <w:style w:type="paragraph" w:styleId="658">
    <w:name w:val="No Spacing"/>
    <w:link w:val="657"/>
    <w:qFormat/>
    <w:uiPriority w:val="1"/>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99"/>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8"/>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2"/>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5"/>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99"/>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20"/>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7"/>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5"/>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5"/>
    <w:next w:val="6"/>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5"/>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8"/>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4"/>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5"/>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9"/>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0"/>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6"/>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99"/>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10"/>
    <w:qFormat/>
    <w:uiPriority w:val="0"/>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z-窗体顶端1"/>
    <w:basedOn w:val="1"/>
    <w:next w:val="1"/>
    <w:link w:val="844"/>
    <w:qFormat/>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6"/>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5"/>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1"/>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7"/>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4"/>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2"/>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1"/>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0"/>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5"/>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6"/>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5"/>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4"/>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5"/>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99"/>
    <w:rPr>
      <w:sz w:val="18"/>
    </w:rPr>
  </w:style>
  <w:style w:type="character" w:customStyle="1" w:styleId="1010">
    <w:name w:val="List Paragraph Char"/>
    <w:link w:val="1011"/>
    <w:qFormat/>
    <w:uiPriority w:val="0"/>
    <w:rPr>
      <w:rFonts w:eastAsia="宋体"/>
      <w:kern w:val="2"/>
      <w:sz w:val="21"/>
      <w:lang w:val="en-US" w:eastAsia="zh-CN" w:bidi="ar-SA"/>
    </w:rPr>
  </w:style>
  <w:style w:type="paragraph" w:customStyle="1" w:styleId="1011">
    <w:name w:val="列出段落1"/>
    <w:basedOn w:val="1"/>
    <w:link w:val="1010"/>
    <w:qFormat/>
    <w:uiPriority w:val="34"/>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5"/>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8"/>
    <w:next w:val="8"/>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3"/>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2"/>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
    <w:link w:val="36"/>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1"/>
    <w:qFormat/>
    <w:uiPriority w:val="0"/>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5"/>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4"/>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FZKai-Z03S" w:eastAsia="FZKai-Z03S"/>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2"/>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不明显参考1"/>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0"/>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3"/>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3"/>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0"/>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9"/>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8"/>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5"/>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0"/>
    <w:rPr>
      <w:rFonts w:ascii="楷体_GB2312" w:eastAsia="楷体_GB2312"/>
      <w:bCs/>
      <w:color w:val="FF0000"/>
      <w:kern w:val="2"/>
      <w:sz w:val="28"/>
      <w:lang w:val="en-US" w:eastAsia="zh-CN" w:bidi="ar-SA"/>
    </w:rPr>
  </w:style>
  <w:style w:type="character" w:customStyle="1" w:styleId="1157">
    <w:name w:val="页脚 Char"/>
    <w:qFormat/>
    <w:uiPriority w:val="99"/>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0"/>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7"/>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书籍标题1"/>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0"/>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7"/>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99"/>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6"/>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9"/>
    <w:qFormat/>
    <w:uiPriority w:val="99"/>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6"/>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6"/>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1"/>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99"/>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6"/>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0"/>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6"/>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0"/>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8"/>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1"/>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5"/>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5"/>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6"/>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0"/>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8"/>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2"/>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7"/>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0"/>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7"/>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0"/>
    <w:rPr>
      <w:rFonts w:ascii="楷体_GB2312" w:eastAsia="楷体_GB2312"/>
      <w:bCs/>
      <w:kern w:val="2"/>
      <w:sz w:val="28"/>
      <w:szCs w:val="24"/>
      <w:lang w:val="en-US" w:eastAsia="zh-CN" w:bidi="ar-SA"/>
    </w:rPr>
  </w:style>
  <w:style w:type="character" w:customStyle="1" w:styleId="1443">
    <w:name w:val="Char Char5"/>
    <w:qFormat/>
    <w:uiPriority w:val="0"/>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7"/>
    <w:qFormat/>
    <w:uiPriority w:val="0"/>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2"/>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明显参考1"/>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4"/>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3"/>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5"/>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8"/>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7"/>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6"/>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8"/>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6"/>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7"/>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5"/>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6"/>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4"/>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outlineLvl w:val="9"/>
    </w:pPr>
  </w:style>
  <w:style w:type="paragraph" w:customStyle="1" w:styleId="1621">
    <w:name w:val="工程建设条标题"/>
    <w:basedOn w:val="1622"/>
    <w:next w:val="1464"/>
    <w:semiHidden/>
    <w:qFormat/>
    <w:uiPriority w:val="0"/>
    <w:pPr>
      <w:tabs>
        <w:tab w:val="left" w:pos="780"/>
      </w:tabs>
      <w:spacing w:before="0" w:after="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7"/>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5"/>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8"/>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2835"/>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9"/>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5"/>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4"/>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4"/>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5"/>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4"/>
    <w:next w:val="35"/>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4"/>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7"/>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2"/>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6"/>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3"/>
    <w:next w:val="23"/>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567"/>
        <w:tab w:val="left" w:pos="2818"/>
        <w:tab w:val="left" w:pos="3238"/>
      </w:tabs>
      <w:ind w:left="3238" w:hanging="720"/>
    </w:pPr>
  </w:style>
  <w:style w:type="paragraph" w:customStyle="1" w:styleId="1783">
    <w:name w:val="l9标题6"/>
    <w:basedOn w:val="1784"/>
    <w:qFormat/>
    <w:uiPriority w:val="0"/>
    <w:pPr>
      <w:tabs>
        <w:tab w:val="left" w:pos="567"/>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5"/>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6"/>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3"/>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5"/>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4"/>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7"/>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5"/>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1"/>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7"/>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34"/>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6"/>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5"/>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5"/>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4"/>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5"/>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2"/>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5"/>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420"/>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5"/>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2"/>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FZFangSong-Z02S" w:hAnsi="宋体" w:eastAsia="FZFangSong-Z02S"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5"/>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4"/>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8"/>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5"/>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7"/>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FZKai-Z03S" w:eastAsia="FZKai-Z03S"/>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6"/>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3"/>
    <w:next w:val="22"/>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6"/>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4"/>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4"/>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7"/>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5"/>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7"/>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6"/>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4"/>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5"/>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6"/>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FZKai-Z03S" w:hAnsi="宋体" w:eastAsia="FZKai-Z03S"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6"/>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10"/>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7"/>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7"/>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6"/>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34"/>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7"/>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4"/>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3"/>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4"/>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6"/>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5"/>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5"/>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2"/>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4"/>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5"/>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2"/>
    <w:qFormat/>
    <w:uiPriority w:val="0"/>
    <w:rPr>
      <w:rFonts w:ascii="Times New Roman" w:eastAsia="宋体"/>
      <w:sz w:val="21"/>
    </w:rPr>
  </w:style>
  <w:style w:type="paragraph" w:customStyle="1" w:styleId="2232">
    <w:name w:val="样式 标题 1標題 1 字元Heading 1 Char 字元Heading 1 Char2 Char 字元Headin...2"/>
    <w:basedOn w:val="4"/>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7"/>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5"/>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7"/>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4"/>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7"/>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7"/>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5"/>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6"/>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6"/>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5"/>
    <w:next w:val="35"/>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5"/>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7"/>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7"/>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FZKai-Z03S" w:hAnsi="宋体" w:eastAsia="FZKai-Z03S"/>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7"/>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FZKai-Z03S" w:hAnsi="DFKai-SB" w:eastAsia="FZKai-Z03S"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FZFangSong-Z02S" w:hAnsi="宋体" w:eastAsia="FZFangSong-Z02S"/>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5"/>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标题2"/>
    <w:basedOn w:val="4"/>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9"/>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4"/>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0"/>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7"/>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4"/>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1"/>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4"/>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8"/>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4"/>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6"/>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5"/>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7"/>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5"/>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4"/>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6"/>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4"/>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5"/>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5"/>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3"/>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6"/>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6"/>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4"/>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6"/>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 w:val="left" w:pos="168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6"/>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4"/>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3"/>
    <w:qFormat/>
    <w:uiPriority w:val="0"/>
    <w:pPr>
      <w:spacing w:before="152" w:after="160"/>
      <w:jc w:val="left"/>
    </w:pPr>
  </w:style>
  <w:style w:type="paragraph" w:customStyle="1" w:styleId="2571">
    <w:name w:val="样式 标题 5 + 四号"/>
    <w:basedOn w:val="8"/>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5"/>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9"/>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5"/>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7"/>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6"/>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4"/>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2"/>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6"/>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7"/>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7"/>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4"/>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6"/>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3"/>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6"/>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10"/>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6"/>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4"/>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outlineLvl w:val="4"/>
    </w:pPr>
  </w:style>
  <w:style w:type="paragraph" w:customStyle="1" w:styleId="2718">
    <w:name w:val="bt1bt1"/>
    <w:basedOn w:val="4"/>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9"/>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2"/>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5"/>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5"/>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qFormat/>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qFormat/>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5"/>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3"/>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qFormat/>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qFormat/>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qFormat/>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qFormat/>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6"/>
    <w:unhideWhenUsed/>
    <w:qFormat/>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qFormat/>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qFormat/>
    <w:uiPriority w:val="0"/>
    <w:pPr>
      <w:widowControl/>
      <w:spacing w:before="120" w:after="120"/>
      <w:jc w:val="left"/>
    </w:pPr>
    <w:rPr>
      <w:rFonts w:ascii="宋体" w:hAnsi="宋体"/>
      <w:b/>
      <w:kern w:val="0"/>
      <w:sz w:val="24"/>
      <w:szCs w:val="20"/>
    </w:rPr>
  </w:style>
  <w:style w:type="paragraph" w:customStyle="1" w:styleId="2767">
    <w:name w:val="样式 华诚标题4 +"/>
    <w:basedOn w:val="1"/>
    <w:qFormat/>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qFormat/>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qFormat/>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qFormat/>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4"/>
    <w:semiHidden/>
    <w:qFormat/>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1"/>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qFormat/>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qFormat/>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5"/>
    <w:qFormat/>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4"/>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4"/>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6"/>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5"/>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 w:val="left" w:pos="901"/>
        <w:tab w:val="left" w:pos="1134"/>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4"/>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4"/>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2"/>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5"/>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7"/>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9"/>
    <w:next w:val="29"/>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7"/>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5"/>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4"/>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8"/>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2"/>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6"/>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4"/>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5"/>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4"/>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6"/>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5"/>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4"/>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5"/>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6"/>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6"/>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6"/>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5"/>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5"/>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6"/>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5"/>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5"/>
    <w:qFormat/>
    <w:uiPriority w:val="0"/>
    <w:pPr>
      <w:spacing w:before="480" w:after="0" w:line="480" w:lineRule="auto"/>
      <w:ind w:left="2251" w:firstLine="159"/>
    </w:pPr>
    <w:rPr>
      <w:rFonts w:cs="宋体"/>
      <w:sz w:val="28"/>
      <w:szCs w:val="20"/>
    </w:rPr>
  </w:style>
  <w:style w:type="paragraph" w:customStyle="1" w:styleId="3040">
    <w:name w:val="SANGFOR_3_标题3"/>
    <w:basedOn w:val="6"/>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7"/>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7"/>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6"/>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7"/>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4"/>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tabs>
        <w:tab w:val="left" w:pos="1080"/>
      </w:tabs>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6"/>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3"/>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9"/>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5"/>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7"/>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3"/>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7"/>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4"/>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5"/>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6"/>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4"/>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5"/>
    <w:next w:val="36"/>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6"/>
    <w:next w:val="6"/>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4"/>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6"/>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4"/>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3"/>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6"/>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4"/>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5"/>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4"/>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7"/>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5"/>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5"/>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2"/>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5"/>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5"/>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5"/>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3"/>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2"/>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5"/>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1"/>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8"/>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6"/>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6"/>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5"/>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4"/>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5"/>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4"/>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0"/>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6"/>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5"/>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7"/>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5"/>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4"/>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378"/>
        <w:tab w:val="left" w:pos="420"/>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4"/>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4"/>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3"/>
    <w:next w:val="35"/>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4"/>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3"/>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7"/>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1"/>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tabs>
        <w:tab w:val="left" w:pos="420"/>
      </w:tabs>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6"/>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6"/>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4"/>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8"/>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2"/>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4"/>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5"/>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9"/>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2"/>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4"/>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4"/>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5"/>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4"/>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5"/>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3"/>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4"/>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5"/>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4"/>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5"/>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5"/>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 w:val="left" w:pos="108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4"/>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5"/>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5"/>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7"/>
    <w:next w:val="7"/>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6"/>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4"/>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4"/>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6"/>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5"/>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5"/>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5"/>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4"/>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6"/>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4"/>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7"/>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4"/>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2"/>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6"/>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5"/>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5"/>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34"/>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4"/>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5"/>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1"/>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5"/>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5"/>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6"/>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4"/>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5"/>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5"/>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4"/>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jc w:val="center"/>
      <w:outlineLvl w:val="7"/>
    </w:pPr>
    <w:rPr>
      <w:b/>
    </w:rPr>
  </w:style>
  <w:style w:type="paragraph" w:customStyle="1" w:styleId="3783">
    <w:name w:val="咨3"/>
    <w:basedOn w:val="6"/>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5"/>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4"/>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2"/>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6"/>
    <w:qFormat/>
    <w:uiPriority w:val="0"/>
    <w:pPr>
      <w:spacing w:line="360" w:lineRule="auto"/>
      <w:ind w:left="720" w:firstLine="6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4"/>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6"/>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4"/>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4"/>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7"/>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6"/>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4"/>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5"/>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2"/>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5"/>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5"/>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6"/>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7"/>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6"/>
    <w:next w:val="59"/>
    <w:qFormat/>
    <w:uiPriority w:val="0"/>
    <w:pPr>
      <w:widowControl/>
      <w:autoSpaceDE w:val="0"/>
      <w:autoSpaceDN w:val="0"/>
      <w:adjustRightInd w:val="0"/>
      <w:spacing w:before="120" w:line="380" w:lineRule="exact"/>
      <w:ind w:left="72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5"/>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6"/>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9"/>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5"/>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2"/>
    <w:semiHidden/>
    <w:qFormat/>
    <w:uiPriority w:val="0"/>
    <w:pPr>
      <w:ind w:firstLine="420"/>
      <w:jc w:val="left"/>
    </w:pPr>
    <w:rPr>
      <w:rFonts w:ascii="宋体" w:hAnsi="宋体"/>
      <w:szCs w:val="20"/>
    </w:rPr>
  </w:style>
  <w:style w:type="paragraph" w:customStyle="1" w:styleId="3988">
    <w:name w:val="正文26"/>
    <w:basedOn w:val="35"/>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6"/>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6"/>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5"/>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3"/>
    <w:next w:val="35"/>
    <w:qFormat/>
    <w:uiPriority w:val="0"/>
    <w:pPr>
      <w:spacing w:before="152" w:after="160"/>
      <w:jc w:val="left"/>
    </w:pPr>
  </w:style>
  <w:style w:type="paragraph" w:customStyle="1" w:styleId="4027">
    <w:name w:val="南昌1号线一期标题2级"/>
    <w:basedOn w:val="5"/>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7"/>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4"/>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4"/>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5"/>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7"/>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8"/>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4"/>
    <w:next w:val="4"/>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7"/>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5"/>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4085">
    <w:name w:val="着重文字缩进"/>
    <w:basedOn w:val="1"/>
    <w:qFormat/>
    <w:uiPriority w:val="0"/>
    <w:pPr>
      <w:spacing w:line="360" w:lineRule="auto"/>
      <w:ind w:firstLine="200" w:firstLineChars="200"/>
      <w:jc w:val="left"/>
    </w:pPr>
    <w:rPr>
      <w:rFonts w:ascii="宋体" w:hAnsi="宋体"/>
      <w:b/>
      <w:bCs/>
      <w:i/>
      <w:sz w:val="24"/>
      <w:szCs w:val="20"/>
    </w:rPr>
  </w:style>
  <w:style w:type="paragraph" w:customStyle="1" w:styleId="4086">
    <w:name w:val="Topic Heading"/>
    <w:basedOn w:val="2120"/>
    <w:qFormat/>
    <w:uiPriority w:val="0"/>
    <w:pPr>
      <w:spacing w:after="240"/>
    </w:pPr>
    <w:rPr>
      <w:b/>
    </w:rPr>
  </w:style>
  <w:style w:type="table" w:customStyle="1" w:styleId="4087">
    <w:name w:val="浅色网格1"/>
    <w:basedOn w:val="8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Univers"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Univer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Univers" w:cs="Times New Roman"/>
        <w:b/>
        <w:bCs/>
      </w:rPr>
    </w:tblStylePr>
    <w:tblStylePr w:type="lastCol">
      <w:rPr>
        <w:rFonts w:eastAsia="Univer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4088">
    <w:name w:val="中等深浅列表 1 - 强调文字颜色 31"/>
    <w:basedOn w:val="88"/>
    <w:qFormat/>
    <w:uiPriority w:val="0"/>
    <w:rPr>
      <w:color w:val="000000"/>
    </w:rPr>
    <w:tblPr>
      <w:tblBorders>
        <w:top w:val="single" w:color="9BBB59" w:sz="8" w:space="0"/>
        <w:bottom w:val="single" w:color="9BBB59" w:sz="8" w:space="0"/>
      </w:tblBorders>
      <w:tblCellMar>
        <w:top w:w="0" w:type="dxa"/>
        <w:left w:w="108" w:type="dxa"/>
        <w:bottom w:w="0" w:type="dxa"/>
        <w:right w:w="108" w:type="dxa"/>
      </w:tblCellMar>
    </w:tblPr>
    <w:tblStylePr w:type="firstRow">
      <w:rPr>
        <w:rFonts w:eastAsia="Univers" w:cs="Times New Roman"/>
      </w:rPr>
      <w:tcPr>
        <w:tcBorders>
          <w:top w:val="nil"/>
          <w:left w:val="nil"/>
          <w:bottom w:val="single" w:color="9BBB59" w:sz="8" w:space="0"/>
          <w:right w:val="nil"/>
          <w:insideH w:val="nil"/>
          <w:insideV w:val="nil"/>
          <w:tl2br w:val="nil"/>
          <w:tr2bl w:val="nil"/>
        </w:tcBorders>
      </w:tcPr>
    </w:tblStylePr>
    <w:tblStylePr w:type="lastRow">
      <w:rPr>
        <w:b/>
        <w:bCs/>
        <w:color w:val="1F497D"/>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cPr>
        <w:tcBorders>
          <w:top w:val="single" w:color="9BBB59" w:sz="8" w:space="0"/>
          <w:left w:val="nil"/>
          <w:bottom w:val="single" w:color="9BBB59" w:sz="8" w:space="0"/>
          <w:right w:val="nil"/>
          <w:insideH w:val="nil"/>
          <w:insideV w:val="nil"/>
          <w:tl2br w:val="nil"/>
          <w:tr2bl w:val="nil"/>
        </w:tcBorders>
      </w:tcPr>
    </w:tblStylePr>
    <w:tblStylePr w:type="band1Vert">
      <w:tcPr>
        <w:shd w:val="clear" w:color="auto" w:fill="E6EED5"/>
      </w:tcPr>
    </w:tblStylePr>
    <w:tblStylePr w:type="band1Horz">
      <w:tcPr>
        <w:shd w:val="clear" w:color="auto" w:fill="E6EED5"/>
      </w:tcPr>
    </w:tblStylePr>
  </w:style>
  <w:style w:type="table" w:customStyle="1" w:styleId="4089">
    <w:name w:val="中等深浅底纹 1 - 强调文字颜色 11"/>
    <w:basedOn w:val="8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4090">
    <w:name w:val="中等深浅底纹 2 - 强调文字颜色 61"/>
    <w:basedOn w:val="88"/>
    <w:qFormat/>
    <w:uiPriority w:val="0"/>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cPr>
        <w:tcBorders>
          <w:top w:val="nil"/>
          <w:left w:val="nil"/>
          <w:bottom w:val="nil"/>
          <w:right w:val="nil"/>
          <w:insideH w:val="nil"/>
          <w:insideV w:val="nil"/>
          <w:tl2br w:val="nil"/>
          <w:tr2bl w:val="nil"/>
        </w:tcBorders>
        <w:shd w:val="clear" w:color="auto" w:fill="F79646"/>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8C92D-C469-4637-ACCD-FFF7A6D21E4F}">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38</Pages>
  <Words>3690</Words>
  <Characters>21036</Characters>
  <Lines>175</Lines>
  <Paragraphs>49</Paragraphs>
  <TotalTime>40</TotalTime>
  <ScaleCrop>false</ScaleCrop>
  <LinksUpToDate>false</LinksUpToDate>
  <CharactersWithSpaces>24677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2019-03-15T01:07:00Z</dcterms:created>
  <dc:creator>Alex</dc:creator>
  <cp:lastModifiedBy>少女楠</cp:lastModifiedBy>
  <cp:lastPrinted>2020-12-03T05:11:00Z</cp:lastPrinted>
  <dcterms:modified xsi:type="dcterms:W3CDTF">2021-11-19T08:01:04Z</dcterms:modified>
  <dc:title>江 阴 市 政 府 采 购</dc:title>
  <cp:revision>825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68872CD4466D44259CC2EBF4D768CA2B</vt:lpwstr>
  </property>
</Properties>
</file>