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宋体" w:hAnsi="宋体" w:eastAsia="宋体" w:cs="宋体"/>
        </w:rPr>
      </w:pPr>
      <w:bookmarkStart w:id="0" w:name="_Toc28781"/>
      <w:bookmarkStart w:id="5" w:name="_GoBack"/>
      <w:bookmarkEnd w:id="5"/>
      <w:r>
        <w:rPr>
          <w:rFonts w:hint="eastAsia" w:ascii="宋体" w:hAnsi="宋体" w:eastAsia="宋体" w:cs="宋体"/>
        </w:rPr>
        <w:t>江南水务数据中台项目询价采购需求</w:t>
      </w:r>
      <w:bookmarkEnd w:id="0"/>
    </w:p>
    <w:p>
      <w:pPr>
        <w:pStyle w:val="31"/>
        <w:numPr>
          <w:ilvl w:val="0"/>
          <w:numId w:val="3"/>
        </w:numPr>
        <w:spacing w:line="360" w:lineRule="auto"/>
        <w:ind w:firstLineChars="0"/>
        <w:outlineLvl w:val="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项目背景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为了进一步贯彻落实江苏江南水务股份有限公司（简称：江南水务）对外服务承诺，提高营业管理及服务效率，开展信息系统新技术研究和应用测试、对外技术合作、引进和评估，吸收契合公司发展需要的新信息化技术，支撑公司不断变化的业务需求。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</w:p>
    <w:p>
      <w:pPr>
        <w:pStyle w:val="31"/>
        <w:numPr>
          <w:ilvl w:val="0"/>
          <w:numId w:val="3"/>
        </w:numPr>
        <w:spacing w:line="360" w:lineRule="auto"/>
        <w:ind w:firstLineChars="0"/>
        <w:outlineLvl w:val="1"/>
        <w:rPr>
          <w:rFonts w:ascii="宋体" w:hAnsi="宋体" w:eastAsia="宋体" w:cs="宋体"/>
          <w:b/>
          <w:sz w:val="24"/>
        </w:rPr>
      </w:pPr>
      <w:bookmarkStart w:id="1" w:name="_Toc24300"/>
      <w:r>
        <w:rPr>
          <w:rFonts w:hint="eastAsia" w:ascii="宋体" w:hAnsi="宋体" w:eastAsia="宋体" w:cs="宋体"/>
          <w:b/>
          <w:sz w:val="24"/>
        </w:rPr>
        <w:t>项目建设目标</w:t>
      </w:r>
      <w:bookmarkEnd w:id="1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根据江南水务信息化战略，构建江南水务数据</w:t>
      </w:r>
      <w:r>
        <w:rPr>
          <w:rFonts w:hint="eastAsia" w:ascii="宋体" w:hAnsi="宋体" w:eastAsia="宋体" w:cs="宋体"/>
          <w:sz w:val="24"/>
          <w:lang w:val="en-US" w:eastAsia="zh-CN"/>
        </w:rPr>
        <w:t>中台</w:t>
      </w:r>
      <w:r>
        <w:rPr>
          <w:rFonts w:hint="eastAsia" w:ascii="宋体" w:hAnsi="宋体" w:eastAsia="宋体" w:cs="宋体"/>
          <w:sz w:val="24"/>
        </w:rPr>
        <w:t>，实现业务高效协同，信息充分共享，发挥大数据在企业精细化管理和决策中的支撑作用。依托大数据技术实现公司内部数据资源的集中整合，引入外部有价值的各类数据，形成公司统一的数据湖。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</w:p>
    <w:p>
      <w:pPr>
        <w:pStyle w:val="31"/>
        <w:numPr>
          <w:ilvl w:val="0"/>
          <w:numId w:val="3"/>
        </w:numPr>
        <w:spacing w:line="360" w:lineRule="auto"/>
        <w:ind w:firstLineChars="0"/>
        <w:outlineLvl w:val="1"/>
        <w:rPr>
          <w:rFonts w:hint="eastAsia" w:ascii="宋体" w:hAnsi="宋体" w:eastAsia="宋体" w:cs="宋体"/>
          <w:b/>
          <w:sz w:val="24"/>
          <w:szCs w:val="22"/>
        </w:rPr>
      </w:pPr>
      <w:r>
        <w:rPr>
          <w:rFonts w:hint="eastAsia" w:ascii="宋体" w:hAnsi="宋体" w:eastAsia="宋体" w:cs="宋体"/>
          <w:b/>
          <w:sz w:val="24"/>
          <w:szCs w:val="22"/>
        </w:rPr>
        <w:t>采购清单</w:t>
      </w:r>
    </w:p>
    <w:tbl>
      <w:tblPr>
        <w:tblStyle w:val="15"/>
        <w:tblW w:w="7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803"/>
        <w:gridCol w:w="2325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803" w:type="dxa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2325" w:type="dxa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技术参数</w:t>
            </w:r>
          </w:p>
        </w:tc>
        <w:tc>
          <w:tcPr>
            <w:tcW w:w="1659" w:type="dxa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803" w:type="dxa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数据中台软件产品</w:t>
            </w:r>
          </w:p>
        </w:tc>
        <w:tc>
          <w:tcPr>
            <w:tcW w:w="2325" w:type="dxa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详细见下文</w:t>
            </w:r>
          </w:p>
        </w:tc>
        <w:tc>
          <w:tcPr>
            <w:tcW w:w="1659" w:type="dxa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803" w:type="dxa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数据中台实施服务</w:t>
            </w:r>
          </w:p>
        </w:tc>
        <w:tc>
          <w:tcPr>
            <w:tcW w:w="2325" w:type="dxa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9" w:type="dxa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803" w:type="dxa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物理服务器</w:t>
            </w:r>
          </w:p>
        </w:tc>
        <w:tc>
          <w:tcPr>
            <w:tcW w:w="2325" w:type="dxa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详细见下文</w:t>
            </w:r>
          </w:p>
        </w:tc>
        <w:tc>
          <w:tcPr>
            <w:tcW w:w="1659" w:type="dxa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803" w:type="dxa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万兆交换机</w:t>
            </w:r>
          </w:p>
        </w:tc>
        <w:tc>
          <w:tcPr>
            <w:tcW w:w="2325" w:type="dxa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详细见下文</w:t>
            </w:r>
          </w:p>
        </w:tc>
        <w:tc>
          <w:tcPr>
            <w:tcW w:w="1659" w:type="dxa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803" w:type="dxa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千兆交换机</w:t>
            </w:r>
          </w:p>
        </w:tc>
        <w:tc>
          <w:tcPr>
            <w:tcW w:w="2325" w:type="dxa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详细见下文</w:t>
            </w:r>
          </w:p>
        </w:tc>
        <w:tc>
          <w:tcPr>
            <w:tcW w:w="1659" w:type="dxa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备注：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签订合同后一周内,供应商须提供软件产品功能测试及演示，若测试结果没有达到供应商响应文件中承诺的技术要求，那么所产生的一切经济损失、后果和法律责任均由供应商承担。</w:t>
      </w:r>
    </w:p>
    <w:p>
      <w:pPr>
        <w:numPr>
          <w:ilvl w:val="0"/>
          <w:numId w:val="0"/>
        </w:numPr>
        <w:tabs>
          <w:tab w:val="left" w:pos="630"/>
        </w:tabs>
        <w:spacing w:line="400" w:lineRule="exact"/>
        <w:ind w:firstLine="480" w:firstLineChars="200"/>
        <w:rPr>
          <w:rFonts w:hint="eastAsia" w:ascii="新宋体" w:hAnsi="新宋体" w:eastAsia="新宋体"/>
          <w:color w:val="000000"/>
          <w:sz w:val="24"/>
          <w:szCs w:val="24"/>
        </w:rPr>
      </w:pPr>
      <w:r>
        <w:rPr>
          <w:rFonts w:hint="eastAsia" w:ascii="新宋体" w:hAnsi="新宋体" w:eastAsia="新宋体"/>
          <w:color w:val="000000"/>
          <w:sz w:val="24"/>
          <w:szCs w:val="24"/>
          <w:lang w:val="en-US" w:eastAsia="zh-CN"/>
        </w:rPr>
        <w:t>2、</w:t>
      </w:r>
      <w:r>
        <w:rPr>
          <w:rFonts w:hint="eastAsia" w:ascii="新宋体" w:hAnsi="新宋体" w:eastAsia="新宋体"/>
          <w:color w:val="000000"/>
          <w:sz w:val="24"/>
          <w:szCs w:val="24"/>
        </w:rPr>
        <w:t>以</w:t>
      </w:r>
      <w:r>
        <w:rPr>
          <w:rFonts w:hint="eastAsia" w:ascii="新宋体" w:hAnsi="新宋体" w:eastAsia="新宋体"/>
          <w:color w:val="000000"/>
          <w:sz w:val="24"/>
          <w:szCs w:val="24"/>
          <w:lang w:eastAsia="zh-CN"/>
        </w:rPr>
        <w:t>下</w:t>
      </w:r>
      <w:r>
        <w:rPr>
          <w:rFonts w:hint="eastAsia" w:ascii="新宋体" w:hAnsi="新宋体" w:eastAsia="新宋体"/>
          <w:color w:val="000000"/>
          <w:sz w:val="24"/>
          <w:szCs w:val="24"/>
        </w:rPr>
        <w:t>打“★”项参数为必要条款，其中任何一条不满足视为无效报价；非打“★”项参数在不影响产品的功能特点和整体结构的基础上，允许适度偏离，但必须与询价文件所述相一致，偏离是否适度、是否科学合理，将由评委给予综合评价，供应商应承担被判定为偏离度过大，已影响产品功能特点和整体结构，报价无效的风险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pStyle w:val="31"/>
        <w:numPr>
          <w:ilvl w:val="0"/>
          <w:numId w:val="3"/>
        </w:numPr>
        <w:spacing w:line="360" w:lineRule="auto"/>
        <w:ind w:firstLineChars="0"/>
        <w:outlineLvl w:val="1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软硬件产品技术参数要求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4.1数据中台软件产品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4.1.1数据开发平台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ascii="宋体" w:hAnsi="宋体" w:eastAsia="宋体"/>
          <w:sz w:val="24"/>
          <w:szCs w:val="24"/>
          <w:shd w:val="clear" w:color="auto" w:fill="FFFFFF"/>
        </w:rPr>
        <w:t>数据开发是完成数据清洗、统计或数据挖掘的计算逻辑的一站式过程，它需要具备广泛的任务类型支持，强大的调度引擎和友好的团队协作式开发平台。提供可视化界面操作方式的大数据开发工具，包含数据同步，离线任务开发，任务管理等模块，提供任务开发和管理、脚本开发和管理、资源管理、函数管理等功能，具备实时任务调度和调度依赖功能，支持任务多版本管理。</w:t>
      </w:r>
    </w:p>
    <w:tbl>
      <w:tblPr>
        <w:tblStyle w:val="14"/>
        <w:tblW w:w="8286" w:type="dxa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1"/>
        <w:gridCol w:w="1010"/>
        <w:gridCol w:w="6215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功能模块</w:t>
            </w:r>
          </w:p>
        </w:tc>
        <w:tc>
          <w:tcPr>
            <w:tcW w:w="6215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需求说明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配置数据源</w:t>
            </w:r>
          </w:p>
        </w:tc>
        <w:tc>
          <w:tcPr>
            <w:tcW w:w="6215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80" w:leftChars="-38" w:firstLine="524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支持多种异构数据源之间的数据读写，包括MySQL、Oracle、SQLServer、PostgreSQL、Hive、HDFS、ElasticSearch、HBase、Redis、MongoDB、FTP、Gbase等。</w:t>
            </w:r>
          </w:p>
          <w:p>
            <w:pPr>
              <w:pStyle w:val="12"/>
              <w:spacing w:beforeAutospacing="0" w:afterAutospacing="0" w:line="35" w:lineRule="atLeast"/>
              <w:ind w:firstLine="524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支持CDH、FusionInsight、TiDB、GP、Oracle或EMR作为存储和计算引擎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" w:hRule="atLeast"/>
        </w:trPr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数据同步</w:t>
            </w:r>
          </w:p>
        </w:tc>
        <w:tc>
          <w:tcPr>
            <w:tcW w:w="6215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" w:leftChars="-1" w:firstLine="48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支持以可视化配置以及脚本模式等多种形式进行数据同步，支持数据同步速度配置；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48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支持对关系型数据生成批量同步任务；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48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支持配置同步规则，决定是否停止同步任务；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48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★整库同步,分库分表同步：支持MySQL到Hive数据源的整库同步，以及分库分表同步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48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★定点增量同步：支持对关系型数据库进行定点增量同步，下次同步时，可从上一次同步成功的点位继续开始运行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48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支持同步任务运行状态监控与执行结果统计，包括读取记录数、读取字节数、同步速度、写入记录数、写入字节数等；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48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★支持脏数据管理，支持对同步过程中异常的数据自动保存，或存储至指定位置；支持脏数据表管理，包括表的基本信息查看，支持脏数据产生趋势统计、脏数据产生原因分析；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支持断点续传，系统可自动记录上次同步的数据点位，下次运行时，自动从上一次的位置继续同步；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支持界面化的配置，实现实时采集MySQL，Oracle，SQLServer、日志类等数据源的日志数据。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" w:hRule="atLeast"/>
        </w:trPr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数据开发</w:t>
            </w:r>
          </w:p>
        </w:tc>
        <w:tc>
          <w:tcPr>
            <w:tcW w:w="6215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以可视化形式支持离线任务开发和流式任务开发，支持基于WEB的形式进行任务编写；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48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支持丰富的任务类型，至少包括SparkSQL、数据同步、PySpark、原生Python、虚节点等多种任务类型，用户可构建各种类型的任务来进行数据处理；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48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★支持工作流任务，通过托拉拽的方式快速配置任务间的依赖关系；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48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支持表结构智能提示，根据用户编写的SQL代码自动识别出相关的表信息，辅助用户完成开发过程；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48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SQL任务支持UDF函数管理；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48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★支持任务版本记录，发布任务时，支持对SQL代码、同步任务脚本、任务调度、环境参数等各类信息做版本记录，并标注当前版本与历史版本的区别；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48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支持系统参数，例如运行时间、当前月、当前年等，支持在SQL或数据同步等任务中使用系统参数，系统根据代码运行的时间自动解析；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48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支持自定义参数，以多种时间基准进行定义，包含任务计划时间、任务运行时间、业务日期，满足数据开发多种数据处理需求；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48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支持为每个任务配置不同的执行环境参数，例如内存、CPU核数等；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48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调度与依赖配置：支持天、周、月、小时、分钟不同粒度的调度周期，支持多个任务间上下游依赖配置；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48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资源管理：支持Jar包、Python等资源的上传、删除、替换；支持统一资源，不同用户上传的资源可以共享共用；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48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支持单个任务跨周期的自依赖配置与任务调度，支持自依赖、跨周期依赖等多种模式；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支持不同项目包含不同的人员，并内置管理员、数据开发等多种角色；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" w:hRule="atLeast"/>
        </w:trPr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运维管理</w:t>
            </w:r>
          </w:p>
        </w:tc>
        <w:tc>
          <w:tcPr>
            <w:tcW w:w="6215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支持汇总统计当日运行的周期实例的状态，直观的掌握当天任务运行的情况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支持按日统计实例的执行时长，并显示执行时间较长的任务，便于用户筛选大任务，进行针对性的代码优化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支持数据重刷操作（补数据），支持选择业务日期时间段并批量生成相关实例运行，并进行补数据实例的运维，如任务重跑、任务杀死、置成功等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支持统计周期实例的运行状态、运行时长、任务运行日志；查看任务DAG图，对上下游任务一目了然，并可逐级展开更多层级的任务；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★支持任务的冻结、解冻操作，已冻结的任务禁止运行，且已冻结的任务才可删除；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告警配置：支持对每个任务设置告警，支持按照失败/停止状态、定时未完成、超时未完成等状态触发告警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数据资产管理</w:t>
            </w:r>
          </w:p>
        </w:tc>
        <w:tc>
          <w:tcPr>
            <w:tcW w:w="6215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支持对表的结构变更操作进行记录，包括表结构变更语句、操作用户、操作时间。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支持表的元数据查看，包括表的创建者、创建时间、描述、存储量、生命周期、最近一次表结构变更时间、数据最后变更时间、分区信息等功能。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★支持对表进行编辑，包括修改表名、新增字段、分区字段、所属类目、生命周期等。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支持数据类目的构建，并将表指定到类目中；支持根据类目进行表查询。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★支持表级、字段级血缘关系展现，支持沿血缘链路的逐层追溯。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支持对数据表相关的任务（包括同步任务）、脚本的相关性分析，将相关任务/脚本列出。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支持表级、字段级权限控制，项目空间内支持用户自由访问任意数据表，跨项目访问需提前经过审批授权。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支持跨项目访问数据时的申请、审批、手动收回权限等操作，支持授权时效性控制，超出时效后权限自动回收。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支持自定义脱敏规则，对某个字段进行脱敏，系统可根据血缘关系，将脱敏规则扩展至其他相关表对字段。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48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支持对分区表执行数据生命周期管理，支持分区级生命周期管理，支持根据每个分区的数据最后变更时间刷新生命周期。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48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支持对租户内的项目数量、表数量、占用存储等指标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48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模型总览：支持对数据模型检测状态进行汇总统计，并统计模型、字段不规范的原因和产生趋势；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48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检测中心：支持定期对数据模型（表名）进行规范性检测，包括模型层级、主题域、增量标识、刷新频率等参数进行检测，并输出不规范的原因；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48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配置中心：支持模型层级、主题域、刷新频率、增量等多种参数的配置；支持对原子指标、衍生指标的新增、编辑、删除；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项目管理</w:t>
            </w:r>
          </w:p>
        </w:tc>
        <w:tc>
          <w:tcPr>
            <w:tcW w:w="6215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★支持双项目模式，即开发模式与生产模式，生产/开发环境的代码隔离、数据隔离，开发环境必须通过类似“发布”的动作，将代码传递到生产环境。</w:t>
            </w:r>
          </w:p>
        </w:tc>
      </w:tr>
    </w:tbl>
    <w:p>
      <w:pPr>
        <w:rPr>
          <w:rFonts w:ascii="宋体" w:hAnsi="宋体" w:eastAsia="宋体" w:cs="宋体"/>
          <w:b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4.1.2数据API服务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通过API应用服务快速构建数据API，帮助提高数据开放和共享效率。</w:t>
      </w:r>
    </w:p>
    <w:tbl>
      <w:tblPr>
        <w:tblStyle w:val="14"/>
        <w:tblW w:w="8286" w:type="dxa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4"/>
        <w:gridCol w:w="1005"/>
        <w:gridCol w:w="6217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功能模块</w:t>
            </w:r>
          </w:p>
        </w:tc>
        <w:tc>
          <w:tcPr>
            <w:tcW w:w="6217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需求说明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API市场</w:t>
            </w:r>
          </w:p>
        </w:tc>
        <w:tc>
          <w:tcPr>
            <w:tcW w:w="6217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数据源支持：支持配置MySQL、Oracle、SQLServer、PostgreSQL、kylin、Impala、阿里云ADS、MongDB、TIDB、ES存储等作为数据源；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支持在API市场中查看API基础信息、订购调用情况、请求返回参数等，帮助API申请者判断该API的适用性，同时支持API申请的发起；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支持从API管理者、API使用者不同的角度，整体掌握用户调用量TOP排行、接口调用量TOP排行、接口失败率TOP排行等；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支持用户按照API调用次数申请，超出申请的次数时或超出时间段时，系统自动为此用户停止API服务。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★支持向导模式和脚本模式生产API。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API管理</w:t>
            </w:r>
          </w:p>
        </w:tc>
        <w:tc>
          <w:tcPr>
            <w:tcW w:w="6217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支持外部API注册至API网关，支持post、get、put、delete请求，可进行API统一管理、发布、调用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API调用情况：可查看最近24h、最近7天、最近30天、历史累计维度的调用次数统计、错误日志统计；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★API订购情况统计：可查看该API订购用户数，每个订购用户的使用情况；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支持管理者对所有用户或单独用户禁用某个API；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★支持查看所有API申请、执行审批/拒绝操作；支持取消某用户的API授权。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支持API文档导出，包含API基础信息、参数信息、请求示例等；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API调用</w:t>
            </w:r>
          </w:p>
        </w:tc>
        <w:tc>
          <w:tcPr>
            <w:tcW w:w="6217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★支持AK/SK签名加密方式和API token方式调用，充分校验发送者的身份和保障数据传输的安全性；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★支持设置黑白名单，控制API调用的IP；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★支持行级权限控制，更细粒度控制数据调用权限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★支持设置API的调用次数与调用周期，实现API调用的管理。</w:t>
            </w:r>
          </w:p>
        </w:tc>
      </w:tr>
    </w:tbl>
    <w:p/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4.1.3数据标签管理</w:t>
      </w:r>
    </w:p>
    <w:p>
      <w:pPr>
        <w:ind w:left="240" w:firstLine="420"/>
        <w:rPr>
          <w:rFonts w:ascii="仿宋" w:hAnsi="仿宋" w:eastAsia="仿宋"/>
          <w:vanish/>
        </w:rPr>
      </w:pPr>
    </w:p>
    <w:tbl>
      <w:tblPr>
        <w:tblStyle w:val="14"/>
        <w:tblW w:w="8286" w:type="dxa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1"/>
        <w:gridCol w:w="1005"/>
        <w:gridCol w:w="6220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功能模块</w:t>
            </w:r>
          </w:p>
        </w:tc>
        <w:tc>
          <w:tcPr>
            <w:tcW w:w="6220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需求说明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实体管理</w:t>
            </w:r>
          </w:p>
        </w:tc>
        <w:tc>
          <w:tcPr>
            <w:tcW w:w="6220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支持实体创建，不同实体间标签相互隔离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支持实体间通过相同字段进行匹配创建跨实体关系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支持自定义字典快速配置，通过手动创建/上传以便原子标签等创建时快速映射中文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标签中心</w:t>
            </w:r>
          </w:p>
        </w:tc>
        <w:tc>
          <w:tcPr>
            <w:tcW w:w="6220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支持原子标签快速映射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支持基于原子标签的规则性衍生标签配置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支持标签根据用户分组设置可见性发布，支持发布周期自动化管理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支持最多三级类目管理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群组管理</w:t>
            </w:r>
          </w:p>
        </w:tc>
        <w:tc>
          <w:tcPr>
            <w:tcW w:w="6220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支持通过配置多级规则圈选目标群组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支持通过匹配主键根据本地表格文件圈选群组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支持本地上传/标签圈群两种方式生成群组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支持已有群组根据标签特征对比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标签市场</w:t>
            </w:r>
          </w:p>
        </w:tc>
        <w:tc>
          <w:tcPr>
            <w:tcW w:w="6220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支持针对不同用户分组发布标签进行标签权限管理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查看账户下已有标签权限，并进行管理操作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支持高级用户对标签申请进行审批管理操作，支持手动收回标签权限；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标签服务</w:t>
            </w:r>
          </w:p>
        </w:tc>
        <w:tc>
          <w:tcPr>
            <w:tcW w:w="6220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支持将已有群组通过Token加密的API分享，支持输出群组时手动控制输出标签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项目管理</w:t>
            </w:r>
          </w:p>
        </w:tc>
        <w:tc>
          <w:tcPr>
            <w:tcW w:w="6220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创建新的项目，相当于创建新的hive Database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支持自定义用户分组，用于进行标签权限控制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添加成员/移除成员/分配成员角色等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4.1.4集群运维管理</w:t>
      </w:r>
    </w:p>
    <w:p>
      <w:pPr>
        <w:spacing w:line="360" w:lineRule="auto"/>
        <w:ind w:firstLine="482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sz w:val="24"/>
          <w:szCs w:val="24"/>
        </w:rPr>
        <w:t>在产品的全生命周期中，部署升级是短时间节点性的操作，线上运行环境的稳定性保障非常重要，支持运维人员通过监控各个节点服务的运营状况，并在达到告警设置时通知告警接收人。</w:t>
      </w:r>
    </w:p>
    <w:tbl>
      <w:tblPr>
        <w:tblStyle w:val="14"/>
        <w:tblW w:w="8286" w:type="dxa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4"/>
        <w:gridCol w:w="1005"/>
        <w:gridCol w:w="6217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功能模块</w:t>
            </w:r>
          </w:p>
        </w:tc>
        <w:tc>
          <w:tcPr>
            <w:tcW w:w="6217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需求说明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安装部署</w:t>
            </w:r>
          </w:p>
        </w:tc>
        <w:tc>
          <w:tcPr>
            <w:tcW w:w="6217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图形化、流程化的部署向导，快速完成产品部署，实时查看服务部署进度及状态；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可根据规则制作schema安装包，进行第三方产品部署监控，且产品安装包支持界面化接入；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支持增量patch包，以轻量包升级产品，方便快速；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★图形化快速配置服务与接入主机，且允许界面化修改参数；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★支持引入外部服务，可直接使用集群外已部署的服务，不需要重新部署；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支持服务继承，继承已部署的其它产品服务；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支持查看历史部署记录以及历史部署快照，方便回顾历史部署情况，记录部署日志，方便查看安装过程错误。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集群运维</w:t>
            </w:r>
          </w:p>
        </w:tc>
        <w:tc>
          <w:tcPr>
            <w:tcW w:w="6217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支持查看集群性能指标，如集群CPU使用率、内存使用率、I/O读写速率；支持查看各服务的运行状态、健康状态、性能指标、配置文件、安装日志；支持查看主机的状态、最近心跳时间、及性能指标；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支持对各服务进行定时健康检查，及时查看健康检查状态；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支持为服务进行扩容、缩容，支持产品版本快速升级和回滚；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界面化修改各服务配置参数，修改完成后进行产品升级，服务自动更新；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支持集群停止与启动、且支持断电回复后服务自动拉起；支持服务实例停止与启动、支持服务实例滚动重启、支持服务停止与启动。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多租户多集群</w:t>
            </w:r>
          </w:p>
        </w:tc>
        <w:tc>
          <w:tcPr>
            <w:tcW w:w="6217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★支持多租户机制，不同租户之间的用户、数据保持隔离；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支持按照租户分配集群计算资源，例如A租户分配30%资源，B租户分配20%资源，且多个租户之间在忙/闲时可以根据负载动态调整；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支持一套开发平台（离线计算、实时计算）对接多个计算集群。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监控报警</w:t>
            </w:r>
          </w:p>
        </w:tc>
        <w:tc>
          <w:tcPr>
            <w:tcW w:w="6217" w:type="dxa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★支持为产品及服务新增dashboard，并自行配置监控指标；支持dashboard的导入与导出；支持查看与配置各组件服务（如hive\hdfs\spark等）的多种性能指标；</w:t>
            </w:r>
          </w:p>
          <w:p>
            <w:pPr>
              <w:pStyle w:val="12"/>
              <w:spacing w:beforeAutospacing="0" w:afterAutospacing="0" w:line="35" w:lineRule="atLeast"/>
              <w:ind w:left="-2" w:leftChars="-1" w:firstLine="524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支持为组件服务的各指标配置告警；支持公有云短信、钉钉、邮件告警通道，同时可支持企业内部告警网关，满足专有云内部告警的需求；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4.2 硬件配置</w:t>
      </w:r>
    </w:p>
    <w:tbl>
      <w:tblPr>
        <w:tblStyle w:val="1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5640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09" w:type="dxa"/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项目</w:t>
            </w:r>
          </w:p>
        </w:tc>
        <w:tc>
          <w:tcPr>
            <w:tcW w:w="5640" w:type="dxa"/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配置</w:t>
            </w:r>
          </w:p>
        </w:tc>
        <w:tc>
          <w:tcPr>
            <w:tcW w:w="1047" w:type="dxa"/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物理服务器</w:t>
            </w:r>
          </w:p>
        </w:tc>
        <w:tc>
          <w:tcPr>
            <w:tcW w:w="5640" w:type="dxa"/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14*3.5英寸SAS/SATA盘位</w:t>
            </w:r>
          </w:p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直通功能SAS卡,冗余电源</w:t>
            </w:r>
          </w:p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2*CPU Intel® Xeon®Sliver 4210（10C，2.2GHz，14M）</w:t>
            </w:r>
          </w:p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4*32GB DDR4 RDIMMs 2933MT/s</w:t>
            </w:r>
          </w:p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1*240GB M.2 SATA SSD系统盘</w:t>
            </w:r>
          </w:p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2*千兆以太网口（RJ45)</w:t>
            </w:r>
          </w:p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2*万兆以太网SFP+光口（无模块）</w:t>
            </w:r>
          </w:p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4*32GB DDR4 RDIMMs 2933MT/s</w:t>
            </w:r>
          </w:p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1*240GB  M.2 SATA SSD</w:t>
            </w:r>
          </w:p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2*960 GB SATA SSD 2.5英寸</w:t>
            </w:r>
          </w:p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4*8 TB 7.2K SATA 3.5英寸</w:t>
            </w:r>
          </w:p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硬件三年7*24技术支持服务</w:t>
            </w:r>
          </w:p>
        </w:tc>
        <w:tc>
          <w:tcPr>
            <w:tcW w:w="1047" w:type="dxa"/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千兆交换机</w:t>
            </w:r>
          </w:p>
        </w:tc>
        <w:tc>
          <w:tcPr>
            <w:tcW w:w="5640" w:type="dxa"/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l 24 个 10/100/1000Base-T 以太网端口，4 个 100/1000 SFP，4 个千兆 SFP，2 个</w:t>
            </w:r>
          </w:p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QSFP+堆叠口</w:t>
            </w:r>
          </w:p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l 交流供电，电源前置，支持 RPS 冗余电源</w:t>
            </w:r>
          </w:p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l 交换容量：598G/5.98Tbps</w:t>
            </w:r>
          </w:p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l 包转发率：168Mpps</w:t>
            </w:r>
          </w:p>
        </w:tc>
        <w:tc>
          <w:tcPr>
            <w:tcW w:w="1047" w:type="dxa"/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9" w:type="dxa"/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万兆交换机</w:t>
            </w:r>
          </w:p>
        </w:tc>
        <w:tc>
          <w:tcPr>
            <w:tcW w:w="5640" w:type="dxa"/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24 个 10GE SFP+端口，6 个 40GE QSFP+端口</w:t>
            </w:r>
          </w:p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l 可插拔双电源，支持 1+1 电源备份，默认不含电源</w:t>
            </w:r>
          </w:p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l 4 个独立可插拔风扇，支持前后风道</w:t>
            </w:r>
          </w:p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l 包转发率：720M/792Mpps</w:t>
            </w:r>
          </w:p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l 交换容量：2.56T/25.6Tbps</w:t>
            </w:r>
          </w:p>
        </w:tc>
        <w:tc>
          <w:tcPr>
            <w:tcW w:w="1047" w:type="dxa"/>
            <w:vAlign w:val="center"/>
          </w:tcPr>
          <w:p>
            <w:pPr>
              <w:pStyle w:val="12"/>
              <w:spacing w:beforeAutospacing="0" w:afterAutospacing="0" w:line="35" w:lineRule="atLeast"/>
              <w:ind w:left="-27" w:leftChars="-14" w:hanging="2" w:hangingChars="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</w:tbl>
    <w:p/>
    <w:p>
      <w:pPr>
        <w:pStyle w:val="31"/>
        <w:numPr>
          <w:ilvl w:val="0"/>
          <w:numId w:val="3"/>
        </w:numPr>
        <w:spacing w:line="360" w:lineRule="auto"/>
        <w:ind w:firstLineChars="0"/>
        <w:outlineLvl w:val="1"/>
        <w:rPr>
          <w:rFonts w:hint="eastAsia" w:ascii="宋体" w:hAnsi="宋体" w:eastAsia="宋体" w:cs="宋体"/>
          <w:b/>
          <w:sz w:val="24"/>
          <w:szCs w:val="22"/>
        </w:rPr>
      </w:pPr>
      <w:r>
        <w:rPr>
          <w:rFonts w:hint="eastAsia" w:ascii="宋体" w:hAnsi="宋体" w:eastAsia="宋体" w:cs="宋体"/>
          <w:b/>
          <w:sz w:val="24"/>
          <w:szCs w:val="22"/>
        </w:rPr>
        <w:t>系统技术要求</w:t>
      </w:r>
    </w:p>
    <w:p>
      <w:pPr>
        <w:spacing w:line="360" w:lineRule="auto"/>
        <w:ind w:firstLine="48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大数据相关产品采用开源生态系统的基于Hadoop生态圈技术架构，包括平台关键技术组件、应用架构、平台引擎架构、性能设计、系统可用性设计、兼容性设计、开放性设计及安全性设计等。</w:t>
      </w:r>
    </w:p>
    <w:p>
      <w:pPr>
        <w:spacing w:line="360" w:lineRule="auto"/>
        <w:ind w:firstLine="482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ascii="宋体" w:hAnsi="宋体" w:eastAsia="宋体"/>
          <w:sz w:val="24"/>
          <w:szCs w:val="24"/>
        </w:rPr>
        <w:t>数据应用统一门户必须支持分布式部署，建议采用SpringCloud 架构进行开发，前后端分离，系统服务之间要支持OAuth2.0协议进行授权。移动端支持和企业微信集成，在Android和iOS系统中显示操作正常。PC端支持WINDOWS、MACOS等操作系统，支持IE、360、Safari、等主流浏览器，支持大屏展示。</w:t>
      </w:r>
      <w:bookmarkStart w:id="2" w:name="_Toc19952_WPSOffice_Level3"/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5.1性能设计</w:t>
      </w:r>
      <w:bookmarkEnd w:id="2"/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（1）</w:t>
      </w:r>
      <w:r>
        <w:rPr>
          <w:rFonts w:ascii="宋体" w:hAnsi="宋体" w:eastAsia="宋体"/>
          <w:b/>
          <w:bCs/>
          <w:sz w:val="24"/>
          <w:szCs w:val="24"/>
        </w:rPr>
        <w:t>主要性能指标</w:t>
      </w:r>
    </w:p>
    <w:p>
      <w:pPr>
        <w:spacing w:line="360" w:lineRule="auto"/>
        <w:ind w:firstLine="48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数据应用统一门户满足招标单位30000人的使用，支持平均在线用户量5000以上，支持2000个以上的在线用户并发访问。系统不能限制用户数，当用户量拥堵时可以横向扩展添加设备解决并发问题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（2）</w:t>
      </w:r>
      <w:r>
        <w:rPr>
          <w:rFonts w:ascii="宋体" w:hAnsi="宋体" w:eastAsia="宋体"/>
          <w:b/>
          <w:bCs/>
          <w:sz w:val="24"/>
          <w:szCs w:val="24"/>
        </w:rPr>
        <w:t>可用性指标</w:t>
      </w:r>
    </w:p>
    <w:p>
      <w:pPr>
        <w:spacing w:line="360" w:lineRule="auto"/>
        <w:ind w:firstLine="48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保证7×24小时不间断稳定运行。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（3）</w:t>
      </w:r>
      <w:r>
        <w:rPr>
          <w:rFonts w:ascii="宋体" w:hAnsi="宋体" w:eastAsia="宋体"/>
          <w:b/>
          <w:bCs/>
          <w:sz w:val="24"/>
          <w:szCs w:val="24"/>
        </w:rPr>
        <w:t>可靠性指标</w:t>
      </w:r>
    </w:p>
    <w:p>
      <w:pPr>
        <w:spacing w:line="360" w:lineRule="auto"/>
        <w:ind w:firstLine="48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1）系统年度平均无故障率&gt;＝99.5%。</w:t>
      </w:r>
    </w:p>
    <w:p>
      <w:pPr>
        <w:spacing w:line="360" w:lineRule="auto"/>
        <w:ind w:firstLine="48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2）系统应具备自动或手动恢复措施。</w:t>
      </w:r>
    </w:p>
    <w:p>
      <w:pPr>
        <w:spacing w:line="360" w:lineRule="auto"/>
        <w:ind w:firstLine="48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3）在充分备份情况下，系统意外宕机后的恢复时间不超过4小时。</w:t>
      </w:r>
    </w:p>
    <w:p>
      <w:pPr>
        <w:spacing w:line="360" w:lineRule="auto"/>
        <w:ind w:firstLine="48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4) 系统不存在单点故障。</w:t>
      </w:r>
    </w:p>
    <w:p>
      <w:pPr>
        <w:spacing w:line="360" w:lineRule="auto"/>
        <w:ind w:firstLine="48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5）系统有完善的备份体系以及全面的监控告警功能。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（4）</w:t>
      </w:r>
      <w:r>
        <w:rPr>
          <w:rFonts w:ascii="宋体" w:hAnsi="宋体" w:eastAsia="宋体"/>
          <w:b/>
          <w:bCs/>
          <w:sz w:val="24"/>
          <w:szCs w:val="24"/>
        </w:rPr>
        <w:t>容错性指标</w:t>
      </w:r>
    </w:p>
    <w:p>
      <w:pPr>
        <w:spacing w:line="360" w:lineRule="auto"/>
        <w:ind w:firstLine="48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1）集群中一台主机宕机，另一台主机仍然可以正常工作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对系统的性能没有大的影响。</w:t>
      </w:r>
    </w:p>
    <w:p>
      <w:pPr>
        <w:spacing w:line="360" w:lineRule="auto"/>
        <w:ind w:firstLine="48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2)系统提供报错保存进入日志，并支持根据情况控制日志输出详细程度。</w:t>
      </w:r>
    </w:p>
    <w:p>
      <w:pPr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bookmarkStart w:id="3" w:name="_Toc6712_WPSOffice_Level3"/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5.2系统可靠性设计</w:t>
      </w:r>
      <w:bookmarkEnd w:id="3"/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（1）</w:t>
      </w:r>
      <w:r>
        <w:rPr>
          <w:rFonts w:ascii="宋体" w:hAnsi="宋体" w:eastAsia="宋体"/>
          <w:b/>
          <w:bCs/>
          <w:sz w:val="24"/>
          <w:szCs w:val="24"/>
        </w:rPr>
        <w:t>主备切换</w:t>
      </w:r>
    </w:p>
    <w:p>
      <w:pPr>
        <w:spacing w:line="360" w:lineRule="auto"/>
        <w:ind w:firstLine="48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服务器间一个主服务器出现问题时，自动或手动切换到备份服务器，切换时间不超过10分钟。服务器内部关键服务模块提供备份模块，当一个模块出现问题时，自动或手动切换到备份模块，切换时间不超过5分钟。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（2）</w:t>
      </w:r>
      <w:r>
        <w:rPr>
          <w:rFonts w:ascii="宋体" w:hAnsi="宋体" w:eastAsia="宋体"/>
          <w:b/>
          <w:bCs/>
          <w:sz w:val="24"/>
          <w:szCs w:val="24"/>
        </w:rPr>
        <w:t>无故障运行</w:t>
      </w:r>
    </w:p>
    <w:p>
      <w:pPr>
        <w:spacing w:line="360" w:lineRule="auto"/>
        <w:ind w:firstLine="48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系统应满足在每日、每月等关键周期的高低负载下运行的稳定性，保证系统在集中任务时间段内的系统性能要求，保证系统在一个月内宕机事件不超过一次。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系统应支持7*24小时持续不间断的高稳定性运行。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系统每年重大故障累计时间不超过12小时。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（3）</w:t>
      </w:r>
      <w:r>
        <w:rPr>
          <w:rFonts w:ascii="宋体" w:hAnsi="宋体" w:eastAsia="宋体"/>
          <w:b/>
          <w:bCs/>
          <w:sz w:val="24"/>
          <w:szCs w:val="24"/>
        </w:rPr>
        <w:t>故障发生时及时恢复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系统应保证在发生系统故障时，1个小时内能恢复系统。系统应保证在系统集群设计的情况下，在发生单节点故障时系统接管的有效性。</w:t>
      </w:r>
    </w:p>
    <w:p>
      <w:pPr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bookmarkStart w:id="4" w:name="_Toc31605_WPSOffice_Level3"/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5.3安全设计</w:t>
      </w:r>
      <w:bookmarkEnd w:id="4"/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大数据平台应当提供统一、规范的安全保证体系，主要从平台安全控制、安全风险控制、数据安全控制等三方面入手。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（1）</w:t>
      </w:r>
      <w:r>
        <w:rPr>
          <w:rFonts w:ascii="宋体" w:hAnsi="宋体" w:eastAsia="宋体"/>
          <w:b/>
          <w:bCs/>
          <w:sz w:val="24"/>
          <w:szCs w:val="24"/>
        </w:rPr>
        <w:t>平台安全控制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建立完善的账户认证安全体系，授予不同帐户完成各自承担任务所需的最小权限，他们之间的权限和资源相互隔离。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（2）</w:t>
      </w:r>
      <w:r>
        <w:rPr>
          <w:rFonts w:ascii="宋体" w:hAnsi="宋体" w:eastAsia="宋体"/>
          <w:b/>
          <w:bCs/>
          <w:sz w:val="24"/>
          <w:szCs w:val="24"/>
        </w:rPr>
        <w:t>安全风险控制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大数据平台建设时应充分考虑高可用，主从等风险管理机制，保证平台在故障发生时，能够继续提供一部分功能，确保能够实施必要的措施，并且应提供关键网络设备、通信线路和数据处理系统的硬件冗余，保证系统的可用性，能够对重要信息进行备份和恢复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1）库、表、字段级别数据安全控制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对数据库表字段可以进行细粒度的权限控制，针对相应的表字段有细分到操作类型的权限控制。可对整库，整表，进行赋权。基于角色进行授权管理，针对不符合安全控制的执行请求进行相应拒绝。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2）对数据访问和计算进行管理审计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对用户数据操作与计算访问进行日志记录。可对操作进行安全审计评估。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3）数据传输过程安全权限控制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在数据传输过程中采取加密等措施控制数据安全。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pStyle w:val="31"/>
        <w:numPr>
          <w:ilvl w:val="0"/>
          <w:numId w:val="3"/>
        </w:numPr>
        <w:spacing w:line="360" w:lineRule="auto"/>
        <w:ind w:firstLineChars="0"/>
        <w:outlineLvl w:val="1"/>
        <w:rPr>
          <w:rFonts w:hint="eastAsia" w:ascii="宋体" w:hAnsi="宋体" w:eastAsia="宋体" w:cs="宋体"/>
          <w:b/>
          <w:sz w:val="24"/>
          <w:szCs w:val="22"/>
        </w:rPr>
      </w:pPr>
      <w:r>
        <w:rPr>
          <w:rFonts w:hint="eastAsia" w:ascii="宋体" w:hAnsi="宋体" w:eastAsia="宋体" w:cs="宋体"/>
          <w:b/>
          <w:sz w:val="24"/>
          <w:szCs w:val="22"/>
        </w:rPr>
        <w:t>项目实施交付要求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  <w:lang w:val="en-US" w:eastAsia="zh-CN"/>
        </w:rPr>
        <w:t>6.1项目资料要求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项目实施完成验收时，乙方应提供</w:t>
      </w:r>
      <w:r>
        <w:rPr>
          <w:rFonts w:hint="eastAsia" w:ascii="宋体" w:hAnsi="宋体" w:eastAsia="宋体"/>
          <w:sz w:val="24"/>
          <w:szCs w:val="24"/>
        </w:rPr>
        <w:t>项目资料包括但不限于如下文档：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1.双方往来文件。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2.进度计划及完成情况。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3.项目人员情况（花名册、相关资料）。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4.项目需求文档/变更文档。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5.规划咨询文档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6.设计文档。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7.数据库设计文档。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8.接口文档。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9.测试文档（测试用例、测试报告）。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10.应用部署手册（服务器基本信息、部署环境版本信息、部署说明、备份恢复说明、密码修改、应用启停、服务端口脚本配置、参数配置、补丁升级更新说明）。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11.数据库部署手册（数据库基本信息、数据库脚本、备份恢复说明、参数配置、补丁升级更新说明）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12.系统操作手册。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13.合同约定的其他文档和资料。所有的项目资料在终验前必须完整地移交给招标人。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6.2项目保密要求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未经甲方事先书面同意，乙方不得将由甲方或者代表甲方提供的有关合同或者任何合同条文、计划、图纸、模型或者资料提供给与履行本合同无关的任何其他人。即使向与履行本合同有关的人员提供，也应当注意保密并限于履行合同必须的范围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乙方不得将甲方资源的配置、登录方式、资源账号密码，业务架构、系统负载规格等信息在任何时间、任何地点、任何方式提供给任何其它人。该信息即使乙方人员使用，也应当注意保密性。</w:t>
      </w:r>
    </w:p>
    <w:p>
      <w:pPr>
        <w:spacing w:line="360" w:lineRule="auto"/>
        <w:rPr>
          <w:rFonts w:hint="eastAsia" w:ascii="宋体" w:hAnsi="宋体" w:eastAsia="宋体" w:cs="宋体"/>
          <w:bCs/>
          <w:kern w:val="0"/>
          <w:sz w:val="24"/>
        </w:rPr>
      </w:pPr>
    </w:p>
    <w:p>
      <w:pPr>
        <w:pStyle w:val="31"/>
        <w:numPr>
          <w:ilvl w:val="0"/>
          <w:numId w:val="3"/>
        </w:numPr>
        <w:spacing w:line="360" w:lineRule="auto"/>
        <w:ind w:firstLineChars="0"/>
        <w:outlineLvl w:val="1"/>
        <w:rPr>
          <w:rFonts w:hint="eastAsia" w:ascii="宋体" w:hAnsi="宋体" w:eastAsia="宋体" w:cs="宋体"/>
          <w:b/>
          <w:sz w:val="24"/>
          <w:szCs w:val="22"/>
        </w:rPr>
      </w:pPr>
      <w:r>
        <w:rPr>
          <w:rFonts w:hint="eastAsia" w:ascii="宋体" w:hAnsi="宋体" w:eastAsia="宋体" w:cs="宋体"/>
          <w:b/>
          <w:sz w:val="24"/>
          <w:szCs w:val="22"/>
        </w:rPr>
        <w:t>保修期及售后服务</w:t>
      </w:r>
    </w:p>
    <w:p>
      <w:pPr>
        <w:spacing w:line="360" w:lineRule="auto"/>
        <w:ind w:firstLine="420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保修期范围：</w:t>
      </w:r>
      <w:r>
        <w:rPr>
          <w:rFonts w:ascii="宋体" w:hAnsi="宋体" w:eastAsia="宋体"/>
          <w:sz w:val="24"/>
          <w:szCs w:val="24"/>
        </w:rPr>
        <w:t>自软件完成验收</w:t>
      </w:r>
      <w:r>
        <w:rPr>
          <w:rFonts w:hint="eastAsia" w:ascii="宋体" w:hAnsi="宋体" w:eastAsia="宋体"/>
          <w:sz w:val="24"/>
          <w:szCs w:val="24"/>
        </w:rPr>
        <w:t>通过</w:t>
      </w:r>
      <w:r>
        <w:rPr>
          <w:rFonts w:ascii="宋体" w:hAnsi="宋体" w:eastAsia="宋体"/>
          <w:sz w:val="24"/>
          <w:szCs w:val="24"/>
        </w:rPr>
        <w:t>之日起12个月</w:t>
      </w:r>
      <w:r>
        <w:rPr>
          <w:rFonts w:hint="eastAsia" w:ascii="宋体" w:hAnsi="宋体" w:eastAsia="宋体" w:cs="宋体"/>
          <w:bCs/>
          <w:kern w:val="0"/>
          <w:sz w:val="24"/>
        </w:rPr>
        <w:t>。</w:t>
      </w:r>
    </w:p>
    <w:p>
      <w:pPr>
        <w:spacing w:line="360" w:lineRule="auto"/>
        <w:ind w:firstLine="420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人员要求：供应商在服务期内提供专职的服务人员提供服务，服务人员需具备</w:t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云计算、大数据、</w:t>
      </w:r>
      <w:r>
        <w:rPr>
          <w:rFonts w:hint="eastAsia" w:ascii="宋体" w:hAnsi="宋体" w:eastAsia="宋体" w:cs="宋体"/>
          <w:bCs/>
          <w:kern w:val="0"/>
          <w:sz w:val="24"/>
        </w:rPr>
        <w:t>网络、安全等专业知识和技能。</w:t>
      </w:r>
    </w:p>
    <w:p>
      <w:pPr>
        <w:spacing w:line="360" w:lineRule="auto"/>
        <w:ind w:firstLine="420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服务响应要求：供应商须在维保期内提供 24 小时全天候技术服务热线，负责解答用户在</w:t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数据中台</w:t>
      </w:r>
      <w:r>
        <w:rPr>
          <w:rFonts w:hint="eastAsia" w:ascii="宋体" w:hAnsi="宋体" w:eastAsia="宋体" w:cs="宋体"/>
          <w:bCs/>
          <w:kern w:val="0"/>
          <w:sz w:val="24"/>
        </w:rPr>
        <w:t>使用中遇到的问题，并及时提出解决问题的建议和操作方法，对故障15分钟内响应。</w:t>
      </w:r>
    </w:p>
    <w:p>
      <w:pPr>
        <w:spacing w:line="360" w:lineRule="auto"/>
        <w:ind w:firstLine="420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培训要求：现场培训，培训时间根据招标方后期要求确定，提供5人/天产品培训。</w:t>
      </w:r>
    </w:p>
    <w:p>
      <w:pPr>
        <w:spacing w:line="360" w:lineRule="auto"/>
        <w:ind w:firstLine="420"/>
        <w:rPr>
          <w:rFonts w:ascii="宋体" w:hAnsi="宋体" w:eastAsia="宋体" w:cs="宋体"/>
          <w:bCs/>
          <w:kern w:val="0"/>
          <w:sz w:val="24"/>
        </w:rPr>
      </w:pPr>
    </w:p>
    <w:p>
      <w:pPr>
        <w:pStyle w:val="31"/>
        <w:numPr>
          <w:ilvl w:val="0"/>
          <w:numId w:val="3"/>
        </w:numPr>
        <w:spacing w:line="360" w:lineRule="auto"/>
        <w:ind w:firstLineChars="0"/>
        <w:outlineLvl w:val="1"/>
        <w:rPr>
          <w:rFonts w:hint="eastAsia" w:ascii="宋体" w:hAnsi="宋体" w:eastAsia="宋体" w:cs="宋体"/>
          <w:b/>
          <w:sz w:val="24"/>
          <w:szCs w:val="22"/>
        </w:rPr>
      </w:pPr>
      <w:r>
        <w:rPr>
          <w:rFonts w:hint="eastAsia" w:ascii="宋体" w:hAnsi="宋体" w:eastAsia="宋体" w:cs="宋体"/>
          <w:b/>
          <w:sz w:val="24"/>
          <w:szCs w:val="22"/>
        </w:rPr>
        <w:t>项目完工期限</w:t>
      </w:r>
    </w:p>
    <w:p>
      <w:pPr>
        <w:spacing w:line="360" w:lineRule="auto"/>
        <w:ind w:firstLine="420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采购人和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成交单位</w:t>
      </w:r>
      <w:r>
        <w:rPr>
          <w:rFonts w:hint="eastAsia" w:ascii="宋体" w:hAnsi="宋体" w:eastAsia="宋体" w:cs="宋体"/>
          <w:bCs/>
          <w:kern w:val="0"/>
          <w:sz w:val="24"/>
        </w:rPr>
        <w:t>应当自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成交</w:t>
      </w:r>
      <w:r>
        <w:rPr>
          <w:rFonts w:hint="eastAsia" w:ascii="宋体" w:hAnsi="宋体" w:eastAsia="宋体" w:cs="宋体"/>
          <w:bCs/>
          <w:kern w:val="0"/>
          <w:sz w:val="24"/>
        </w:rPr>
        <w:t>通知书发出之日起30日内，根据询价文件和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成交单位</w:t>
      </w:r>
      <w:r>
        <w:rPr>
          <w:rFonts w:hint="eastAsia" w:ascii="宋体" w:hAnsi="宋体" w:eastAsia="宋体" w:cs="宋体"/>
          <w:bCs/>
          <w:kern w:val="0"/>
          <w:sz w:val="24"/>
        </w:rPr>
        <w:t>的报价文件订立书面合同。采购人和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成交单位</w:t>
      </w:r>
      <w:r>
        <w:rPr>
          <w:rFonts w:hint="eastAsia" w:ascii="宋体" w:hAnsi="宋体" w:eastAsia="宋体" w:cs="宋体"/>
          <w:bCs/>
          <w:kern w:val="0"/>
          <w:sz w:val="24"/>
        </w:rPr>
        <w:t>不得订立背离合同实质性内容的其他协议。</w:t>
      </w:r>
    </w:p>
    <w:p>
      <w:pPr>
        <w:spacing w:line="360" w:lineRule="auto"/>
        <w:ind w:firstLine="420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成交单位</w:t>
      </w:r>
      <w:r>
        <w:rPr>
          <w:rFonts w:hint="eastAsia" w:ascii="宋体" w:hAnsi="宋体" w:eastAsia="宋体" w:cs="宋体"/>
          <w:bCs/>
          <w:kern w:val="0"/>
          <w:sz w:val="24"/>
        </w:rPr>
        <w:t>无正当理由拒签合同的，采购人取消其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成交</w:t>
      </w:r>
      <w:r>
        <w:rPr>
          <w:rFonts w:hint="eastAsia" w:ascii="宋体" w:hAnsi="宋体" w:eastAsia="宋体" w:cs="宋体"/>
          <w:bCs/>
          <w:kern w:val="0"/>
          <w:sz w:val="24"/>
        </w:rPr>
        <w:t>资格。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</w:p>
    <w:p>
      <w:pPr>
        <w:pStyle w:val="31"/>
        <w:numPr>
          <w:ilvl w:val="0"/>
          <w:numId w:val="3"/>
        </w:numPr>
        <w:spacing w:line="360" w:lineRule="auto"/>
        <w:ind w:firstLineChars="0"/>
        <w:outlineLvl w:val="1"/>
        <w:rPr>
          <w:rFonts w:hint="eastAsia" w:ascii="宋体" w:hAnsi="宋体" w:eastAsia="宋体" w:cs="宋体"/>
          <w:b/>
          <w:sz w:val="24"/>
          <w:szCs w:val="22"/>
        </w:rPr>
      </w:pPr>
      <w:r>
        <w:rPr>
          <w:rFonts w:hint="eastAsia" w:ascii="宋体" w:hAnsi="宋体" w:eastAsia="宋体" w:cs="宋体"/>
          <w:b/>
          <w:sz w:val="24"/>
          <w:szCs w:val="22"/>
        </w:rPr>
        <w:t>付款方式</w:t>
      </w:r>
    </w:p>
    <w:p>
      <w:pPr>
        <w:spacing w:line="360" w:lineRule="auto"/>
        <w:ind w:firstLine="420"/>
        <w:rPr>
          <w:rFonts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付款分为到货款、终验款两部分。其中，到货款占合同金额的80%，货到后支付。终验款占合同金额的20%，</w:t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项目验收合格后支付（包括软件产品质量和</w:t>
      </w:r>
      <w:r>
        <w:rPr>
          <w:rFonts w:hint="eastAsia" w:ascii="宋体" w:hAnsi="宋体" w:eastAsia="宋体" w:cs="宋体"/>
          <w:bCs/>
          <w:kern w:val="0"/>
          <w:sz w:val="24"/>
        </w:rPr>
        <w:t>技术</w:t>
      </w:r>
      <w:r>
        <w:rPr>
          <w:rFonts w:hint="eastAsia" w:ascii="宋体" w:hAnsi="宋体" w:eastAsia="宋体" w:cs="宋体"/>
          <w:bCs/>
          <w:kern w:val="0"/>
          <w:sz w:val="24"/>
          <w:lang w:val="en-US" w:eastAsia="zh-CN"/>
        </w:rPr>
        <w:t>服务质量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）。</w:t>
      </w:r>
    </w:p>
    <w:sectPr>
      <w:pgSz w:w="11900" w:h="16840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1E2CAC"/>
    <w:multiLevelType w:val="multilevel"/>
    <w:tmpl w:val="341E2CA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97390B"/>
    <w:multiLevelType w:val="multilevel"/>
    <w:tmpl w:val="3897390B"/>
    <w:lvl w:ilvl="0" w:tentative="0">
      <w:start w:val="1"/>
      <w:numFmt w:val="chineseCountingThousand"/>
      <w:pStyle w:val="2"/>
      <w:lvlText w:val="%1. 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3EBB3C91"/>
    <w:multiLevelType w:val="multilevel"/>
    <w:tmpl w:val="3EBB3C91"/>
    <w:lvl w:ilvl="0" w:tentative="0">
      <w:start w:val="1"/>
      <w:numFmt w:val="decimal"/>
      <w:pStyle w:val="39"/>
      <w:suff w:val="space"/>
      <w:lvlText w:val="%1."/>
      <w:lvlJc w:val="left"/>
      <w:pPr>
        <w:ind w:left="5868" w:hanging="907"/>
      </w:pPr>
      <w:rPr>
        <w:rFonts w:ascii="Arial" w:hAnsi="Arial" w:eastAsia="黑体" w:cs="Times New Roman"/>
      </w:rPr>
    </w:lvl>
    <w:lvl w:ilvl="1" w:tentative="0">
      <w:start w:val="1"/>
      <w:numFmt w:val="decimal"/>
      <w:pStyle w:val="37"/>
      <w:isLgl/>
      <w:suff w:val="space"/>
      <w:lvlText w:val="%1.%2 "/>
      <w:lvlJc w:val="left"/>
      <w:pPr>
        <w:ind w:left="794" w:hanging="794"/>
      </w:pPr>
      <w:rPr>
        <w:rFonts w:hint="eastAsia"/>
      </w:rPr>
    </w:lvl>
    <w:lvl w:ilvl="2" w:tentative="0">
      <w:start w:val="1"/>
      <w:numFmt w:val="decimal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 "/>
      <w:lvlJc w:val="left"/>
      <w:pPr>
        <w:ind w:left="1418" w:hanging="1134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 w:tentative="0">
      <w:start w:val="1"/>
      <w:numFmt w:val="decimal"/>
      <w:lvlRestart w:val="1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Restart w:val="1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7D"/>
    <w:rsid w:val="00066053"/>
    <w:rsid w:val="000B242F"/>
    <w:rsid w:val="000E75AB"/>
    <w:rsid w:val="000F2A67"/>
    <w:rsid w:val="000F406B"/>
    <w:rsid w:val="001E2887"/>
    <w:rsid w:val="00234441"/>
    <w:rsid w:val="003C1875"/>
    <w:rsid w:val="004319FC"/>
    <w:rsid w:val="00481A0D"/>
    <w:rsid w:val="004B2A56"/>
    <w:rsid w:val="004D78BB"/>
    <w:rsid w:val="0050087D"/>
    <w:rsid w:val="005A7BB6"/>
    <w:rsid w:val="00673F81"/>
    <w:rsid w:val="006D43E3"/>
    <w:rsid w:val="006F50D7"/>
    <w:rsid w:val="007D278B"/>
    <w:rsid w:val="007F7D8A"/>
    <w:rsid w:val="0081481A"/>
    <w:rsid w:val="008C46E3"/>
    <w:rsid w:val="009073C4"/>
    <w:rsid w:val="00A71C36"/>
    <w:rsid w:val="00AA2257"/>
    <w:rsid w:val="00AC78BE"/>
    <w:rsid w:val="00B41B8A"/>
    <w:rsid w:val="00C36F03"/>
    <w:rsid w:val="00C70541"/>
    <w:rsid w:val="00CF0346"/>
    <w:rsid w:val="00D543C6"/>
    <w:rsid w:val="00ED3959"/>
    <w:rsid w:val="00F80218"/>
    <w:rsid w:val="00F8256B"/>
    <w:rsid w:val="01347E10"/>
    <w:rsid w:val="02152634"/>
    <w:rsid w:val="02545271"/>
    <w:rsid w:val="027757CB"/>
    <w:rsid w:val="034E35E2"/>
    <w:rsid w:val="03C24E86"/>
    <w:rsid w:val="03D23CB5"/>
    <w:rsid w:val="0573359C"/>
    <w:rsid w:val="05915340"/>
    <w:rsid w:val="05F04365"/>
    <w:rsid w:val="06137639"/>
    <w:rsid w:val="062E0E37"/>
    <w:rsid w:val="066431B0"/>
    <w:rsid w:val="06860FF3"/>
    <w:rsid w:val="068E5D85"/>
    <w:rsid w:val="07041848"/>
    <w:rsid w:val="07073B6E"/>
    <w:rsid w:val="07276E62"/>
    <w:rsid w:val="074F436C"/>
    <w:rsid w:val="075E0ED7"/>
    <w:rsid w:val="07D05D2E"/>
    <w:rsid w:val="08617AF0"/>
    <w:rsid w:val="0882231C"/>
    <w:rsid w:val="090328AF"/>
    <w:rsid w:val="09A47D3A"/>
    <w:rsid w:val="0A522DF4"/>
    <w:rsid w:val="0A7E600A"/>
    <w:rsid w:val="0AB831B8"/>
    <w:rsid w:val="0ADD1856"/>
    <w:rsid w:val="0B1F2390"/>
    <w:rsid w:val="0BC83FBC"/>
    <w:rsid w:val="0C251061"/>
    <w:rsid w:val="0C294646"/>
    <w:rsid w:val="0D016E7C"/>
    <w:rsid w:val="0D456D91"/>
    <w:rsid w:val="0E3F54C2"/>
    <w:rsid w:val="0EFE532E"/>
    <w:rsid w:val="0F21741D"/>
    <w:rsid w:val="0FCF33E3"/>
    <w:rsid w:val="10830E7A"/>
    <w:rsid w:val="11573C4E"/>
    <w:rsid w:val="11DA724D"/>
    <w:rsid w:val="127D0C86"/>
    <w:rsid w:val="13335E73"/>
    <w:rsid w:val="13D66C7E"/>
    <w:rsid w:val="14495E71"/>
    <w:rsid w:val="147E12B9"/>
    <w:rsid w:val="155C4E10"/>
    <w:rsid w:val="15FB3159"/>
    <w:rsid w:val="17D63742"/>
    <w:rsid w:val="180170A7"/>
    <w:rsid w:val="1802738E"/>
    <w:rsid w:val="180B425E"/>
    <w:rsid w:val="18913712"/>
    <w:rsid w:val="189E1264"/>
    <w:rsid w:val="18C60A2F"/>
    <w:rsid w:val="18C87FBC"/>
    <w:rsid w:val="19270AEE"/>
    <w:rsid w:val="19443B83"/>
    <w:rsid w:val="195527ED"/>
    <w:rsid w:val="197D112E"/>
    <w:rsid w:val="19AF6358"/>
    <w:rsid w:val="1A023338"/>
    <w:rsid w:val="1A126421"/>
    <w:rsid w:val="1A8278D6"/>
    <w:rsid w:val="1BB41921"/>
    <w:rsid w:val="1D545BDF"/>
    <w:rsid w:val="1D8A632A"/>
    <w:rsid w:val="1D9A6F5E"/>
    <w:rsid w:val="1EC372C0"/>
    <w:rsid w:val="1F510182"/>
    <w:rsid w:val="1F55755F"/>
    <w:rsid w:val="1F894AB9"/>
    <w:rsid w:val="1FD873F8"/>
    <w:rsid w:val="1FEE4451"/>
    <w:rsid w:val="204D0343"/>
    <w:rsid w:val="206239BB"/>
    <w:rsid w:val="20761F36"/>
    <w:rsid w:val="209C2476"/>
    <w:rsid w:val="211765C5"/>
    <w:rsid w:val="21400605"/>
    <w:rsid w:val="21FC7C3E"/>
    <w:rsid w:val="221A1867"/>
    <w:rsid w:val="22F2168C"/>
    <w:rsid w:val="232374C0"/>
    <w:rsid w:val="2358679A"/>
    <w:rsid w:val="23AE15C5"/>
    <w:rsid w:val="25483466"/>
    <w:rsid w:val="25D87C59"/>
    <w:rsid w:val="267D7C7E"/>
    <w:rsid w:val="26863730"/>
    <w:rsid w:val="276D3842"/>
    <w:rsid w:val="2776672D"/>
    <w:rsid w:val="28B65734"/>
    <w:rsid w:val="28CE397A"/>
    <w:rsid w:val="28D664FE"/>
    <w:rsid w:val="2973117C"/>
    <w:rsid w:val="297361D5"/>
    <w:rsid w:val="29FC221E"/>
    <w:rsid w:val="2AA576AC"/>
    <w:rsid w:val="2B6A27F3"/>
    <w:rsid w:val="2B861EBC"/>
    <w:rsid w:val="2BA11381"/>
    <w:rsid w:val="2BAE5925"/>
    <w:rsid w:val="2BAF69DE"/>
    <w:rsid w:val="2C0D63C7"/>
    <w:rsid w:val="2D02247A"/>
    <w:rsid w:val="2D793041"/>
    <w:rsid w:val="2EDB29EC"/>
    <w:rsid w:val="2F0A5F8D"/>
    <w:rsid w:val="2F945BB7"/>
    <w:rsid w:val="3010129F"/>
    <w:rsid w:val="303858B3"/>
    <w:rsid w:val="309904C7"/>
    <w:rsid w:val="30CC07E9"/>
    <w:rsid w:val="30DC76A6"/>
    <w:rsid w:val="30EF2755"/>
    <w:rsid w:val="31607C6B"/>
    <w:rsid w:val="31766A26"/>
    <w:rsid w:val="31A72699"/>
    <w:rsid w:val="31F651A7"/>
    <w:rsid w:val="32531E30"/>
    <w:rsid w:val="32FB690C"/>
    <w:rsid w:val="32FF6F59"/>
    <w:rsid w:val="3345185C"/>
    <w:rsid w:val="33B2012B"/>
    <w:rsid w:val="34C62637"/>
    <w:rsid w:val="34D801FA"/>
    <w:rsid w:val="350D69F8"/>
    <w:rsid w:val="352443BA"/>
    <w:rsid w:val="357C66FD"/>
    <w:rsid w:val="35B37978"/>
    <w:rsid w:val="35E61095"/>
    <w:rsid w:val="368D7269"/>
    <w:rsid w:val="36A57849"/>
    <w:rsid w:val="36DF514B"/>
    <w:rsid w:val="379F67DF"/>
    <w:rsid w:val="38586983"/>
    <w:rsid w:val="38815884"/>
    <w:rsid w:val="39030F12"/>
    <w:rsid w:val="39AC02D9"/>
    <w:rsid w:val="39CE07A0"/>
    <w:rsid w:val="39E520EB"/>
    <w:rsid w:val="3A9E3B25"/>
    <w:rsid w:val="3B1E13CB"/>
    <w:rsid w:val="3B297F01"/>
    <w:rsid w:val="3B5232FD"/>
    <w:rsid w:val="3C4E7200"/>
    <w:rsid w:val="3C6362BF"/>
    <w:rsid w:val="3CE15A8A"/>
    <w:rsid w:val="3CEE26EB"/>
    <w:rsid w:val="3DA1058A"/>
    <w:rsid w:val="3DC30F12"/>
    <w:rsid w:val="3E0309E9"/>
    <w:rsid w:val="3E1A15B5"/>
    <w:rsid w:val="3E987509"/>
    <w:rsid w:val="3F610BBF"/>
    <w:rsid w:val="3FC27BB6"/>
    <w:rsid w:val="40203158"/>
    <w:rsid w:val="402A3759"/>
    <w:rsid w:val="403B7300"/>
    <w:rsid w:val="405167C7"/>
    <w:rsid w:val="40AC19FE"/>
    <w:rsid w:val="40D60DED"/>
    <w:rsid w:val="416114CD"/>
    <w:rsid w:val="4170758F"/>
    <w:rsid w:val="41E04980"/>
    <w:rsid w:val="42AE5A80"/>
    <w:rsid w:val="4317150F"/>
    <w:rsid w:val="431820CF"/>
    <w:rsid w:val="43684EDE"/>
    <w:rsid w:val="458C1DA6"/>
    <w:rsid w:val="458D3436"/>
    <w:rsid w:val="45A93237"/>
    <w:rsid w:val="45B74AD2"/>
    <w:rsid w:val="45E74527"/>
    <w:rsid w:val="45FA4907"/>
    <w:rsid w:val="46926A65"/>
    <w:rsid w:val="46B93B36"/>
    <w:rsid w:val="46CA36E6"/>
    <w:rsid w:val="471C76A9"/>
    <w:rsid w:val="47221F4E"/>
    <w:rsid w:val="472943E9"/>
    <w:rsid w:val="47330CF1"/>
    <w:rsid w:val="48D25066"/>
    <w:rsid w:val="491666D3"/>
    <w:rsid w:val="4918518B"/>
    <w:rsid w:val="495A5861"/>
    <w:rsid w:val="49A7744C"/>
    <w:rsid w:val="49F33C4C"/>
    <w:rsid w:val="4AA75182"/>
    <w:rsid w:val="4B0E1A7D"/>
    <w:rsid w:val="4BB736BC"/>
    <w:rsid w:val="4C216E1F"/>
    <w:rsid w:val="4C891AFF"/>
    <w:rsid w:val="4CED56AF"/>
    <w:rsid w:val="4D3F3E5B"/>
    <w:rsid w:val="4D912B4E"/>
    <w:rsid w:val="4DA7797A"/>
    <w:rsid w:val="4DD242CC"/>
    <w:rsid w:val="4E637E9D"/>
    <w:rsid w:val="4F353896"/>
    <w:rsid w:val="4FF84B2A"/>
    <w:rsid w:val="503D4C39"/>
    <w:rsid w:val="50D744C2"/>
    <w:rsid w:val="525F1922"/>
    <w:rsid w:val="52DE1C9F"/>
    <w:rsid w:val="52E9400E"/>
    <w:rsid w:val="53035211"/>
    <w:rsid w:val="530A15FE"/>
    <w:rsid w:val="546A2FBE"/>
    <w:rsid w:val="550C545C"/>
    <w:rsid w:val="55C568B0"/>
    <w:rsid w:val="55CD5308"/>
    <w:rsid w:val="55CE4A47"/>
    <w:rsid w:val="560C14E0"/>
    <w:rsid w:val="566A544C"/>
    <w:rsid w:val="56792118"/>
    <w:rsid w:val="568E1FFB"/>
    <w:rsid w:val="56EE3C4E"/>
    <w:rsid w:val="57252F81"/>
    <w:rsid w:val="574651F2"/>
    <w:rsid w:val="58AB53B7"/>
    <w:rsid w:val="58EB7104"/>
    <w:rsid w:val="59321F23"/>
    <w:rsid w:val="59591E75"/>
    <w:rsid w:val="59D25470"/>
    <w:rsid w:val="5A427901"/>
    <w:rsid w:val="5A7210C4"/>
    <w:rsid w:val="5A7E1CCF"/>
    <w:rsid w:val="5AAC7ED7"/>
    <w:rsid w:val="5AB15241"/>
    <w:rsid w:val="5B084790"/>
    <w:rsid w:val="5B1C4310"/>
    <w:rsid w:val="5B6A6F88"/>
    <w:rsid w:val="5BD006A8"/>
    <w:rsid w:val="5D5A63AA"/>
    <w:rsid w:val="5D8247FF"/>
    <w:rsid w:val="5DB84CC0"/>
    <w:rsid w:val="5E752470"/>
    <w:rsid w:val="5EEE448F"/>
    <w:rsid w:val="60281B11"/>
    <w:rsid w:val="610E2BDD"/>
    <w:rsid w:val="61C179FC"/>
    <w:rsid w:val="620742CD"/>
    <w:rsid w:val="62B96492"/>
    <w:rsid w:val="631C2633"/>
    <w:rsid w:val="636B2F6C"/>
    <w:rsid w:val="64B35A10"/>
    <w:rsid w:val="65681F3B"/>
    <w:rsid w:val="658C476D"/>
    <w:rsid w:val="666246E5"/>
    <w:rsid w:val="66DE48AA"/>
    <w:rsid w:val="67214F23"/>
    <w:rsid w:val="679B6488"/>
    <w:rsid w:val="67EE5150"/>
    <w:rsid w:val="68C41A3A"/>
    <w:rsid w:val="6AFA0104"/>
    <w:rsid w:val="6B171ECC"/>
    <w:rsid w:val="6B2D5B3B"/>
    <w:rsid w:val="6C3A4808"/>
    <w:rsid w:val="6C6E3EF6"/>
    <w:rsid w:val="6C930305"/>
    <w:rsid w:val="6C9E437D"/>
    <w:rsid w:val="6D083422"/>
    <w:rsid w:val="6D7264BA"/>
    <w:rsid w:val="6DE44256"/>
    <w:rsid w:val="6E42425F"/>
    <w:rsid w:val="6EA27644"/>
    <w:rsid w:val="6F8C721D"/>
    <w:rsid w:val="6F9D6B84"/>
    <w:rsid w:val="6FF13F27"/>
    <w:rsid w:val="700749CB"/>
    <w:rsid w:val="712E1BEA"/>
    <w:rsid w:val="714154A5"/>
    <w:rsid w:val="71B75C0D"/>
    <w:rsid w:val="72D76DBC"/>
    <w:rsid w:val="72E55AB7"/>
    <w:rsid w:val="742056EE"/>
    <w:rsid w:val="74A96571"/>
    <w:rsid w:val="75564DE2"/>
    <w:rsid w:val="7557156F"/>
    <w:rsid w:val="76D912AB"/>
    <w:rsid w:val="7775399C"/>
    <w:rsid w:val="77AB4F37"/>
    <w:rsid w:val="77B500D8"/>
    <w:rsid w:val="77C112BD"/>
    <w:rsid w:val="78020DF7"/>
    <w:rsid w:val="79DE3D8F"/>
    <w:rsid w:val="79E74C5D"/>
    <w:rsid w:val="7A9926B2"/>
    <w:rsid w:val="7AF73E2C"/>
    <w:rsid w:val="7B5F5365"/>
    <w:rsid w:val="7B924EE6"/>
    <w:rsid w:val="7C2A3F06"/>
    <w:rsid w:val="7CBD2D17"/>
    <w:rsid w:val="7D4A1853"/>
    <w:rsid w:val="7DC17FC5"/>
    <w:rsid w:val="A7FB8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9"/>
    <w:qFormat/>
    <w:uiPriority w:val="9"/>
    <w:pPr>
      <w:keepNext/>
      <w:keepLines/>
      <w:numPr>
        <w:ilvl w:val="0"/>
        <w:numId w:val="1"/>
      </w:numPr>
      <w:pBdr>
        <w:bottom w:val="single" w:color="auto" w:sz="48" w:space="1"/>
      </w:pBdr>
      <w:spacing w:before="60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0"/>
    <w:qFormat/>
    <w:uiPriority w:val="9"/>
    <w:pPr>
      <w:keepNext/>
      <w:keepLines/>
      <w:widowControl w:val="0"/>
      <w:numPr>
        <w:ilvl w:val="1"/>
        <w:numId w:val="1"/>
      </w:numPr>
      <w:spacing w:before="260" w:after="260"/>
      <w:outlineLvl w:val="1"/>
    </w:pPr>
    <w:rPr>
      <w:rFonts w:eastAsia="黑体"/>
      <w:b/>
      <w:kern w:val="2"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99"/>
    <w:pPr>
      <w:ind w:firstLine="420"/>
    </w:pPr>
    <w:rPr>
      <w:rFonts w:ascii="Times New Roman" w:hAnsi="Times New Roman"/>
      <w:kern w:val="0"/>
      <w:sz w:val="20"/>
      <w:szCs w:val="20"/>
    </w:rPr>
  </w:style>
  <w:style w:type="paragraph" w:styleId="6">
    <w:name w:val="annotation text"/>
    <w:basedOn w:val="1"/>
    <w:link w:val="55"/>
    <w:semiHidden/>
    <w:unhideWhenUsed/>
    <w:qFormat/>
    <w:uiPriority w:val="99"/>
  </w:style>
  <w:style w:type="paragraph" w:styleId="7">
    <w:name w:val="Body Text"/>
    <w:basedOn w:val="1"/>
    <w:semiHidden/>
    <w:unhideWhenUsed/>
    <w:qFormat/>
    <w:uiPriority w:val="99"/>
    <w:pPr>
      <w:spacing w:after="120"/>
    </w:pPr>
  </w:style>
  <w:style w:type="paragraph" w:styleId="8">
    <w:name w:val="Plain Text"/>
    <w:basedOn w:val="1"/>
    <w:link w:val="48"/>
    <w:qFormat/>
    <w:uiPriority w:val="0"/>
    <w:rPr>
      <w:rFonts w:ascii="宋体" w:hAnsi="Courier New" w:eastAsia="宋体"/>
      <w:szCs w:val="22"/>
    </w:rPr>
  </w:style>
  <w:style w:type="paragraph" w:styleId="9">
    <w:name w:val="Balloon Text"/>
    <w:basedOn w:val="1"/>
    <w:link w:val="5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5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5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semiHidden/>
    <w:unhideWhenUsed/>
    <w:qFormat/>
    <w:uiPriority w:val="99"/>
    <w:pPr>
      <w:spacing w:beforeAutospacing="1" w:afterAutospacing="1" w:line="360" w:lineRule="auto"/>
      <w:ind w:firstLine="880" w:firstLineChars="200"/>
      <w:jc w:val="left"/>
    </w:pPr>
    <w:rPr>
      <w:rFonts w:eastAsia="仿宋_GB2312" w:cs="Times New Roman"/>
      <w:kern w:val="0"/>
      <w:sz w:val="24"/>
    </w:rPr>
  </w:style>
  <w:style w:type="paragraph" w:styleId="13">
    <w:name w:val="Body Text First Indent"/>
    <w:basedOn w:val="7"/>
    <w:semiHidden/>
    <w:unhideWhenUsed/>
    <w:qFormat/>
    <w:uiPriority w:val="99"/>
    <w:pPr>
      <w:widowControl/>
      <w:ind w:firstLine="420" w:firstLineChars="10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</w:rPr>
  </w:style>
  <w:style w:type="character" w:styleId="18">
    <w:name w:val="FollowedHyperlink"/>
    <w:basedOn w:val="16"/>
    <w:semiHidden/>
    <w:unhideWhenUsed/>
    <w:qFormat/>
    <w:uiPriority w:val="99"/>
    <w:rPr>
      <w:color w:val="800080"/>
      <w:u w:val="none"/>
    </w:rPr>
  </w:style>
  <w:style w:type="character" w:styleId="19">
    <w:name w:val="Emphasis"/>
    <w:basedOn w:val="16"/>
    <w:qFormat/>
    <w:uiPriority w:val="20"/>
    <w:rPr>
      <w:b/>
    </w:rPr>
  </w:style>
  <w:style w:type="character" w:styleId="20">
    <w:name w:val="HTML Definition"/>
    <w:basedOn w:val="16"/>
    <w:semiHidden/>
    <w:unhideWhenUsed/>
    <w:qFormat/>
    <w:uiPriority w:val="99"/>
  </w:style>
  <w:style w:type="character" w:styleId="21">
    <w:name w:val="HTML Typewriter"/>
    <w:basedOn w:val="16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2">
    <w:name w:val="HTML Acronym"/>
    <w:basedOn w:val="16"/>
    <w:semiHidden/>
    <w:unhideWhenUsed/>
    <w:qFormat/>
    <w:uiPriority w:val="99"/>
  </w:style>
  <w:style w:type="character" w:styleId="23">
    <w:name w:val="HTML Variable"/>
    <w:basedOn w:val="16"/>
    <w:semiHidden/>
    <w:unhideWhenUsed/>
    <w:qFormat/>
    <w:uiPriority w:val="99"/>
  </w:style>
  <w:style w:type="character" w:styleId="24">
    <w:name w:val="Hyperlink"/>
    <w:basedOn w:val="16"/>
    <w:semiHidden/>
    <w:unhideWhenUsed/>
    <w:qFormat/>
    <w:uiPriority w:val="99"/>
    <w:rPr>
      <w:color w:val="0000FF"/>
      <w:u w:val="none"/>
    </w:rPr>
  </w:style>
  <w:style w:type="character" w:styleId="25">
    <w:name w:val="HTML Code"/>
    <w:basedOn w:val="16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6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styleId="27">
    <w:name w:val="HTML Cite"/>
    <w:basedOn w:val="16"/>
    <w:semiHidden/>
    <w:unhideWhenUsed/>
    <w:qFormat/>
    <w:uiPriority w:val="99"/>
  </w:style>
  <w:style w:type="character" w:styleId="28">
    <w:name w:val="HTML Keyboard"/>
    <w:basedOn w:val="16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9">
    <w:name w:val="HTML Sample"/>
    <w:basedOn w:val="16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30">
    <w:name w:val="正文（公司）"/>
    <w:qFormat/>
    <w:uiPriority w:val="0"/>
    <w:pPr>
      <w:spacing w:line="300" w:lineRule="auto"/>
    </w:pPr>
    <w:rPr>
      <w:rFonts w:ascii="Arial" w:hAnsi="Arial" w:eastAsia="宋体" w:cs="Times New Roman"/>
      <w:sz w:val="24"/>
      <w:szCs w:val="21"/>
      <w:lang w:val="en-US" w:eastAsia="zh-CN" w:bidi="ar-SA"/>
    </w:rPr>
  </w:style>
  <w:style w:type="paragraph" w:styleId="31">
    <w:name w:val="List Paragraph"/>
    <w:basedOn w:val="1"/>
    <w:link w:val="54"/>
    <w:qFormat/>
    <w:uiPriority w:val="34"/>
    <w:pPr>
      <w:ind w:firstLine="420" w:firstLineChars="200"/>
    </w:pPr>
  </w:style>
  <w:style w:type="paragraph" w:customStyle="1" w:styleId="32">
    <w:name w:val="List Paragraph1"/>
    <w:basedOn w:val="1"/>
    <w:qFormat/>
    <w:uiPriority w:val="34"/>
    <w:pPr>
      <w:ind w:firstLine="420" w:firstLineChars="200"/>
    </w:pPr>
    <w:rPr>
      <w:rFonts w:ascii="Times New Roman" w:hAnsi="Times New Roman"/>
      <w:szCs w:val="21"/>
    </w:rPr>
  </w:style>
  <w:style w:type="paragraph" w:customStyle="1" w:styleId="33">
    <w:name w:val="公司正文"/>
    <w:basedOn w:val="1"/>
    <w:qFormat/>
    <w:uiPriority w:val="0"/>
    <w:pPr>
      <w:spacing w:line="590" w:lineRule="exact"/>
      <w:ind w:firstLine="883" w:firstLineChars="200"/>
    </w:pPr>
    <w:rPr>
      <w:rFonts w:ascii="Calibri" w:hAnsi="Calibri" w:eastAsia="方正仿宋_GBK"/>
      <w:sz w:val="32"/>
    </w:rPr>
  </w:style>
  <w:style w:type="character" w:customStyle="1" w:styleId="34">
    <w:name w:val="mini-outputtext1"/>
    <w:basedOn w:val="16"/>
    <w:qFormat/>
    <w:uiPriority w:val="0"/>
  </w:style>
  <w:style w:type="paragraph" w:customStyle="1" w:styleId="35">
    <w:name w:val="正文首行缩进（公司）"/>
    <w:basedOn w:val="30"/>
    <w:qFormat/>
    <w:uiPriority w:val="0"/>
    <w:pPr>
      <w:spacing w:after="50"/>
      <w:ind w:firstLine="200" w:firstLineChars="200"/>
    </w:p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7">
    <w:name w:val="标题 2（公司）"/>
    <w:basedOn w:val="3"/>
    <w:next w:val="30"/>
    <w:qFormat/>
    <w:uiPriority w:val="0"/>
    <w:pPr>
      <w:numPr>
        <w:numId w:val="2"/>
      </w:numPr>
      <w:spacing w:line="415" w:lineRule="auto"/>
    </w:pPr>
    <w:rPr>
      <w:szCs w:val="32"/>
    </w:rPr>
  </w:style>
  <w:style w:type="paragraph" w:customStyle="1" w:styleId="38">
    <w:name w:val="正文内容"/>
    <w:basedOn w:val="1"/>
    <w:qFormat/>
    <w:uiPriority w:val="0"/>
    <w:pPr>
      <w:spacing w:beforeLines="50" w:afterLines="50" w:line="360" w:lineRule="auto"/>
      <w:ind w:firstLine="480" w:firstLineChars="200"/>
    </w:pPr>
    <w:rPr>
      <w:rFonts w:ascii="Times New Roman" w:hAnsi="Times New Roman"/>
      <w:sz w:val="24"/>
      <w:szCs w:val="20"/>
    </w:rPr>
  </w:style>
  <w:style w:type="paragraph" w:customStyle="1" w:styleId="39">
    <w:name w:val="标题 1（公司）"/>
    <w:basedOn w:val="2"/>
    <w:next w:val="30"/>
    <w:qFormat/>
    <w:uiPriority w:val="0"/>
    <w:pPr>
      <w:numPr>
        <w:numId w:val="2"/>
      </w:numPr>
      <w:pBdr>
        <w:bottom w:val="none" w:color="auto" w:sz="0" w:space="0"/>
      </w:pBdr>
      <w:spacing w:line="576" w:lineRule="auto"/>
    </w:pPr>
  </w:style>
  <w:style w:type="paragraph" w:customStyle="1" w:styleId="40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4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2">
    <w:name w:val="正文 A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3">
    <w:name w:val="默认"/>
    <w:qFormat/>
    <w:uiPriority w:val="0"/>
    <w:rPr>
      <w:rFonts w:ascii="Helvetica Neue" w:hAnsi="Helvetica Neue" w:eastAsia="Helvetica Neue" w:cs="Helvetica Neue"/>
      <w:color w:val="000000"/>
      <w:sz w:val="22"/>
      <w:szCs w:val="22"/>
      <w:lang w:val="en-US" w:eastAsia="zh-CN" w:bidi="ar-SA"/>
    </w:rPr>
  </w:style>
  <w:style w:type="table" w:customStyle="1" w:styleId="44">
    <w:name w:val="网格型1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5">
    <w:name w:val="纯文本 字符"/>
    <w:basedOn w:val="16"/>
    <w:semiHidden/>
    <w:qFormat/>
    <w:uiPriority w:val="99"/>
    <w:rPr>
      <w:rFonts w:hAnsi="Courier New" w:cs="Courier New" w:asciiTheme="minorEastAsia" w:eastAsiaTheme="minorEastAsia"/>
      <w:kern w:val="2"/>
      <w:sz w:val="21"/>
      <w:szCs w:val="24"/>
    </w:rPr>
  </w:style>
  <w:style w:type="paragraph" w:customStyle="1" w:styleId="46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rFonts w:ascii="Calibri" w:hAnsi="Calibri" w:eastAsia="宋体" w:cs="Times New Roman"/>
      <w:sz w:val="24"/>
    </w:rPr>
  </w:style>
  <w:style w:type="paragraph" w:customStyle="1" w:styleId="47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kern w:val="0"/>
      <w:sz w:val="34"/>
      <w:szCs w:val="20"/>
    </w:rPr>
  </w:style>
  <w:style w:type="character" w:customStyle="1" w:styleId="48">
    <w:name w:val="纯文本 字符1"/>
    <w:link w:val="8"/>
    <w:qFormat/>
    <w:uiPriority w:val="0"/>
    <w:rPr>
      <w:rFonts w:ascii="宋体" w:hAnsi="Courier New" w:cstheme="minorBidi"/>
      <w:kern w:val="2"/>
      <w:sz w:val="21"/>
      <w:szCs w:val="22"/>
    </w:rPr>
  </w:style>
  <w:style w:type="character" w:customStyle="1" w:styleId="49">
    <w:name w:val="标题 1 字符"/>
    <w:basedOn w:val="16"/>
    <w:link w:val="2"/>
    <w:qFormat/>
    <w:uiPriority w:val="9"/>
    <w:rPr>
      <w:rFonts w:eastAsia="黑体" w:asciiTheme="minorHAnsi" w:hAnsiTheme="minorHAnsi" w:cstheme="minorBidi"/>
      <w:b/>
      <w:bCs/>
      <w:kern w:val="44"/>
      <w:sz w:val="44"/>
      <w:szCs w:val="44"/>
    </w:rPr>
  </w:style>
  <w:style w:type="character" w:customStyle="1" w:styleId="50">
    <w:name w:val="标题 2 字符"/>
    <w:basedOn w:val="16"/>
    <w:link w:val="3"/>
    <w:qFormat/>
    <w:uiPriority w:val="9"/>
    <w:rPr>
      <w:rFonts w:ascii="Arial" w:hAnsi="Arial" w:eastAsia="黑体"/>
      <w:b/>
      <w:kern w:val="2"/>
      <w:sz w:val="32"/>
      <w:szCs w:val="21"/>
    </w:rPr>
  </w:style>
  <w:style w:type="character" w:customStyle="1" w:styleId="51">
    <w:name w:val="页眉 字符"/>
    <w:basedOn w:val="16"/>
    <w:link w:val="11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52">
    <w:name w:val="页脚 字符"/>
    <w:basedOn w:val="16"/>
    <w:link w:val="10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53">
    <w:name w:val="批注框文本 字符"/>
    <w:basedOn w:val="16"/>
    <w:link w:val="9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54">
    <w:name w:val="列表段落 字符"/>
    <w:link w:val="31"/>
    <w:qFormat/>
    <w:locked/>
    <w:uiPriority w:val="34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55">
    <w:name w:val="批注文字 字符"/>
    <w:basedOn w:val="16"/>
    <w:link w:val="6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28</Pages>
  <Words>3383</Words>
  <Characters>19285</Characters>
  <Lines>160</Lines>
  <Paragraphs>45</Paragraphs>
  <TotalTime>19</TotalTime>
  <ScaleCrop>false</ScaleCrop>
  <LinksUpToDate>false</LinksUpToDate>
  <CharactersWithSpaces>22623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2019-07-08T07:53:00Z</dcterms:created>
  <dc:creator>office2016mac34183</dc:creator>
  <cp:lastModifiedBy>Administrator</cp:lastModifiedBy>
  <dcterms:modified xsi:type="dcterms:W3CDTF">2021-08-23T01:21:16Z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A836E6D7F06340B69F001809899F1985</vt:lpwstr>
  </property>
</Properties>
</file>