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360" w:lineRule="auto"/>
        <w:ind w:firstLine="0" w:firstLineChars="0"/>
        <w:jc w:val="center"/>
        <w:outlineLvl w:val="0"/>
        <w:rPr>
          <w:rFonts w:ascii="宋体" w:hAnsi="宋体" w:eastAsia="宋体" w:cs="宋体"/>
          <w:b/>
          <w:color w:val="auto"/>
          <w:sz w:val="30"/>
          <w:szCs w:val="30"/>
        </w:rPr>
      </w:pPr>
      <w:bookmarkStart w:id="0" w:name="_Toc28781"/>
      <w:r>
        <w:rPr>
          <w:rFonts w:hint="eastAsia" w:ascii="宋体" w:hAnsi="宋体" w:eastAsia="宋体" w:cs="宋体"/>
          <w:b/>
          <w:color w:val="auto"/>
          <w:sz w:val="30"/>
          <w:szCs w:val="30"/>
          <w:lang w:eastAsia="zh-CN"/>
        </w:rPr>
        <w:t>附件：</w:t>
      </w:r>
      <w:r>
        <w:rPr>
          <w:rFonts w:hint="eastAsia" w:ascii="宋体" w:hAnsi="宋体" w:eastAsia="宋体" w:cs="宋体"/>
          <w:b/>
          <w:color w:val="auto"/>
          <w:sz w:val="30"/>
          <w:szCs w:val="30"/>
        </w:rPr>
        <w:t>江南水务</w:t>
      </w:r>
      <w:r>
        <w:rPr>
          <w:rFonts w:hint="eastAsia" w:ascii="宋体" w:hAnsi="宋体" w:eastAsia="宋体" w:cs="宋体"/>
          <w:b/>
          <w:color w:val="auto"/>
          <w:sz w:val="30"/>
          <w:szCs w:val="30"/>
          <w:lang w:eastAsia="zh-CN"/>
        </w:rPr>
        <w:t>网络安全建设项目</w:t>
      </w:r>
      <w:r>
        <w:rPr>
          <w:rFonts w:hint="eastAsia" w:ascii="宋体" w:hAnsi="宋体" w:eastAsia="宋体" w:cs="宋体"/>
          <w:b/>
          <w:color w:val="auto"/>
          <w:sz w:val="30"/>
          <w:szCs w:val="30"/>
        </w:rPr>
        <w:t>询价采购需求</w:t>
      </w:r>
      <w:bookmarkEnd w:id="0"/>
    </w:p>
    <w:p>
      <w:pPr>
        <w:pStyle w:val="33"/>
        <w:snapToGrid w:val="0"/>
        <w:spacing w:line="360" w:lineRule="auto"/>
        <w:jc w:val="both"/>
        <w:rPr>
          <w:rFonts w:ascii="Calibri" w:hAnsi="Calibri" w:cs="Calibri"/>
          <w:color w:val="auto"/>
        </w:rPr>
      </w:pPr>
    </w:p>
    <w:p>
      <w:pPr>
        <w:pStyle w:val="28"/>
        <w:spacing w:line="360" w:lineRule="auto"/>
        <w:ind w:firstLine="0" w:firstLineChars="0"/>
        <w:outlineLvl w:val="1"/>
        <w:rPr>
          <w:rFonts w:ascii="宋体" w:hAnsi="宋体" w:eastAsia="宋体" w:cs="宋体"/>
          <w:b/>
          <w:color w:val="auto"/>
          <w:sz w:val="24"/>
        </w:rPr>
      </w:pPr>
      <w:bookmarkStart w:id="1" w:name="_Toc15050"/>
      <w:bookmarkStart w:id="2" w:name="_Toc451960652"/>
      <w:r>
        <w:rPr>
          <w:rFonts w:hint="eastAsia" w:ascii="宋体" w:hAnsi="宋体" w:eastAsia="宋体" w:cs="宋体"/>
          <w:b/>
          <w:color w:val="auto"/>
          <w:sz w:val="24"/>
        </w:rPr>
        <w:t>一、项目建设内容</w:t>
      </w:r>
      <w:bookmarkEnd w:id="1"/>
      <w:bookmarkEnd w:id="2"/>
    </w:p>
    <w:p>
      <w:pPr>
        <w:pStyle w:val="5"/>
        <w:adjustRightInd w:val="0"/>
        <w:snapToGrid w:val="0"/>
        <w:spacing w:line="360" w:lineRule="auto"/>
        <w:ind w:firstLine="480" w:firstLineChars="200"/>
        <w:jc w:val="both"/>
        <w:rPr>
          <w:rFonts w:ascii="宋体" w:hAnsi="宋体" w:eastAsia="宋体" w:cs="宋体"/>
          <w:b/>
          <w:color w:val="auto"/>
          <w:sz w:val="24"/>
        </w:rPr>
      </w:pPr>
      <w:r>
        <w:rPr>
          <w:rFonts w:ascii="Calibri" w:hAnsi="Calibri" w:cs="Calibri"/>
          <w:color w:val="auto"/>
        </w:rPr>
        <w:t>依据国家相关政策要求，对江南水务的信息系统进行安全建设，覆盖信息安全的管理体系、技术体系和运维体系三个方面，建设内容覆盖十个安全层面，即：安全物理环境、安全通信网络、安全区域边界、安全技术环境、安全管理中心、安全管理制度、安全管理机构、安全管理人员、安全建设管理和安全运维管理。</w:t>
      </w:r>
      <w:r>
        <w:rPr>
          <w:rFonts w:hint="eastAsia" w:ascii="宋体" w:hAnsi="宋体" w:eastAsia="宋体" w:cs="宋体"/>
          <w:b/>
          <w:color w:val="auto"/>
          <w:sz w:val="24"/>
        </w:rPr>
        <w:t>二、项目建设清单</w:t>
      </w:r>
    </w:p>
    <w:tbl>
      <w:tblPr>
        <w:tblStyle w:val="12"/>
        <w:tblW w:w="8254" w:type="dxa"/>
        <w:tblInd w:w="0" w:type="dxa"/>
        <w:tblLayout w:type="fixed"/>
        <w:tblCellMar>
          <w:top w:w="0" w:type="dxa"/>
          <w:left w:w="0" w:type="dxa"/>
          <w:bottom w:w="0" w:type="dxa"/>
          <w:right w:w="0" w:type="dxa"/>
        </w:tblCellMar>
      </w:tblPr>
      <w:tblGrid>
        <w:gridCol w:w="574"/>
        <w:gridCol w:w="825"/>
        <w:gridCol w:w="5550"/>
        <w:gridCol w:w="720"/>
        <w:gridCol w:w="585"/>
      </w:tblGrid>
      <w:tr>
        <w:tblPrEx>
          <w:tblCellMar>
            <w:top w:w="0" w:type="dxa"/>
            <w:left w:w="0" w:type="dxa"/>
            <w:bottom w:w="0" w:type="dxa"/>
            <w:right w:w="0" w:type="dxa"/>
          </w:tblCellMar>
        </w:tblPrEx>
        <w:trPr>
          <w:trHeight w:val="35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性能指标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4"/>
                <w:lang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kern w:val="0"/>
                <w:sz w:val="24"/>
                <w:lang w:bidi="ar"/>
              </w:rPr>
            </w:pPr>
            <w:r>
              <w:rPr>
                <w:rFonts w:hint="eastAsia" w:ascii="宋体" w:hAnsi="宋体" w:eastAsia="宋体" w:cs="宋体"/>
                <w:b/>
                <w:color w:val="auto"/>
                <w:kern w:val="0"/>
                <w:sz w:val="24"/>
                <w:lang w:bidi="ar"/>
              </w:rPr>
              <w:t>单位</w:t>
            </w:r>
          </w:p>
        </w:tc>
      </w:tr>
      <w:tr>
        <w:tblPrEx>
          <w:tblCellMar>
            <w:top w:w="0" w:type="dxa"/>
            <w:left w:w="0" w:type="dxa"/>
            <w:bottom w:w="0" w:type="dxa"/>
            <w:right w:w="0" w:type="dxa"/>
          </w:tblCellMar>
        </w:tblPrEx>
        <w:trPr>
          <w:trHeight w:val="162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安全感知平台</w:t>
            </w:r>
          </w:p>
        </w:tc>
        <w:tc>
          <w:tcPr>
            <w:tcW w:w="5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性能参数：存储容量：21.8T，在带宽性能1Gbps时存储时长：1200天/1Gbps。</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硬件参数：规格：2U，内存：3*32GB DDR4 2666，系统盘：1*128GB SATA SSD，数据盘：8*4TB，标配盘位数：8，电源：白金，冗余电源，接口：4千兆电口。</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产品概述：</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安全感知平台定位为客户的安全大脑，是一个集检测、可视、响应处置于一体的大数据安全分析平台，让安全可感知、易运营。</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台</w:t>
            </w:r>
          </w:p>
        </w:tc>
      </w:tr>
      <w:tr>
        <w:tblPrEx>
          <w:tblCellMar>
            <w:top w:w="0" w:type="dxa"/>
            <w:left w:w="0" w:type="dxa"/>
            <w:bottom w:w="0" w:type="dxa"/>
            <w:right w:w="0" w:type="dxa"/>
          </w:tblCellMar>
        </w:tblPrEx>
        <w:trPr>
          <w:trHeight w:val="54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潜伏威胁探针系统</w:t>
            </w:r>
          </w:p>
        </w:tc>
        <w:tc>
          <w:tcPr>
            <w:tcW w:w="55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性能参数：吞吐性能：≤1.5Gbps。</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硬件参数：规格：1U，内存大小：8G，硬盘容量：1T SATA，电源：单电源，接口：6千兆电口+2千兆光口SFP。</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台</w:t>
            </w:r>
          </w:p>
        </w:tc>
      </w:tr>
      <w:tr>
        <w:tblPrEx>
          <w:tblCellMar>
            <w:top w:w="0" w:type="dxa"/>
            <w:left w:w="0" w:type="dxa"/>
            <w:bottom w:w="0" w:type="dxa"/>
            <w:right w:w="0" w:type="dxa"/>
          </w:tblCellMar>
        </w:tblPrEx>
        <w:trPr>
          <w:trHeight w:val="81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上网行为管理</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性能参数：网络层吞吐量（大包）：3Gb，应用层吞吐量：300Mb，带宽性能：200Mb，IPSEC VPN加密性能（最高性能）：30Mb，支持用户数：1000，包转发率：27Kpps，每秒新建连接数：2400，最大并发连接数：120000。</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硬件参数：规格：1U，内存大小：4G，硬盘容量：128G minisata SSD，电源：单电源，接口：6千兆电口+2千兆光口SFP。</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套</w:t>
            </w:r>
          </w:p>
        </w:tc>
      </w:tr>
      <w:tr>
        <w:tblPrEx>
          <w:tblCellMar>
            <w:top w:w="0" w:type="dxa"/>
            <w:left w:w="0" w:type="dxa"/>
            <w:bottom w:w="0" w:type="dxa"/>
            <w:right w:w="0" w:type="dxa"/>
          </w:tblCellMar>
        </w:tblPrEx>
        <w:trPr>
          <w:trHeight w:val="9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工业安全管理与态势分析系统</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业安全管理与态势分析系统是一款基于大数据、机器学习等技术的企业级智能安全分析平台，通过收集工业网络内部各个关键设备或系统产生的业务数据，进行集中存储、快速检索、实时分析及告警、威胁响应、可视化展现和安全报告等功能。系统利用安全大数据的深度挖掘和机器学习智能分析等技术</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为企业安全事件及异常行为检测、安全态势感知、运维管理和应用分析提供了一个智能、高效、可灵活扩展的解决方案。帮助企业发现和应对新型安全威胁，实现企业信息安全防御能力。提供资产脆弱性分析、日志集中分析、威胁模型构建、防护策略建议、风险预测、管理决策支撑等功能。2U机架式。含4个千兆电口，一个Console口(RJ45)。可扩展≥4个插槽。2个USB接口。内存64G，硬盘4*2T，raid5。 交流单电源（可扩展冗余电源），风扇散热。10000条每秒单机。可选板卡:4千兆电口，2千兆光（单模,多模）。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台</w:t>
            </w:r>
          </w:p>
        </w:tc>
      </w:tr>
      <w:tr>
        <w:tblPrEx>
          <w:tblCellMar>
            <w:top w:w="0" w:type="dxa"/>
            <w:left w:w="0" w:type="dxa"/>
            <w:bottom w:w="0" w:type="dxa"/>
            <w:right w:w="0" w:type="dxa"/>
          </w:tblCellMar>
        </w:tblPrEx>
        <w:trPr>
          <w:trHeight w:val="81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工控主机终端防护</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专用于保护工控主机环境的终端防护类产品，部署于工控上位机和服务器上，能防范各类已知和未知恶意程序的运行、控制USB移动存储介质的滥用、对主机系统进行安全加固等，实现对工控主机全面的安全防护。 </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（1）主机软件白名单防护、日志记录审计、支持微软32位/64位 Windows XP / 7/8/10等；（2）含安装授权</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出厂包含三年软件版本升级服务，应急响应服务、远程支持服务；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套</w:t>
            </w:r>
          </w:p>
        </w:tc>
      </w:tr>
      <w:tr>
        <w:tblPrEx>
          <w:tblCellMar>
            <w:top w:w="0" w:type="dxa"/>
            <w:left w:w="0" w:type="dxa"/>
            <w:bottom w:w="0" w:type="dxa"/>
            <w:right w:w="0" w:type="dxa"/>
          </w:tblCellMar>
        </w:tblPrEx>
        <w:trPr>
          <w:trHeight w:val="81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工业防火墙(机架式)</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面向工业控制网络，进行区域边界安全防护的硬件产品。产品基于对主流工业协议的深度解析，综合运用工控威胁特征识别技术、机器自学习与可信白名单技术，在提供传统防火墙的网络层控制和状态监控能力的同时，也可有效抵御各类针对工控系统的网络攻击和恶意破坏，为生产控制系统的稳定运行提供安全保障；1U机架式。含8个业务千兆电口，一个带外管理口，一个Console口(RJ45)。标配4组Bypass电口。2个USB接口。64G SSD（可扩展1T硬盘）。AC 220V 交流单电源（可选配增加为冗余电源），风扇散热。支持看门狗。网络吞吐量4Gbps，并发连接数300万，新建连接数8万。DPI吞吐量2G。</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台</w:t>
            </w:r>
          </w:p>
        </w:tc>
      </w:tr>
      <w:tr>
        <w:tblPrEx>
          <w:tblCellMar>
            <w:top w:w="0" w:type="dxa"/>
            <w:left w:w="0" w:type="dxa"/>
            <w:bottom w:w="0" w:type="dxa"/>
            <w:right w:w="0" w:type="dxa"/>
          </w:tblCellMar>
        </w:tblPrEx>
        <w:trPr>
          <w:trHeight w:val="81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安全隔离与信息交换系统</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基于“2+1”的硬件架构，确保高强度安全防护的前提下实现数据两网“摆渡”的功能，支撑http、ftp、工业协议、数据库等多种协议。2U机架式。含内网接口2千兆电口，外网接口2千兆电口，一个Console口(rs232)。单电源。最大吞吐量400M，最大并发连接数5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台</w:t>
            </w:r>
          </w:p>
        </w:tc>
      </w:tr>
      <w:tr>
        <w:tblPrEx>
          <w:tblCellMar>
            <w:top w:w="0" w:type="dxa"/>
            <w:left w:w="0" w:type="dxa"/>
            <w:bottom w:w="0" w:type="dxa"/>
            <w:right w:w="0" w:type="dxa"/>
          </w:tblCellMar>
        </w:tblPrEx>
        <w:trPr>
          <w:trHeight w:val="9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工控安全审计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面向工业控制网络，实时监测网络攻击和异常行为的硬件产品。产品采用工业级的硬件设计，利用黑名单、白名单、自定义规则等多种安全策略，通过内置的工控协议深度解析引擎，实时监测工控网络中违规行为、异常流量和不明设备接入，让用户实时全面掌握工控网络安全运行状况；通过完整的记录并留存工控网络流量，为事后取证和溯源分析提供依据。1U机架式。含4个业务千兆电口，4个业务千兆光口，一个带外管理口，一个Console口(RJ45)。2个USB接口。64G SSD+1T硬盘。AC 220V 交流单电源（可选配增加为冗余电源），风扇散热。支持看门狗。吞吐量500Mbps，并发连接数100万。含2个扩展插槽，可选板卡:4千兆电口，8千兆电，4千兆光，8千兆光，2万兆光，4万兆光。</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台</w:t>
            </w:r>
          </w:p>
        </w:tc>
      </w:tr>
      <w:tr>
        <w:tblPrEx>
          <w:tblCellMar>
            <w:top w:w="0" w:type="dxa"/>
            <w:left w:w="0" w:type="dxa"/>
            <w:bottom w:w="0" w:type="dxa"/>
            <w:right w:w="0" w:type="dxa"/>
          </w:tblCellMar>
        </w:tblPrEx>
        <w:trPr>
          <w:trHeight w:val="81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安全增值服务</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1：防火墙云端规则库更新服务，只能策略生成</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2：IT网设备安全设备统一管理平台</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3：安全运营服务：防火墙安全策略调优</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4：微信专属管家服务：提供专属原厂服务人员进行服务，包括但不局限于设备运维问题，安全策略问题</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5：安全意识培训服务，每年4次</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6：安全应急演练服务，每年2次</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7：安全风险评估服务，每年4次</w:t>
            </w:r>
          </w:p>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8：安全漏洞扫描、分析及处置服务，每年2次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260"/>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年</w:t>
            </w:r>
          </w:p>
        </w:tc>
      </w:tr>
    </w:tbl>
    <w:p>
      <w:pPr>
        <w:pStyle w:val="28"/>
        <w:spacing w:line="360" w:lineRule="auto"/>
        <w:ind w:firstLine="0" w:firstLineChars="0"/>
        <w:outlineLvl w:val="0"/>
        <w:rPr>
          <w:rFonts w:ascii="宋体" w:hAnsi="宋体" w:eastAsia="宋体" w:cs="宋体"/>
          <w:b/>
          <w:color w:val="auto"/>
          <w:sz w:val="24"/>
        </w:rPr>
      </w:pPr>
    </w:p>
    <w:p>
      <w:pPr>
        <w:rPr>
          <w:rFonts w:ascii="宋体" w:hAnsi="宋体" w:eastAsia="宋体"/>
          <w:b/>
          <w:bCs/>
          <w:color w:val="auto"/>
          <w:sz w:val="24"/>
        </w:rPr>
      </w:pPr>
      <w:r>
        <w:rPr>
          <w:rFonts w:hint="eastAsia" w:ascii="宋体" w:hAnsi="宋体" w:eastAsia="宋体"/>
          <w:b/>
          <w:bCs/>
          <w:color w:val="auto"/>
          <w:sz w:val="24"/>
        </w:rPr>
        <w:t>三、技术参数</w:t>
      </w:r>
    </w:p>
    <w:p>
      <w:pPr>
        <w:pStyle w:val="37"/>
        <w:jc w:val="left"/>
        <w:rPr>
          <w:rFonts w:ascii="微软雅黑" w:hAnsi="微软雅黑" w:eastAsia="微软雅黑" w:cs="微软雅黑"/>
          <w:b/>
          <w:bCs/>
          <w:color w:val="auto"/>
          <w:sz w:val="24"/>
          <w:szCs w:val="24"/>
        </w:rPr>
      </w:pPr>
      <w:r>
        <w:rPr>
          <w:rFonts w:hint="eastAsia" w:ascii="宋体" w:hAnsi="宋体" w:eastAsia="宋体" w:cs="宋体"/>
          <w:b/>
          <w:bCs/>
          <w:color w:val="auto"/>
          <w:sz w:val="24"/>
          <w:szCs w:val="24"/>
        </w:rPr>
        <w:t>1、安全感知平台参数</w:t>
      </w:r>
    </w:p>
    <w:tbl>
      <w:tblPr>
        <w:tblStyle w:val="12"/>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3" w:type="dxa"/>
          </w:tcPr>
          <w:p>
            <w:pPr>
              <w:rPr>
                <w:rFonts w:ascii="宋体" w:hAnsi="宋体" w:eastAsia="宋体" w:cs="宋体"/>
                <w:b/>
                <w:bCs/>
                <w:color w:val="auto"/>
                <w:sz w:val="22"/>
                <w:szCs w:val="22"/>
              </w:rPr>
            </w:pPr>
            <w:r>
              <w:rPr>
                <w:rFonts w:hint="eastAsia" w:ascii="宋体" w:hAnsi="宋体" w:eastAsia="宋体" w:cs="宋体"/>
                <w:b/>
                <w:color w:val="auto"/>
                <w:sz w:val="22"/>
                <w:szCs w:val="22"/>
              </w:rPr>
              <w:t>指标项</w:t>
            </w:r>
          </w:p>
        </w:tc>
        <w:tc>
          <w:tcPr>
            <w:tcW w:w="7173" w:type="dxa"/>
          </w:tcPr>
          <w:p>
            <w:pPr>
              <w:rPr>
                <w:rFonts w:ascii="宋体" w:hAnsi="宋体" w:eastAsia="宋体" w:cs="宋体"/>
                <w:b/>
                <w:bCs/>
                <w:color w:val="auto"/>
                <w:sz w:val="22"/>
                <w:szCs w:val="22"/>
              </w:rPr>
            </w:pPr>
            <w:r>
              <w:rPr>
                <w:rFonts w:hint="eastAsia" w:ascii="宋体" w:hAnsi="宋体" w:eastAsia="宋体" w:cs="宋体"/>
                <w:b/>
                <w:color w:val="auto"/>
                <w:sz w:val="22"/>
                <w:szCs w:val="22"/>
              </w:rPr>
              <w:t>指标要求说明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3"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硬件及性能</w:t>
            </w:r>
          </w:p>
        </w:tc>
        <w:tc>
          <w:tcPr>
            <w:tcW w:w="7173" w:type="dxa"/>
          </w:tcPr>
          <w:p>
            <w:pPr>
              <w:tabs>
                <w:tab w:val="left" w:pos="1260"/>
              </w:tabs>
              <w:snapToGrid w:val="0"/>
              <w:rPr>
                <w:rFonts w:ascii="宋体" w:hAnsi="宋体" w:eastAsia="宋体" w:cs="宋体"/>
                <w:color w:val="auto"/>
                <w:sz w:val="22"/>
                <w:szCs w:val="22"/>
              </w:rPr>
            </w:pPr>
            <w:r>
              <w:rPr>
                <w:rFonts w:hint="eastAsia" w:ascii="宋体" w:hAnsi="宋体" w:eastAsia="宋体" w:cs="宋体"/>
                <w:color w:val="auto"/>
                <w:sz w:val="22"/>
                <w:szCs w:val="22"/>
              </w:rPr>
              <w:t>★存储容量≥21.8T，在带宽性能1Gbps时存储时长≥1200天/1Gbps。</w:t>
            </w:r>
          </w:p>
          <w:p>
            <w:pPr>
              <w:tabs>
                <w:tab w:val="left" w:pos="1260"/>
              </w:tabs>
              <w:snapToGrid w:val="0"/>
              <w:rPr>
                <w:rFonts w:ascii="宋体" w:hAnsi="宋体" w:eastAsia="宋体" w:cs="宋体"/>
                <w:color w:val="auto"/>
                <w:sz w:val="22"/>
                <w:szCs w:val="22"/>
              </w:rPr>
            </w:pPr>
            <w:r>
              <w:rPr>
                <w:rFonts w:hint="eastAsia" w:ascii="宋体" w:hAnsi="宋体" w:eastAsia="宋体" w:cs="宋体"/>
                <w:color w:val="auto"/>
                <w:sz w:val="22"/>
                <w:szCs w:val="22"/>
              </w:rPr>
              <w:t>规格：2U，内存≥96GB，系统盘≥128GB SATA SSD，数据盘≥8*4TB，电源：白金、冗余电源，接口：千兆电口≥4个。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3" w:type="dxa"/>
            <w:vMerge w:val="restart"/>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大屏可视</w:t>
            </w:r>
          </w:p>
        </w:tc>
        <w:tc>
          <w:tcPr>
            <w:tcW w:w="7173" w:type="dxa"/>
          </w:tcPr>
          <w:p>
            <w:pPr>
              <w:tabs>
                <w:tab w:val="left" w:pos="1260"/>
              </w:tabs>
              <w:snapToGrid w:val="0"/>
              <w:rPr>
                <w:rFonts w:ascii="宋体" w:hAnsi="宋体" w:eastAsia="宋体" w:cs="宋体"/>
                <w:color w:val="auto"/>
                <w:sz w:val="22"/>
                <w:szCs w:val="22"/>
              </w:rPr>
            </w:pPr>
            <w:r>
              <w:rPr>
                <w:rFonts w:hint="eastAsia" w:ascii="宋体" w:hAnsi="宋体" w:eastAsia="宋体" w:cs="宋体"/>
                <w:color w:val="auto"/>
                <w:sz w:val="22"/>
                <w:szCs w:val="22"/>
              </w:rPr>
              <w:t>支持大屏展</w:t>
            </w:r>
            <w:r>
              <w:rPr>
                <w:rFonts w:hint="eastAsia" w:ascii="宋体" w:hAnsi="宋体" w:eastAsia="宋体" w:cs="宋体"/>
                <w:b w:val="0"/>
                <w:bCs w:val="0"/>
                <w:color w:val="auto"/>
                <w:sz w:val="22"/>
                <w:szCs w:val="22"/>
              </w:rPr>
              <w:t>示综合安全态势，包括资产态势、脆弱性态势、网络攻击态势、安全事件态势、外连态势、</w:t>
            </w:r>
            <w:r>
              <w:rPr>
                <w:rFonts w:hint="eastAsia" w:ascii="宋体" w:hAnsi="宋体" w:eastAsia="宋体" w:cs="宋体"/>
                <w:color w:val="auto"/>
                <w:sz w:val="22"/>
                <w:szCs w:val="22"/>
              </w:rPr>
              <w:t>横向威胁态势、设备运行态势，支持页面跳转到对应态势大屏，并具备大屏告警能力；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tabs>
                <w:tab w:val="left" w:pos="1260"/>
              </w:tabs>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为清楚了解我司网络安全、资产以及遭受的攻击状况，在受到攻击时能及时告警，减少管理难度，要求设备支持</w:t>
            </w:r>
            <w:r>
              <w:rPr>
                <w:rFonts w:hint="eastAsia" w:ascii="宋体" w:hAnsi="宋体" w:eastAsia="宋体" w:cs="宋体"/>
                <w:color w:val="auto"/>
                <w:sz w:val="22"/>
                <w:szCs w:val="22"/>
              </w:rPr>
              <w:t>支持综合态势、安全事件态势、通报预警态势、外部攻击态势、脆弱性态势、资产态势、设备运行态势</w:t>
            </w:r>
            <w:r>
              <w:rPr>
                <w:rFonts w:hint="eastAsia" w:ascii="宋体" w:hAnsi="宋体" w:eastAsia="宋体" w:cs="宋体"/>
                <w:color w:val="auto"/>
                <w:sz w:val="22"/>
                <w:szCs w:val="22"/>
                <w:lang w:val="en-US" w:eastAsia="zh-CN"/>
              </w:rPr>
              <w:t>等多个专项</w:t>
            </w:r>
            <w:r>
              <w:rPr>
                <w:rFonts w:hint="eastAsia" w:ascii="宋体" w:hAnsi="宋体" w:eastAsia="宋体" w:cs="宋体"/>
                <w:color w:val="auto"/>
                <w:sz w:val="22"/>
                <w:szCs w:val="22"/>
              </w:rPr>
              <w:t>独立大屏展示功能，支持轮播，</w:t>
            </w:r>
            <w:r>
              <w:rPr>
                <w:rFonts w:hint="eastAsia" w:ascii="宋体" w:hAnsi="宋体" w:eastAsia="宋体" w:cs="宋体"/>
                <w:color w:val="auto"/>
                <w:sz w:val="22"/>
                <w:szCs w:val="22"/>
                <w:lang w:val="en-US" w:eastAsia="zh-CN"/>
              </w:rPr>
              <w:t>可根据我司环境自定义</w:t>
            </w:r>
            <w:r>
              <w:rPr>
                <w:rFonts w:hint="eastAsia" w:ascii="宋体" w:hAnsi="宋体" w:eastAsia="宋体" w:cs="宋体"/>
                <w:color w:val="auto"/>
                <w:sz w:val="22"/>
                <w:szCs w:val="22"/>
              </w:rPr>
              <w:t>轮播顺序【提供功能截图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3" w:type="dxa"/>
            <w:vMerge w:val="restart"/>
            <w:vAlign w:val="center"/>
          </w:tcPr>
          <w:p>
            <w:pPr>
              <w:snapToGrid w:val="0"/>
              <w:rPr>
                <w:rFonts w:hint="eastAsia" w:ascii="宋体" w:hAnsi="宋体" w:eastAsia="宋体" w:cs="宋体"/>
                <w:color w:val="auto"/>
                <w:sz w:val="22"/>
                <w:szCs w:val="22"/>
              </w:rPr>
            </w:pPr>
            <w:r>
              <w:rPr>
                <w:rFonts w:hint="eastAsia" w:ascii="宋体" w:hAnsi="宋体" w:eastAsia="宋体" w:cs="宋体"/>
                <w:color w:val="auto"/>
                <w:sz w:val="22"/>
                <w:szCs w:val="22"/>
              </w:rPr>
              <w:t>资产中心</w:t>
            </w:r>
          </w:p>
        </w:tc>
        <w:tc>
          <w:tcPr>
            <w:tcW w:w="7173" w:type="dxa"/>
          </w:tcPr>
          <w:p>
            <w:pPr>
              <w:snapToGrid w:val="0"/>
              <w:rPr>
                <w:rFonts w:hint="eastAsia" w:ascii="宋体" w:hAnsi="宋体" w:eastAsia="宋体" w:cs="宋体"/>
                <w:color w:val="auto"/>
                <w:sz w:val="22"/>
                <w:szCs w:val="22"/>
              </w:rPr>
            </w:pPr>
            <w:r>
              <w:rPr>
                <w:rFonts w:hint="eastAsia" w:ascii="宋体" w:hAnsi="宋体" w:eastAsia="宋体" w:cs="宋体"/>
                <w:color w:val="auto"/>
                <w:sz w:val="22"/>
                <w:szCs w:val="22"/>
              </w:rPr>
              <w:t>支持感知业务/服务器资产，可定义IP地址、所属分支、主机名、责任人、责任人邮箱、所属业务、操作系统、服务与端口等信息，并支持基于流量支持识别操作系统、开放的服务与端口。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3" w:type="dxa"/>
            <w:vMerge w:val="continue"/>
            <w:vAlign w:val="center"/>
          </w:tcPr>
          <w:p>
            <w:pPr>
              <w:snapToGrid w:val="0"/>
              <w:rPr>
                <w:rFonts w:hint="eastAsia" w:ascii="宋体" w:hAnsi="宋体" w:eastAsia="宋体" w:cs="宋体"/>
                <w:color w:val="auto"/>
                <w:sz w:val="22"/>
                <w:szCs w:val="22"/>
              </w:rPr>
            </w:pPr>
          </w:p>
        </w:tc>
        <w:tc>
          <w:tcPr>
            <w:tcW w:w="7173" w:type="dxa"/>
            <w:vMerge w:val="restart"/>
          </w:tcPr>
          <w:p>
            <w:pPr>
              <w:snapToGrid w:val="0"/>
              <w:rPr>
                <w:rFonts w:hint="eastAsia" w:ascii="宋体" w:hAnsi="宋体" w:eastAsia="宋体" w:cs="宋体"/>
                <w:color w:val="auto"/>
                <w:sz w:val="22"/>
                <w:szCs w:val="22"/>
              </w:rPr>
            </w:pPr>
            <w:r>
              <w:rPr>
                <w:rFonts w:hint="eastAsia" w:ascii="宋体" w:hAnsi="宋体" w:eastAsia="宋体" w:cs="宋体"/>
                <w:color w:val="auto"/>
                <w:sz w:val="22"/>
                <w:szCs w:val="22"/>
              </w:rPr>
              <w:t>支持感知终端资产，可定义终端/ip组、主机名、用户名、用户邮箱等信息，并支持基于流量自动识别终端。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vMerge w:val="continue"/>
          </w:tcPr>
          <w:p>
            <w:pPr>
              <w:tabs>
                <w:tab w:val="left" w:pos="1260"/>
              </w:tabs>
              <w:snapToGrid w:val="0"/>
              <w:rPr>
                <w:rFonts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restart"/>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脆弱性感知</w:t>
            </w: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支持基于流量检测业务服务器的风险端口开放情况，检测列表包含服务器、所属分支、协议与端口、总流量、流入流量、外网源IP TOP3、更新时间等，并支持导出风险端口报告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为了减少因管理员策略配置不当而导致遭受黑客攻击，要求设备能够</w:t>
            </w:r>
            <w:r>
              <w:rPr>
                <w:rFonts w:hint="eastAsia" w:ascii="宋体" w:hAnsi="宋体" w:eastAsia="宋体" w:cs="宋体"/>
                <w:color w:val="auto"/>
                <w:sz w:val="22"/>
                <w:szCs w:val="22"/>
              </w:rPr>
              <w:t>支持基于流量检测业务服务器配置不当情况，检测</w:t>
            </w:r>
            <w:r>
              <w:rPr>
                <w:rFonts w:hint="eastAsia" w:ascii="宋体" w:hAnsi="宋体" w:eastAsia="宋体" w:cs="宋体"/>
                <w:color w:val="auto"/>
                <w:sz w:val="22"/>
                <w:szCs w:val="22"/>
                <w:lang w:val="en-US" w:eastAsia="zh-CN"/>
              </w:rPr>
              <w:t>对象</w:t>
            </w:r>
            <w:r>
              <w:rPr>
                <w:rFonts w:hint="eastAsia" w:ascii="宋体" w:hAnsi="宋体" w:eastAsia="宋体" w:cs="宋体"/>
                <w:color w:val="auto"/>
                <w:sz w:val="22"/>
                <w:szCs w:val="22"/>
              </w:rPr>
              <w:t>包含服务器、所属业务、配置不当类型、风险等级、发现时间等，支持展示配置不当详情，提供解决方案和数据包举证，并支持导出配置不当报告</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以便我司管理人员及时修改</w:t>
            </w:r>
            <w:r>
              <w:rPr>
                <w:rFonts w:hint="eastAsia" w:ascii="宋体" w:hAnsi="宋体" w:eastAsia="宋体" w:cs="宋体"/>
                <w:color w:val="auto"/>
                <w:sz w:val="22"/>
                <w:szCs w:val="22"/>
              </w:rPr>
              <w:t>【提供功能截图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支持镜像流量检测web流量中是否存在可截获的口令信息，检测列表包含对应域名/URL、服务器IP，所属分支和业务，数据包举证等信息，避免因明文传输导致信息泄露的风险。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由于主动扫描需定期进行、同时主动扫描因占用流量过高可能导致我司业务数据传输而影响员工正常办公，要求设备能够</w:t>
            </w:r>
            <w:r>
              <w:rPr>
                <w:rFonts w:hint="eastAsia" w:ascii="宋体" w:hAnsi="宋体" w:eastAsia="宋体" w:cs="宋体"/>
                <w:color w:val="auto"/>
                <w:sz w:val="22"/>
                <w:szCs w:val="22"/>
              </w:rPr>
              <w:t>支持基于流量实时漏洞功能，</w:t>
            </w:r>
            <w:r>
              <w:rPr>
                <w:rFonts w:hint="eastAsia" w:ascii="宋体" w:hAnsi="宋体" w:eastAsia="宋体" w:cs="宋体"/>
                <w:color w:val="auto"/>
                <w:sz w:val="22"/>
                <w:szCs w:val="22"/>
                <w:lang w:val="en-US" w:eastAsia="zh-CN"/>
              </w:rPr>
              <w:t>其</w:t>
            </w:r>
            <w:r>
              <w:rPr>
                <w:rFonts w:hint="eastAsia" w:ascii="宋体" w:hAnsi="宋体" w:eastAsia="宋体" w:cs="宋体"/>
                <w:color w:val="auto"/>
                <w:sz w:val="22"/>
                <w:szCs w:val="22"/>
              </w:rPr>
              <w:t>分析类型</w:t>
            </w:r>
            <w:r>
              <w:rPr>
                <w:rFonts w:hint="eastAsia" w:ascii="宋体" w:hAnsi="宋体" w:eastAsia="宋体" w:cs="宋体"/>
                <w:color w:val="auto"/>
                <w:sz w:val="22"/>
                <w:szCs w:val="22"/>
                <w:lang w:val="en-US" w:eastAsia="zh-CN"/>
              </w:rPr>
              <w:t>需</w:t>
            </w:r>
            <w:r>
              <w:rPr>
                <w:rFonts w:hint="eastAsia" w:ascii="宋体" w:hAnsi="宋体" w:eastAsia="宋体" w:cs="宋体"/>
                <w:color w:val="auto"/>
                <w:sz w:val="22"/>
                <w:szCs w:val="22"/>
              </w:rPr>
              <w:t>包含配置错误漏洞、OpenSSH漏洞、目录遍历漏洞、OpenLDAP等操作系统、数据库、Web应用等，页面上支持展示业务脆弱性风险分布、漏洞类型分析、漏洞态势与危害和处置建议，并支持导出脆弱性感知报告【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33" w:type="dxa"/>
            <w:vMerge w:val="restart"/>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处置中心</w:t>
            </w: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具备失陷(业务和用户)主机详细分析，包含攻击阶段分布、风险等级趋势、安全事件举证、遭受的外部攻击、存在的漏洞风险、行为画像（EBA）、开放端口等信息。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支持终端维度展示终端IP、所属分支、所属终端组、风险等级、安全事件标签、处理状态、联动状态，风险等级包含已失陷、高危、中危、低危、信息等。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33" w:type="dxa"/>
            <w:vMerge w:val="restart"/>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分析中心</w:t>
            </w: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为避免员工无意中使用携带了病毒的U盘或其他外设而导致的内部威胁扩散，要求设备支持</w:t>
            </w:r>
            <w:r>
              <w:rPr>
                <w:rFonts w:hint="eastAsia" w:ascii="宋体" w:hAnsi="宋体" w:eastAsia="宋体" w:cs="宋体"/>
                <w:color w:val="auto"/>
                <w:sz w:val="22"/>
                <w:szCs w:val="22"/>
              </w:rPr>
              <w:t>横向威胁感知</w:t>
            </w:r>
            <w:r>
              <w:rPr>
                <w:rFonts w:hint="eastAsia" w:ascii="宋体" w:hAnsi="宋体" w:eastAsia="宋体" w:cs="宋体"/>
                <w:color w:val="auto"/>
                <w:sz w:val="22"/>
                <w:szCs w:val="22"/>
                <w:lang w:val="en-US" w:eastAsia="zh-CN"/>
              </w:rPr>
              <w:t>并</w:t>
            </w:r>
            <w:r>
              <w:rPr>
                <w:rFonts w:hint="eastAsia" w:ascii="宋体" w:hAnsi="宋体" w:eastAsia="宋体" w:cs="宋体"/>
                <w:color w:val="auto"/>
                <w:sz w:val="22"/>
                <w:szCs w:val="22"/>
              </w:rPr>
              <w:t>展示横向威胁总览、横向攻击、违规访问、可疑行为、风险；其中横向风险总览包含发起与遭受横向威胁主机TOP5，发起视角包含</w:t>
            </w:r>
            <w:r>
              <w:rPr>
                <w:rFonts w:hint="eastAsia" w:ascii="宋体" w:hAnsi="宋体" w:eastAsia="宋体" w:cs="宋体"/>
                <w:color w:val="auto"/>
                <w:sz w:val="22"/>
                <w:szCs w:val="22"/>
                <w:lang w:val="en-US" w:eastAsia="zh-CN"/>
              </w:rPr>
              <w:t>但不限于</w:t>
            </w:r>
            <w:r>
              <w:rPr>
                <w:rFonts w:hint="eastAsia" w:ascii="宋体" w:hAnsi="宋体" w:eastAsia="宋体" w:cs="宋体"/>
                <w:color w:val="auto"/>
                <w:sz w:val="22"/>
                <w:szCs w:val="22"/>
              </w:rPr>
              <w:t>发起者IP、发起者类型、所属分析、所属业务/终端组、横向威胁类型。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具备安全日志分析引擎、DnsFlow行为分析引擎、HttpFLow分析引擎、NetFLow分析引擎、MailFLow分析引擎、SmbFLow分析引擎、威胁情报分析关联引擎、第三方安全检测引擎、文件威胁检测引擎等，支持定期自动升级或离线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vAlign w:val="center"/>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为保障我司资产安全，避免遭受挖矿风险，要求设备</w:t>
            </w:r>
            <w:r>
              <w:rPr>
                <w:rFonts w:hint="eastAsia" w:ascii="宋体" w:hAnsi="宋体" w:eastAsia="宋体" w:cs="宋体"/>
                <w:color w:val="auto"/>
                <w:sz w:val="22"/>
                <w:szCs w:val="22"/>
              </w:rPr>
              <w:t>具备挖矿专项检测，可实时查看挖矿各个攻击阶段，包括感染挖矿病毒、与控制端建立通信、获取挖矿任务、尝试挖矿、挖矿成功等；并支持挖矿币种分布、挖矿风险态势、受影响主机等维度分析统计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以便管理员及时进行维护处理</w:t>
            </w:r>
            <w:r>
              <w:rPr>
                <w:rFonts w:hint="eastAsia" w:ascii="宋体" w:hAnsi="宋体" w:eastAsia="宋体" w:cs="宋体"/>
                <w:color w:val="auto"/>
                <w:sz w:val="22"/>
                <w:szCs w:val="22"/>
              </w:rPr>
              <w:t>【提供功能截图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33" w:type="dxa"/>
            <w:vMerge w:val="restart"/>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报告中心</w:t>
            </w:r>
          </w:p>
        </w:tc>
        <w:tc>
          <w:tcPr>
            <w:tcW w:w="7173" w:type="dxa"/>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支持展示需要处理的风险主机与风险状况报告，报告内容包括业务与终端风险摘要、业务风险与终端详情分析，提供危害解释和参考解决方案；适用于日常处理安全问题的运维人员。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支持分析具体的业务系统存在的脆弱性风险报告，报告内容包含脆弱性检测总览、业务脆弱性详情分析等，提供危害解释和参考解决方案。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支持完整展示网络的安全态势和详情的综合风险报告，报告内容包括平台说明、安全风险概括、业务与终端安全详情分析、安全规划建设建议等。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3" w:type="dxa"/>
            <w:vMerge w:val="restart"/>
            <w:vAlign w:val="center"/>
          </w:tcPr>
          <w:p>
            <w:pPr>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平台管理</w:t>
            </w:r>
          </w:p>
        </w:tc>
        <w:tc>
          <w:tcPr>
            <w:tcW w:w="7173" w:type="dxa"/>
          </w:tcPr>
          <w:p>
            <w:pPr>
              <w:tabs>
                <w:tab w:val="left" w:pos="915"/>
              </w:tabs>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因我司管理人员有限，</w:t>
            </w:r>
            <w:r>
              <w:rPr>
                <w:rFonts w:hint="eastAsia" w:ascii="宋体" w:hAnsi="宋体" w:eastAsia="宋体" w:cs="宋体"/>
                <w:color w:val="auto"/>
                <w:sz w:val="22"/>
                <w:szCs w:val="22"/>
              </w:rPr>
              <w:t>为简化</w:t>
            </w:r>
            <w:r>
              <w:rPr>
                <w:rFonts w:hint="eastAsia" w:ascii="宋体" w:hAnsi="宋体" w:eastAsia="宋体" w:cs="宋体"/>
                <w:color w:val="auto"/>
                <w:sz w:val="22"/>
                <w:szCs w:val="22"/>
                <w:lang w:val="en-US" w:eastAsia="zh-CN"/>
              </w:rPr>
              <w:t>管理员运维难度</w:t>
            </w:r>
            <w:r>
              <w:rPr>
                <w:rFonts w:hint="eastAsia" w:ascii="宋体" w:hAnsi="宋体" w:eastAsia="宋体" w:cs="宋体"/>
                <w:color w:val="auto"/>
                <w:sz w:val="22"/>
                <w:szCs w:val="22"/>
              </w:rPr>
              <w:t>，提高管理效率，要求</w:t>
            </w:r>
            <w:r>
              <w:rPr>
                <w:rFonts w:hint="eastAsia" w:ascii="宋体" w:hAnsi="宋体" w:eastAsia="宋体" w:cs="宋体"/>
                <w:color w:val="auto"/>
                <w:sz w:val="22"/>
                <w:szCs w:val="22"/>
                <w:lang w:eastAsia="zh-CN"/>
              </w:rPr>
              <w:t>：</w:t>
            </w:r>
          </w:p>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1、平台</w:t>
            </w:r>
            <w:r>
              <w:rPr>
                <w:rFonts w:hint="eastAsia" w:ascii="宋体" w:hAnsi="宋体" w:eastAsia="宋体" w:cs="宋体"/>
                <w:color w:val="auto"/>
                <w:sz w:val="22"/>
                <w:szCs w:val="22"/>
              </w:rPr>
              <w:t>能与本项目中行为管理对接，同步上网行为管理设备认证用户，</w:t>
            </w:r>
            <w:r>
              <w:rPr>
                <w:rFonts w:hint="eastAsia" w:ascii="宋体" w:hAnsi="宋体" w:eastAsia="宋体" w:cs="宋体"/>
                <w:color w:val="auto"/>
                <w:sz w:val="22"/>
                <w:szCs w:val="22"/>
                <w:lang w:val="en-US" w:eastAsia="zh-CN"/>
              </w:rPr>
              <w:t>避免多次认证的繁琐步骤，同时能</w:t>
            </w:r>
            <w:r>
              <w:rPr>
                <w:rFonts w:hint="eastAsia" w:ascii="宋体" w:hAnsi="宋体" w:eastAsia="宋体" w:cs="宋体"/>
                <w:color w:val="auto"/>
                <w:sz w:val="22"/>
                <w:szCs w:val="22"/>
              </w:rPr>
              <w:t>实现与安全事件关联【提供功能截图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2、平台</w:t>
            </w:r>
            <w:r>
              <w:rPr>
                <w:rFonts w:hint="eastAsia" w:ascii="宋体" w:hAnsi="宋体" w:eastAsia="宋体" w:cs="宋体"/>
                <w:color w:val="auto"/>
                <w:sz w:val="22"/>
                <w:szCs w:val="22"/>
              </w:rPr>
              <w:t>能够与我单位现有防火墙做功能对接，实现平台下发安全策略到防火墙，阻断攻击流量【提供功能截图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3" w:type="dxa"/>
            <w:vMerge w:val="continue"/>
            <w:vAlign w:val="center"/>
          </w:tcPr>
          <w:p>
            <w:pPr>
              <w:snapToGrid w:val="0"/>
              <w:rPr>
                <w:rFonts w:ascii="宋体" w:hAnsi="宋体" w:eastAsia="宋体" w:cs="宋体"/>
                <w:color w:val="auto"/>
                <w:sz w:val="22"/>
                <w:szCs w:val="22"/>
              </w:rPr>
            </w:pPr>
          </w:p>
        </w:tc>
        <w:tc>
          <w:tcPr>
            <w:tcW w:w="7173" w:type="dxa"/>
          </w:tcPr>
          <w:p>
            <w:pPr>
              <w:tabs>
                <w:tab w:val="left" w:pos="915"/>
              </w:tabs>
              <w:snapToGrid w:val="0"/>
              <w:rPr>
                <w:rFonts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析平台可对安全探针进行统一的升级管理，支持配置向导功能，通过系统检测功能，检测设备基础配置、设备资源、设备接入情况、设备流量等是否有异常，并导出上架检测报告，同时支持监控探针和各类安全组件的运行状态，其中安全组件需包括上网行为管理、防火墙【提供功能截图</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3"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资质要求</w:t>
            </w:r>
          </w:p>
        </w:tc>
        <w:tc>
          <w:tcPr>
            <w:tcW w:w="7173"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具备公安颁发的销售许可证</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厂商应是国家互联网应急响应中心网络安全应急服务国家级支撑单位</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★厂商具备云安全成熟度成熟度模型CSA-CMMI 5认证</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★厂商具备软件开发成熟度CMMI 5级认证</w:t>
            </w:r>
          </w:p>
        </w:tc>
      </w:tr>
    </w:tbl>
    <w:p>
      <w:pPr>
        <w:pStyle w:val="37"/>
        <w:rPr>
          <w:rFonts w:ascii="宋体" w:hAnsi="宋体" w:eastAsia="宋体" w:cs="宋体"/>
          <w:b/>
          <w:bCs/>
          <w:color w:val="auto"/>
          <w:sz w:val="24"/>
          <w:szCs w:val="24"/>
        </w:rPr>
      </w:pPr>
    </w:p>
    <w:p>
      <w:pPr>
        <w:pStyle w:val="37"/>
        <w:rPr>
          <w:rFonts w:ascii="宋体" w:hAnsi="宋体" w:eastAsia="宋体" w:cs="宋体"/>
          <w:b/>
          <w:bCs/>
          <w:color w:val="auto"/>
          <w:sz w:val="24"/>
          <w:szCs w:val="24"/>
        </w:rPr>
      </w:pPr>
    </w:p>
    <w:p>
      <w:pPr>
        <w:pStyle w:val="37"/>
        <w:rPr>
          <w:rFonts w:ascii="宋体" w:hAnsi="宋体" w:eastAsia="宋体" w:cs="宋体"/>
          <w:b/>
          <w:bCs/>
          <w:color w:val="auto"/>
          <w:sz w:val="24"/>
          <w:szCs w:val="24"/>
        </w:rPr>
      </w:pPr>
    </w:p>
    <w:p>
      <w:pPr>
        <w:pStyle w:val="37"/>
        <w:rPr>
          <w:rFonts w:ascii="宋体" w:hAnsi="宋体" w:eastAsia="宋体" w:cs="宋体"/>
          <w:b/>
          <w:bCs/>
          <w:color w:val="auto"/>
          <w:sz w:val="24"/>
          <w:szCs w:val="24"/>
        </w:rPr>
      </w:pPr>
      <w:r>
        <w:rPr>
          <w:rFonts w:hint="eastAsia" w:ascii="宋体" w:hAnsi="宋体" w:eastAsia="宋体" w:cs="宋体"/>
          <w:b/>
          <w:bCs/>
          <w:color w:val="auto"/>
          <w:sz w:val="24"/>
          <w:szCs w:val="24"/>
        </w:rPr>
        <w:t>2、潜伏威胁探针系统参数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495" w:type="dxa"/>
          </w:tcPr>
          <w:p>
            <w:pPr>
              <w:rPr>
                <w:rFonts w:ascii="宋体" w:hAnsi="宋体" w:eastAsia="宋体" w:cs="宋体"/>
                <w:b/>
                <w:bCs/>
                <w:color w:val="auto"/>
                <w:sz w:val="22"/>
                <w:szCs w:val="22"/>
              </w:rPr>
            </w:pPr>
            <w:r>
              <w:rPr>
                <w:rFonts w:hint="eastAsia" w:ascii="宋体" w:hAnsi="宋体" w:eastAsia="宋体" w:cs="宋体"/>
                <w:b/>
                <w:color w:val="auto"/>
                <w:sz w:val="22"/>
                <w:szCs w:val="22"/>
              </w:rPr>
              <w:t>指标项</w:t>
            </w:r>
          </w:p>
        </w:tc>
        <w:tc>
          <w:tcPr>
            <w:tcW w:w="6735" w:type="dxa"/>
          </w:tcPr>
          <w:p>
            <w:pPr>
              <w:rPr>
                <w:rFonts w:ascii="宋体" w:hAnsi="宋体" w:eastAsia="宋体" w:cs="宋体"/>
                <w:b/>
                <w:bCs/>
                <w:color w:val="auto"/>
                <w:sz w:val="22"/>
                <w:szCs w:val="22"/>
              </w:rPr>
            </w:pPr>
            <w:r>
              <w:rPr>
                <w:rFonts w:hint="eastAsia" w:ascii="宋体" w:hAnsi="宋体" w:eastAsia="宋体" w:cs="宋体"/>
                <w:b/>
                <w:color w:val="auto"/>
                <w:sz w:val="22"/>
                <w:szCs w:val="22"/>
              </w:rPr>
              <w:t>指标要求说明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49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品牌要求</w:t>
            </w:r>
          </w:p>
        </w:tc>
        <w:tc>
          <w:tcPr>
            <w:tcW w:w="673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★与安全态势感知系统为同一品牌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49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硬件及性能</w:t>
            </w:r>
          </w:p>
        </w:tc>
        <w:tc>
          <w:tcPr>
            <w:tcW w:w="673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吞吐性能≥1.5Gbps，内存≥8G，硬盘容量≥1T SATA，接口：千兆电口≥6个、千兆光口≥2个。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49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资产发现</w:t>
            </w:r>
          </w:p>
        </w:tc>
        <w:tc>
          <w:tcPr>
            <w:tcW w:w="673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具备主动发送少量探测报文，发现潜在的服务器（影子资产）以及学习服务器的基础信息，如：操作系统、开放的端口号等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基础检测功能</w:t>
            </w:r>
          </w:p>
        </w:tc>
        <w:tc>
          <w:tcPr>
            <w:tcW w:w="673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监测识别规则库</w:t>
            </w:r>
          </w:p>
        </w:tc>
        <w:tc>
          <w:tcPr>
            <w:tcW w:w="6735" w:type="dxa"/>
          </w:tcPr>
          <w:p>
            <w:pPr>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深度监测能力</w:t>
            </w:r>
          </w:p>
        </w:tc>
        <w:tc>
          <w:tcPr>
            <w:tcW w:w="6735" w:type="dxa"/>
          </w:tcPr>
          <w:p>
            <w:pPr>
              <w:snapToGrid w:val="0"/>
              <w:rPr>
                <w:rFonts w:ascii="宋体" w:hAnsi="宋体" w:eastAsia="宋体" w:cs="宋体"/>
                <w:color w:val="auto"/>
                <w:sz w:val="22"/>
                <w:szCs w:val="22"/>
              </w:rPr>
            </w:pPr>
            <w:r>
              <w:rPr>
                <w:rFonts w:hint="eastAsia" w:ascii="宋体" w:hAnsi="宋体" w:eastAsia="宋体" w:cs="宋体"/>
                <w:color w:val="auto"/>
                <w:sz w:val="22"/>
                <w:szCs w:val="22"/>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高级检索</w:t>
            </w:r>
          </w:p>
        </w:tc>
        <w:tc>
          <w:tcPr>
            <w:tcW w:w="6735" w:type="dxa"/>
          </w:tcPr>
          <w:p>
            <w:pPr>
              <w:pStyle w:val="44"/>
              <w:snapToGrid w:val="0"/>
              <w:ind w:firstLine="0" w:firstLineChars="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Web应用安全检测能力</w:t>
            </w:r>
          </w:p>
        </w:tc>
        <w:tc>
          <w:tcPr>
            <w:tcW w:w="6735" w:type="dxa"/>
          </w:tcPr>
          <w:p>
            <w:pPr>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支持针对B/S架构应用抵御SQL注入、XSS、系统命令等注入型攻击；支持跨站请求伪造CSRF攻击检测；支持其他类型的Web攻击，如文件包含，目录遍历攻击等的检测</w:t>
            </w:r>
            <w:r>
              <w:rPr>
                <w:rFonts w:hint="eastAsia" w:ascii="宋体" w:hAnsi="宋体" w:eastAsia="宋体" w:cs="宋体"/>
                <w:color w:val="auto"/>
                <w:sz w:val="22"/>
                <w:szCs w:val="22"/>
                <w:lang w:eastAsia="zh-CN"/>
              </w:rPr>
              <w:t>；</w:t>
            </w:r>
          </w:p>
          <w:p>
            <w:pPr>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支持敏感数据泄密功能检测能力，支持敏感信息自定义，支持根据文件类型和敏感关键字进行信息过滤</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管理功能</w:t>
            </w:r>
          </w:p>
        </w:tc>
        <w:tc>
          <w:tcPr>
            <w:tcW w:w="6735" w:type="dxa"/>
            <w:vAlign w:val="center"/>
          </w:tcPr>
          <w:p>
            <w:pPr>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能够提供网络管理功能，可进行静态路由配置</w:t>
            </w:r>
            <w:r>
              <w:rPr>
                <w:rFonts w:hint="eastAsia" w:ascii="宋体" w:hAnsi="宋体" w:eastAsia="宋体" w:cs="宋体"/>
                <w:color w:val="auto"/>
                <w:sz w:val="22"/>
                <w:szCs w:val="22"/>
                <w:lang w:eastAsia="zh-CN"/>
              </w:rPr>
              <w:t>；</w:t>
            </w:r>
          </w:p>
          <w:p>
            <w:pPr>
              <w:pStyle w:val="7"/>
              <w:snapToGrid w:val="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可支持在线升级和离线升级，并依托安全感知平台进行统一管控</w:t>
            </w:r>
            <w:r>
              <w:rPr>
                <w:rFonts w:hint="eastAsia" w:ascii="宋体" w:hAnsi="宋体" w:eastAsia="宋体" w:cs="宋体"/>
                <w:color w:val="auto"/>
                <w:sz w:val="22"/>
                <w:szCs w:val="22"/>
                <w:lang w:eastAsia="zh-CN"/>
              </w:rPr>
              <w:t>；</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可实时监控设备的CPU、内存、存储空间使用情况。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集中管控</w:t>
            </w:r>
          </w:p>
        </w:tc>
        <w:tc>
          <w:tcPr>
            <w:tcW w:w="673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支持安全感知平台对接入探针的统一升级</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可展示当前所有接入探针的规则库日期、是否过期等，并支持禁用指定探针的升级；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9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资质要求</w:t>
            </w:r>
          </w:p>
        </w:tc>
        <w:tc>
          <w:tcPr>
            <w:tcW w:w="6735" w:type="dxa"/>
            <w:vAlign w:val="center"/>
          </w:tcPr>
          <w:p>
            <w:pPr>
              <w:snapToGrid w:val="0"/>
              <w:rPr>
                <w:rFonts w:ascii="宋体" w:hAnsi="宋体" w:eastAsia="宋体" w:cs="宋体"/>
                <w:color w:val="auto"/>
                <w:sz w:val="22"/>
                <w:szCs w:val="22"/>
              </w:rPr>
            </w:pPr>
            <w:r>
              <w:rPr>
                <w:rFonts w:hint="eastAsia" w:ascii="宋体" w:hAnsi="宋体" w:eastAsia="宋体" w:cs="宋体"/>
                <w:color w:val="auto"/>
                <w:sz w:val="22"/>
                <w:szCs w:val="22"/>
              </w:rPr>
              <w:t>具备公安颁发的销售许可证</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厂商应是国家互联网应急响应中心网络安全应急服务国家级支撑单位</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★厂商具备云安全成熟度成熟度模型CSA-CMMI 5认证</w:t>
            </w:r>
          </w:p>
          <w:p>
            <w:pPr>
              <w:snapToGrid w:val="0"/>
              <w:rPr>
                <w:rFonts w:ascii="宋体" w:hAnsi="宋体" w:eastAsia="宋体" w:cs="宋体"/>
                <w:color w:val="auto"/>
                <w:sz w:val="22"/>
                <w:szCs w:val="22"/>
              </w:rPr>
            </w:pPr>
            <w:r>
              <w:rPr>
                <w:rFonts w:hint="eastAsia" w:ascii="宋体" w:hAnsi="宋体" w:eastAsia="宋体" w:cs="宋体"/>
                <w:color w:val="auto"/>
                <w:sz w:val="22"/>
                <w:szCs w:val="22"/>
              </w:rPr>
              <w:t>★厂商具备软件开发成熟度CMMI 5级认证</w:t>
            </w:r>
          </w:p>
        </w:tc>
      </w:tr>
    </w:tbl>
    <w:p>
      <w:pPr>
        <w:pStyle w:val="37"/>
        <w:rPr>
          <w:rFonts w:ascii="宋体" w:hAnsi="宋体" w:eastAsia="宋体" w:cs="宋体"/>
          <w:b/>
          <w:bCs/>
          <w:color w:val="auto"/>
          <w:sz w:val="24"/>
          <w:szCs w:val="24"/>
        </w:rPr>
      </w:pPr>
    </w:p>
    <w:p>
      <w:pPr>
        <w:pStyle w:val="37"/>
        <w:rPr>
          <w:rFonts w:ascii="宋体" w:hAnsi="宋体" w:eastAsia="宋体" w:cs="宋体"/>
          <w:b/>
          <w:bCs/>
          <w:color w:val="auto"/>
          <w:sz w:val="24"/>
          <w:szCs w:val="24"/>
        </w:rPr>
      </w:pPr>
      <w:r>
        <w:rPr>
          <w:rFonts w:hint="eastAsia" w:ascii="宋体" w:hAnsi="宋体" w:eastAsia="宋体" w:cs="宋体"/>
          <w:b/>
          <w:bCs/>
          <w:color w:val="auto"/>
          <w:sz w:val="24"/>
          <w:szCs w:val="24"/>
        </w:rPr>
        <w:t>3、上网行为管理系统参数</w:t>
      </w:r>
    </w:p>
    <w:tbl>
      <w:tblPr>
        <w:tblStyle w:val="38"/>
        <w:tblW w:w="8200" w:type="dxa"/>
        <w:tblInd w:w="14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33"/>
        <w:gridCol w:w="706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指标</w:t>
            </w: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b/>
                <w:bCs/>
                <w:color w:val="auto"/>
                <w:kern w:val="0"/>
                <w:sz w:val="22"/>
                <w:szCs w:val="22"/>
              </w:rPr>
            </w:pPr>
            <w:r>
              <w:rPr>
                <w:rFonts w:hint="eastAsia" w:ascii="宋体" w:hAnsi="宋体" w:eastAsia="宋体" w:cs="宋体"/>
                <w:b/>
                <w:bCs/>
                <w:color w:val="auto"/>
                <w:kern w:val="0"/>
                <w:sz w:val="22"/>
                <w:szCs w:val="22"/>
                <w:lang w:val="zh-TW" w:eastAsia="zh-TW"/>
              </w:rPr>
              <w:t>具体</w:t>
            </w:r>
            <w:r>
              <w:rPr>
                <w:rFonts w:hint="eastAsia" w:ascii="宋体" w:hAnsi="宋体" w:eastAsia="宋体" w:cs="宋体"/>
                <w:b/>
                <w:bCs/>
                <w:color w:val="auto"/>
                <w:kern w:val="0"/>
                <w:sz w:val="22"/>
                <w:szCs w:val="22"/>
              </w:rPr>
              <w:t>指标</w:t>
            </w:r>
            <w:r>
              <w:rPr>
                <w:rFonts w:hint="eastAsia" w:ascii="宋体" w:hAnsi="宋体" w:eastAsia="宋体" w:cs="宋体"/>
                <w:b/>
                <w:bCs/>
                <w:color w:val="auto"/>
                <w:kern w:val="0"/>
                <w:sz w:val="22"/>
                <w:szCs w:val="22"/>
                <w:lang w:val="zh-TW" w:eastAsia="zh-TW"/>
              </w:rPr>
              <w:t>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2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基础要求</w:t>
            </w: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rPr>
              <w:t>网络层吞吐量≥3Gb，应用层吞吐量≥300Mb，带宽性能≥200Mb，支持用户数≥1000，每秒新建连接数≥2400，最大并发连接数≥120000。</w:t>
            </w:r>
          </w:p>
          <w:p>
            <w:pPr>
              <w:pStyle w:val="37"/>
              <w:widowControl/>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rPr>
              <w:t>内存≥4G，硬盘容量≥128G minisata SSD，接口：千兆电口≥6个，千兆光口≥2个。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1"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部署</w:t>
            </w: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支持网关模式，支持</w:t>
            </w:r>
            <w:r>
              <w:rPr>
                <w:rFonts w:hint="eastAsia" w:ascii="宋体" w:hAnsi="宋体" w:eastAsia="宋体" w:cs="宋体"/>
                <w:color w:val="auto"/>
                <w:kern w:val="0"/>
                <w:sz w:val="22"/>
                <w:szCs w:val="22"/>
              </w:rPr>
              <w:t>NAT</w:t>
            </w:r>
            <w:r>
              <w:rPr>
                <w:rFonts w:hint="eastAsia" w:ascii="宋体" w:hAnsi="宋体" w:eastAsia="宋体" w:cs="宋体"/>
                <w:color w:val="auto"/>
                <w:kern w:val="0"/>
                <w:sz w:val="22"/>
                <w:szCs w:val="22"/>
                <w:lang w:val="zh-TW" w:eastAsia="zh-TW"/>
              </w:rPr>
              <w:t>、路由转发、</w:t>
            </w:r>
            <w:r>
              <w:rPr>
                <w:rFonts w:hint="eastAsia" w:ascii="宋体" w:hAnsi="宋体" w:eastAsia="宋体" w:cs="宋体"/>
                <w:color w:val="auto"/>
                <w:kern w:val="0"/>
                <w:sz w:val="22"/>
                <w:szCs w:val="22"/>
              </w:rPr>
              <w:t>DHCP</w:t>
            </w:r>
            <w:r>
              <w:rPr>
                <w:rFonts w:hint="eastAsia" w:ascii="宋体" w:hAnsi="宋体" w:eastAsia="宋体" w:cs="宋体"/>
                <w:color w:val="auto"/>
                <w:kern w:val="0"/>
                <w:sz w:val="22"/>
                <w:szCs w:val="22"/>
                <w:lang w:val="zh-TW" w:eastAsia="zh-TW"/>
              </w:rPr>
              <w:t>、</w:t>
            </w:r>
            <w:r>
              <w:rPr>
                <w:rFonts w:hint="eastAsia" w:ascii="宋体" w:hAnsi="宋体" w:eastAsia="宋体" w:cs="宋体"/>
                <w:color w:val="auto"/>
                <w:kern w:val="0"/>
                <w:sz w:val="22"/>
                <w:szCs w:val="22"/>
              </w:rPr>
              <w:t>GRE</w:t>
            </w:r>
            <w:r>
              <w:rPr>
                <w:rFonts w:hint="eastAsia" w:ascii="宋体" w:hAnsi="宋体" w:eastAsia="宋体" w:cs="宋体"/>
                <w:color w:val="auto"/>
                <w:kern w:val="0"/>
                <w:sz w:val="22"/>
                <w:szCs w:val="22"/>
                <w:lang w:val="zh-TW" w:eastAsia="zh-TW"/>
              </w:rPr>
              <w:t>、</w:t>
            </w:r>
            <w:r>
              <w:rPr>
                <w:rFonts w:hint="eastAsia" w:ascii="宋体" w:hAnsi="宋体" w:eastAsia="宋体" w:cs="宋体"/>
                <w:color w:val="auto"/>
                <w:kern w:val="0"/>
                <w:sz w:val="22"/>
                <w:szCs w:val="22"/>
              </w:rPr>
              <w:t>OSPF</w:t>
            </w:r>
            <w:r>
              <w:rPr>
                <w:rFonts w:hint="eastAsia" w:ascii="宋体" w:hAnsi="宋体" w:eastAsia="宋体" w:cs="宋体"/>
                <w:color w:val="auto"/>
                <w:kern w:val="0"/>
                <w:sz w:val="22"/>
                <w:szCs w:val="22"/>
                <w:lang w:val="zh-TW" w:eastAsia="zh-TW"/>
              </w:rPr>
              <w:t>等功能；</w:t>
            </w:r>
            <w:r>
              <w:rPr>
                <w:rFonts w:hint="eastAsia" w:ascii="宋体" w:hAnsi="宋体" w:eastAsia="宋体" w:cs="宋体"/>
                <w:color w:val="auto"/>
                <w:kern w:val="0"/>
                <w:sz w:val="22"/>
                <w:szCs w:val="22"/>
              </w:rPr>
              <w:t>支持网桥模式，支持旁路部署，多路桥接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4"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u w:color="FF0000"/>
              </w:rPr>
            </w:pPr>
            <w:r>
              <w:rPr>
                <w:rFonts w:hint="eastAsia" w:ascii="宋体" w:hAnsi="宋体" w:eastAsia="宋体" w:cs="宋体"/>
                <w:color w:val="auto"/>
                <w:kern w:val="0"/>
                <w:sz w:val="22"/>
                <w:szCs w:val="22"/>
                <w:u w:color="FF0000"/>
                <w:lang w:val="zh-TW" w:eastAsia="zh-TW"/>
              </w:rPr>
              <w:t>支持部署在</w:t>
            </w:r>
            <w:r>
              <w:rPr>
                <w:rFonts w:hint="eastAsia" w:ascii="宋体" w:hAnsi="宋体" w:eastAsia="宋体" w:cs="宋体"/>
                <w:color w:val="auto"/>
                <w:kern w:val="0"/>
                <w:sz w:val="22"/>
                <w:szCs w:val="22"/>
                <w:u w:color="FF0000"/>
              </w:rPr>
              <w:t>IPv6</w:t>
            </w:r>
            <w:r>
              <w:rPr>
                <w:rFonts w:hint="eastAsia" w:ascii="宋体" w:hAnsi="宋体" w:eastAsia="宋体" w:cs="宋体"/>
                <w:color w:val="auto"/>
                <w:kern w:val="0"/>
                <w:sz w:val="22"/>
                <w:szCs w:val="22"/>
                <w:u w:color="FF0000"/>
                <w:lang w:val="zh-TW" w:eastAsia="zh-TW"/>
              </w:rPr>
              <w:t>环境中，设备接口及部署模式均支持</w:t>
            </w:r>
            <w:r>
              <w:rPr>
                <w:rFonts w:hint="eastAsia" w:ascii="宋体" w:hAnsi="宋体" w:eastAsia="宋体" w:cs="宋体"/>
                <w:color w:val="auto"/>
                <w:kern w:val="0"/>
                <w:sz w:val="22"/>
                <w:szCs w:val="22"/>
                <w:u w:color="FF0000"/>
              </w:rPr>
              <w:t>ipv6</w:t>
            </w:r>
            <w:r>
              <w:rPr>
                <w:rFonts w:hint="eastAsia" w:ascii="宋体" w:hAnsi="宋体" w:eastAsia="宋体" w:cs="宋体"/>
                <w:color w:val="auto"/>
                <w:kern w:val="0"/>
                <w:sz w:val="22"/>
                <w:szCs w:val="22"/>
                <w:u w:color="FF0000"/>
                <w:lang w:val="zh-TW" w:eastAsia="zh-TW"/>
              </w:rPr>
              <w:t>配置；</w:t>
            </w:r>
          </w:p>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所有核心功能（</w:t>
            </w:r>
            <w:r>
              <w:rPr>
                <w:rFonts w:hint="eastAsia" w:ascii="宋体" w:hAnsi="宋体" w:eastAsia="宋体" w:cs="宋体"/>
                <w:color w:val="auto"/>
                <w:kern w:val="0"/>
                <w:sz w:val="22"/>
                <w:szCs w:val="22"/>
                <w:u w:color="FF0000"/>
                <w:lang w:val="zh-TW" w:eastAsia="zh-TW"/>
              </w:rPr>
              <w:t>上网认证</w:t>
            </w:r>
            <w:r>
              <w:rPr>
                <w:rFonts w:hint="eastAsia" w:ascii="宋体" w:hAnsi="宋体" w:eastAsia="宋体" w:cs="宋体"/>
                <w:color w:val="auto"/>
                <w:kern w:val="0"/>
                <w:sz w:val="22"/>
                <w:szCs w:val="22"/>
                <w:lang w:val="zh-TW" w:eastAsia="zh-TW"/>
              </w:rPr>
              <w:t>、应用控制、流量控制、内容审计、日志报表等）都支持</w:t>
            </w:r>
            <w:r>
              <w:rPr>
                <w:rFonts w:hint="eastAsia" w:ascii="宋体" w:hAnsi="宋体" w:eastAsia="宋体" w:cs="宋体"/>
                <w:color w:val="auto"/>
                <w:kern w:val="0"/>
                <w:sz w:val="22"/>
                <w:szCs w:val="22"/>
              </w:rPr>
              <w:t>IPv6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133" w:type="dxa"/>
            <w:vMerge w:val="restart"/>
            <w:tcBorders>
              <w:top w:val="single" w:color="000000" w:sz="4" w:space="0"/>
              <w:left w:val="single" w:color="000000" w:sz="4" w:space="0"/>
              <w:right w:val="single" w:color="000000" w:sz="4" w:space="0"/>
            </w:tcBorders>
            <w:shd w:val="clear" w:color="auto" w:fill="auto"/>
          </w:tcPr>
          <w:p>
            <w:pPr>
              <w:snapToGrid w:val="0"/>
              <w:rPr>
                <w:rFonts w:ascii="宋体" w:hAnsi="宋体" w:cs="宋体"/>
                <w:color w:val="auto"/>
                <w:sz w:val="22"/>
                <w:szCs w:val="22"/>
              </w:rPr>
            </w:pPr>
            <w:r>
              <w:rPr>
                <w:rFonts w:hint="eastAsia" w:ascii="宋体" w:hAnsi="宋体" w:eastAsia="宋体" w:cs="宋体"/>
                <w:color w:val="auto"/>
                <w:sz w:val="22"/>
                <w:szCs w:val="22"/>
              </w:rPr>
              <w:t>接入认证</w:t>
            </w: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napToGrid w:val="0"/>
              <w:rPr>
                <w:rFonts w:ascii="宋体" w:hAnsi="宋体" w:cs="宋体"/>
                <w:color w:val="auto"/>
                <w:sz w:val="22"/>
                <w:szCs w:val="22"/>
                <w:lang w:val="zh-TW" w:eastAsia="zh-TW"/>
              </w:rPr>
            </w:pPr>
            <w:r>
              <w:rPr>
                <w:rFonts w:hint="eastAsia" w:ascii="宋体" w:hAnsi="宋体" w:eastAsia="宋体" w:cs="宋体"/>
                <w:color w:val="auto"/>
                <w:sz w:val="22"/>
                <w:szCs w:val="22"/>
              </w:rPr>
              <w:t>支持绑定IP认证、绑定MAC认证，及IP/MAC绑定认证等；支持通过SNMP服务器跨三层获取MAC地址；支持绑定IP/MAC后，实现免认证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5" w:hRule="atLeast"/>
        </w:trPr>
        <w:tc>
          <w:tcPr>
            <w:tcW w:w="1133" w:type="dxa"/>
            <w:vMerge w:val="continue"/>
            <w:tcBorders>
              <w:left w:val="single" w:color="000000" w:sz="4" w:space="0"/>
              <w:bottom w:val="single" w:color="auto"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snapToGrid w:val="0"/>
              <w:rPr>
                <w:rFonts w:ascii="宋体" w:hAnsi="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u w:color="FF0000"/>
                <w:lang w:val="zh-TW" w:eastAsia="zh-TW"/>
              </w:rPr>
              <w:t>支持二维码认证，担保人扫描访客的二维码后对其网络访问授权</w:t>
            </w:r>
            <w:r>
              <w:rPr>
                <w:rFonts w:hint="eastAsia" w:ascii="宋体" w:hAnsi="宋体" w:eastAsia="宋体" w:cs="宋体"/>
                <w:color w:val="auto"/>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lang w:bidi="ar"/>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5"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实时监控</w:t>
            </w:r>
          </w:p>
        </w:tc>
        <w:tc>
          <w:tcPr>
            <w:tcW w:w="7067"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为了解我司员工上网状况，减少员工因网络质量差而导致的工作效率下降，要求设备能够</w:t>
            </w:r>
            <w:r>
              <w:rPr>
                <w:rFonts w:hint="eastAsia" w:ascii="宋体" w:hAnsi="宋体" w:eastAsia="宋体" w:cs="宋体"/>
                <w:color w:val="auto"/>
                <w:kern w:val="0"/>
                <w:sz w:val="22"/>
                <w:szCs w:val="22"/>
                <w:u w:color="FF0000"/>
                <w:lang w:val="zh-TW" w:eastAsia="zh-TW"/>
              </w:rPr>
              <w:t>针对内网用户的</w:t>
            </w:r>
            <w:r>
              <w:rPr>
                <w:rFonts w:hint="eastAsia" w:ascii="宋体" w:hAnsi="宋体" w:eastAsia="宋体" w:cs="宋体"/>
                <w:color w:val="auto"/>
                <w:kern w:val="0"/>
                <w:sz w:val="22"/>
                <w:szCs w:val="22"/>
                <w:u w:color="FF0000"/>
              </w:rPr>
              <w:t>web</w:t>
            </w:r>
            <w:r>
              <w:rPr>
                <w:rFonts w:hint="eastAsia" w:ascii="宋体" w:hAnsi="宋体" w:eastAsia="宋体" w:cs="宋体"/>
                <w:color w:val="auto"/>
                <w:kern w:val="0"/>
                <w:sz w:val="22"/>
                <w:szCs w:val="22"/>
                <w:u w:color="FF0000"/>
                <w:lang w:val="zh-TW" w:eastAsia="zh-TW"/>
              </w:rPr>
              <w:t>访问质量进行检测，对整体网络提供清晰的整体网络质量评级</w:t>
            </w:r>
            <w:r>
              <w:rPr>
                <w:rFonts w:hint="eastAsia" w:ascii="宋体" w:hAnsi="宋体" w:eastAsia="宋体" w:cs="宋体"/>
                <w:color w:val="auto"/>
                <w:kern w:val="0"/>
                <w:sz w:val="22"/>
                <w:szCs w:val="22"/>
                <w:u w:color="FF0000"/>
                <w:lang w:val="zh-TW"/>
              </w:rPr>
              <w:t>；</w:t>
            </w:r>
            <w:r>
              <w:rPr>
                <w:rFonts w:hint="eastAsia" w:ascii="宋体" w:hAnsi="宋体" w:eastAsia="宋体" w:cs="宋体"/>
                <w:color w:val="auto"/>
                <w:kern w:val="0"/>
                <w:sz w:val="22"/>
                <w:szCs w:val="22"/>
                <w:u w:color="FF0000"/>
                <w:lang w:val="zh-TW" w:eastAsia="zh-TW"/>
              </w:rPr>
              <w:t>支持以列表形式展示访问质量差的用户名单</w:t>
            </w:r>
            <w:r>
              <w:rPr>
                <w:rFonts w:hint="eastAsia" w:ascii="宋体" w:hAnsi="宋体" w:eastAsia="宋体" w:cs="宋体"/>
                <w:color w:val="auto"/>
                <w:kern w:val="0"/>
                <w:sz w:val="22"/>
                <w:szCs w:val="22"/>
                <w:u w:color="FF0000"/>
                <w:lang w:val="zh-TW"/>
              </w:rPr>
              <w:t>；</w:t>
            </w:r>
            <w:r>
              <w:rPr>
                <w:rFonts w:hint="eastAsia" w:ascii="宋体" w:hAnsi="宋体" w:eastAsia="宋体" w:cs="宋体"/>
                <w:color w:val="auto"/>
                <w:kern w:val="0"/>
                <w:sz w:val="22"/>
                <w:szCs w:val="22"/>
                <w:u w:color="FF0000"/>
                <w:lang w:val="zh-TW" w:eastAsia="zh-TW"/>
              </w:rPr>
              <w:t>支持对单用户进行定向</w:t>
            </w:r>
            <w:r>
              <w:rPr>
                <w:rFonts w:hint="eastAsia" w:ascii="宋体" w:hAnsi="宋体" w:eastAsia="宋体" w:cs="宋体"/>
                <w:color w:val="auto"/>
                <w:kern w:val="0"/>
                <w:sz w:val="22"/>
                <w:szCs w:val="22"/>
                <w:u w:color="FF0000"/>
              </w:rPr>
              <w:t>web</w:t>
            </w:r>
            <w:r>
              <w:rPr>
                <w:rFonts w:hint="eastAsia" w:ascii="宋体" w:hAnsi="宋体" w:eastAsia="宋体" w:cs="宋体"/>
                <w:color w:val="auto"/>
                <w:kern w:val="0"/>
                <w:sz w:val="22"/>
                <w:szCs w:val="22"/>
                <w:u w:color="FF0000"/>
                <w:lang w:val="zh-TW" w:eastAsia="zh-TW"/>
              </w:rPr>
              <w:t>访问质量检测</w:t>
            </w:r>
            <w:r>
              <w:rPr>
                <w:rFonts w:hint="eastAsia" w:ascii="宋体" w:hAnsi="宋体" w:eastAsia="宋体" w:cs="宋体"/>
                <w:color w:val="auto"/>
                <w:kern w:val="0"/>
                <w:sz w:val="22"/>
                <w:szCs w:val="22"/>
                <w:u w:color="FF0000"/>
                <w:lang w:val="zh-TW"/>
              </w:rPr>
              <w:t>。</w:t>
            </w:r>
            <w:r>
              <w:rPr>
                <w:rFonts w:hint="eastAsia" w:ascii="宋体" w:hAnsi="宋体" w:eastAsia="宋体" w:cs="宋体"/>
                <w:color w:val="auto"/>
                <w:kern w:val="0"/>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kern w:val="0"/>
                <w:sz w:val="22"/>
                <w:szCs w:val="22"/>
                <w:lang w:bidi="ar"/>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u w:color="FF0000"/>
                <w:lang w:val="zh-TW" w:eastAsia="zh-TW"/>
              </w:rPr>
              <w:t>支持</w:t>
            </w:r>
            <w:r>
              <w:rPr>
                <w:rFonts w:hint="eastAsia" w:ascii="宋体" w:hAnsi="宋体" w:eastAsia="宋体" w:cs="宋体"/>
                <w:color w:val="auto"/>
                <w:kern w:val="0"/>
                <w:sz w:val="22"/>
                <w:szCs w:val="22"/>
                <w:u w:color="FF0000"/>
              </w:rPr>
              <w:t>PPS</w:t>
            </w:r>
            <w:r>
              <w:rPr>
                <w:rFonts w:hint="eastAsia" w:ascii="宋体" w:hAnsi="宋体" w:eastAsia="宋体" w:cs="宋体"/>
                <w:color w:val="auto"/>
                <w:kern w:val="0"/>
                <w:sz w:val="22"/>
                <w:szCs w:val="22"/>
                <w:u w:color="FF0000"/>
                <w:lang w:val="zh-TW" w:eastAsia="zh-TW"/>
              </w:rPr>
              <w:t>异常、丢包异常、</w:t>
            </w:r>
            <w:r>
              <w:rPr>
                <w:rFonts w:hint="eastAsia" w:ascii="宋体" w:hAnsi="宋体" w:eastAsia="宋体" w:cs="宋体"/>
                <w:color w:val="auto"/>
                <w:kern w:val="0"/>
                <w:sz w:val="22"/>
                <w:szCs w:val="22"/>
                <w:u w:color="FF0000"/>
              </w:rPr>
              <w:t>ARP</w:t>
            </w:r>
            <w:r>
              <w:rPr>
                <w:rFonts w:hint="eastAsia" w:ascii="宋体" w:hAnsi="宋体" w:eastAsia="宋体" w:cs="宋体"/>
                <w:color w:val="auto"/>
                <w:kern w:val="0"/>
                <w:sz w:val="22"/>
                <w:szCs w:val="22"/>
                <w:u w:color="FF0000"/>
                <w:lang w:val="zh-TW" w:eastAsia="zh-TW"/>
              </w:rPr>
              <w:t>异常、内网</w:t>
            </w:r>
            <w:r>
              <w:rPr>
                <w:rFonts w:hint="eastAsia" w:ascii="宋体" w:hAnsi="宋体" w:eastAsia="宋体" w:cs="宋体"/>
                <w:color w:val="auto"/>
                <w:kern w:val="0"/>
                <w:sz w:val="22"/>
                <w:szCs w:val="22"/>
                <w:u w:color="FF0000"/>
              </w:rPr>
              <w:t>DOS</w:t>
            </w:r>
            <w:r>
              <w:rPr>
                <w:rFonts w:hint="eastAsia" w:ascii="宋体" w:hAnsi="宋体" w:eastAsia="宋体" w:cs="宋体"/>
                <w:color w:val="auto"/>
                <w:kern w:val="0"/>
                <w:sz w:val="22"/>
                <w:szCs w:val="22"/>
                <w:u w:color="FF0000"/>
                <w:lang w:val="zh-TW" w:eastAsia="zh-TW"/>
              </w:rPr>
              <w:t>攻击等异常情况实时监测，显示每日异常事件个数及情况；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33" w:hRule="atLeast"/>
        </w:trPr>
        <w:tc>
          <w:tcPr>
            <w:tcW w:w="113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应用管理</w:t>
            </w:r>
          </w:p>
        </w:tc>
        <w:tc>
          <w:tcPr>
            <w:tcW w:w="706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color w:val="auto"/>
                <w:kern w:val="0"/>
                <w:sz w:val="22"/>
                <w:szCs w:val="22"/>
                <w:lang w:val="zh-TW" w:eastAsia="zh-TW"/>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为我司能够针对不同部门/员工进行精细化的应用管控，要求</w:t>
            </w:r>
            <w:r>
              <w:rPr>
                <w:rFonts w:hint="eastAsia" w:ascii="宋体" w:hAnsi="宋体" w:eastAsia="宋体" w:cs="宋体"/>
                <w:color w:val="auto"/>
                <w:kern w:val="0"/>
                <w:sz w:val="22"/>
                <w:szCs w:val="22"/>
                <w:lang w:val="zh-TW" w:eastAsia="zh-TW"/>
              </w:rPr>
              <w:t>设备内置应用识别规则库，支持超过</w:t>
            </w:r>
            <w:r>
              <w:rPr>
                <w:rFonts w:hint="eastAsia" w:ascii="宋体" w:hAnsi="宋体" w:eastAsia="宋体" w:cs="宋体"/>
                <w:color w:val="auto"/>
                <w:kern w:val="0"/>
                <w:sz w:val="22"/>
                <w:szCs w:val="22"/>
              </w:rPr>
              <w:t>6000</w:t>
            </w:r>
            <w:r>
              <w:rPr>
                <w:rFonts w:hint="eastAsia" w:ascii="宋体" w:hAnsi="宋体" w:eastAsia="宋体" w:cs="宋体"/>
                <w:color w:val="auto"/>
                <w:kern w:val="0"/>
                <w:sz w:val="22"/>
                <w:szCs w:val="22"/>
                <w:lang w:val="zh-TW" w:eastAsia="zh-TW"/>
              </w:rPr>
              <w:t>条应用规则数，支持超过</w:t>
            </w:r>
            <w:r>
              <w:rPr>
                <w:rFonts w:hint="eastAsia" w:ascii="宋体" w:hAnsi="宋体" w:eastAsia="宋体" w:cs="宋体"/>
                <w:color w:val="auto"/>
                <w:kern w:val="0"/>
                <w:sz w:val="22"/>
                <w:szCs w:val="22"/>
              </w:rPr>
              <w:t>2800</w:t>
            </w:r>
            <w:r>
              <w:rPr>
                <w:rFonts w:hint="eastAsia" w:ascii="宋体" w:hAnsi="宋体" w:eastAsia="宋体" w:cs="宋体"/>
                <w:color w:val="auto"/>
                <w:kern w:val="0"/>
                <w:sz w:val="22"/>
                <w:szCs w:val="22"/>
                <w:lang w:val="zh-TW" w:eastAsia="zh-TW"/>
              </w:rPr>
              <w:t>种以上的应用，</w:t>
            </w:r>
            <w:r>
              <w:rPr>
                <w:rFonts w:hint="eastAsia" w:ascii="宋体" w:hAnsi="宋体" w:eastAsia="宋体" w:cs="宋体"/>
                <w:color w:val="auto"/>
                <w:kern w:val="0"/>
                <w:sz w:val="22"/>
                <w:szCs w:val="22"/>
              </w:rPr>
              <w:t>1000</w:t>
            </w:r>
            <w:r>
              <w:rPr>
                <w:rFonts w:hint="eastAsia" w:ascii="宋体" w:hAnsi="宋体" w:eastAsia="宋体" w:cs="宋体"/>
                <w:color w:val="auto"/>
                <w:kern w:val="0"/>
                <w:sz w:val="22"/>
                <w:szCs w:val="22"/>
                <w:lang w:val="zh-TW" w:eastAsia="zh-TW"/>
              </w:rPr>
              <w:t>种以上移动应用，</w:t>
            </w:r>
            <w:r>
              <w:rPr>
                <w:rFonts w:hint="eastAsia" w:ascii="宋体" w:hAnsi="宋体" w:eastAsia="宋体" w:cs="宋体"/>
                <w:color w:val="auto"/>
                <w:kern w:val="0"/>
                <w:sz w:val="22"/>
                <w:szCs w:val="22"/>
                <w:lang w:val="en-US" w:eastAsia="zh-CN"/>
              </w:rPr>
              <w:t>并能及时更新、</w:t>
            </w:r>
            <w:r>
              <w:rPr>
                <w:rFonts w:hint="eastAsia" w:ascii="宋体" w:hAnsi="宋体" w:eastAsia="宋体" w:cs="宋体"/>
                <w:color w:val="auto"/>
                <w:kern w:val="0"/>
                <w:sz w:val="22"/>
                <w:szCs w:val="22"/>
                <w:lang w:val="zh-TW" w:eastAsia="zh-TW"/>
              </w:rPr>
              <w:t>保证应用识别的准确率</w:t>
            </w:r>
            <w:r>
              <w:rPr>
                <w:rFonts w:hint="eastAsia" w:ascii="宋体" w:hAnsi="宋体" w:eastAsia="宋体" w:cs="宋体"/>
                <w:color w:val="auto"/>
                <w:kern w:val="0"/>
                <w:sz w:val="22"/>
                <w:szCs w:val="22"/>
                <w:lang w:val="en-US" w:eastAsia="zh-CN"/>
              </w:rPr>
              <w:t>及减少规则库占用的资源</w:t>
            </w:r>
            <w:r>
              <w:rPr>
                <w:rFonts w:hint="eastAsia" w:ascii="宋体" w:hAnsi="宋体" w:eastAsia="宋体" w:cs="宋体"/>
                <w:color w:val="auto"/>
                <w:kern w:val="0"/>
                <w:sz w:val="22"/>
                <w:szCs w:val="22"/>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0" w:hRule="atLeast"/>
        </w:trPr>
        <w:tc>
          <w:tcPr>
            <w:tcW w:w="1133" w:type="dxa"/>
            <w:vMerge w:val="continue"/>
            <w:tcBorders>
              <w:left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为避免员工浏览微博、论坛、网盘以及聊天时有意无意的外发我司内部信息，要求：</w:t>
            </w:r>
          </w:p>
          <w:p>
            <w:pPr>
              <w:pStyle w:val="37"/>
              <w:widowControl/>
              <w:snapToGrid w:val="0"/>
              <w:rPr>
                <w:rFonts w:hint="eastAsia" w:ascii="宋体" w:hAnsi="宋体" w:eastAsia="宋体" w:cs="宋体"/>
                <w:color w:val="auto"/>
                <w:kern w:val="0"/>
                <w:sz w:val="22"/>
                <w:szCs w:val="22"/>
                <w:lang w:val="zh-TW" w:eastAsia="zh-CN"/>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lang w:val="zh-TW" w:eastAsia="zh-TW"/>
              </w:rPr>
              <w:t>能够对新浪微博、腾讯微博、网易微博等进行细分控制，如：登录、浏览、发微博、上传附件等</w:t>
            </w:r>
            <w:r>
              <w:rPr>
                <w:rFonts w:hint="eastAsia" w:ascii="宋体" w:hAnsi="宋体" w:eastAsia="宋体" w:cs="宋体"/>
                <w:color w:val="auto"/>
                <w:kern w:val="0"/>
                <w:sz w:val="22"/>
                <w:szCs w:val="22"/>
                <w:lang w:val="zh-TW" w:eastAsia="zh-CN"/>
              </w:rPr>
              <w:t>；</w:t>
            </w:r>
          </w:p>
          <w:p>
            <w:pPr>
              <w:pStyle w:val="37"/>
              <w:widowControl/>
              <w:snapToGrid w:val="0"/>
              <w:rPr>
                <w:rFonts w:ascii="宋体" w:hAnsi="宋体" w:eastAsia="宋体" w:cs="宋体"/>
                <w:color w:val="auto"/>
                <w:kern w:val="0"/>
                <w:sz w:val="22"/>
                <w:szCs w:val="22"/>
                <w:lang w:val="zh-TW" w:eastAsia="zh-TW"/>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lang w:val="zh-TW" w:eastAsia="zh-TW"/>
              </w:rPr>
              <w:t>能够对</w:t>
            </w:r>
            <w:r>
              <w:rPr>
                <w:rFonts w:hint="eastAsia" w:ascii="宋体" w:hAnsi="宋体" w:eastAsia="宋体" w:cs="宋体"/>
                <w:color w:val="auto"/>
                <w:kern w:val="0"/>
                <w:sz w:val="22"/>
                <w:szCs w:val="22"/>
              </w:rPr>
              <w:t>teamview</w:t>
            </w:r>
            <w:r>
              <w:rPr>
                <w:rFonts w:hint="eastAsia" w:ascii="宋体" w:hAnsi="宋体" w:eastAsia="宋体" w:cs="宋体"/>
                <w:color w:val="auto"/>
                <w:kern w:val="0"/>
                <w:sz w:val="22"/>
                <w:szCs w:val="22"/>
                <w:lang w:val="zh-TW" w:eastAsia="zh-TW"/>
              </w:rPr>
              <w:t>、</w:t>
            </w:r>
            <w:r>
              <w:rPr>
                <w:rFonts w:hint="eastAsia" w:ascii="宋体" w:hAnsi="宋体" w:eastAsia="宋体" w:cs="宋体"/>
                <w:color w:val="auto"/>
                <w:kern w:val="0"/>
                <w:sz w:val="22"/>
                <w:szCs w:val="22"/>
              </w:rPr>
              <w:t>QQ</w:t>
            </w:r>
            <w:r>
              <w:rPr>
                <w:rFonts w:hint="eastAsia" w:ascii="宋体" w:hAnsi="宋体" w:eastAsia="宋体" w:cs="宋体"/>
                <w:color w:val="auto"/>
                <w:kern w:val="0"/>
                <w:sz w:val="22"/>
                <w:szCs w:val="22"/>
                <w:lang w:val="zh-TW" w:eastAsia="zh-TW"/>
              </w:rPr>
              <w:t>远程桌面等远程控制应用做细分控制，如：接受对方远程控制</w:t>
            </w:r>
            <w:r>
              <w:rPr>
                <w:rFonts w:hint="eastAsia" w:ascii="宋体" w:hAnsi="宋体" w:eastAsia="宋体" w:cs="宋体"/>
                <w:color w:val="auto"/>
                <w:kern w:val="0"/>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kern w:val="0"/>
                <w:sz w:val="22"/>
                <w:szCs w:val="22"/>
                <w:lang w:bidi="ar"/>
              </w:rPr>
              <w:t>】</w:t>
            </w:r>
          </w:p>
          <w:p>
            <w:pPr>
              <w:pStyle w:val="37"/>
              <w:widowControl/>
              <w:snapToGrid w:val="0"/>
              <w:rPr>
                <w:rFonts w:ascii="宋体" w:hAnsi="宋体" w:eastAsia="宋体" w:cs="宋体"/>
                <w:color w:val="auto"/>
                <w:kern w:val="0"/>
                <w:sz w:val="22"/>
                <w:szCs w:val="22"/>
                <w:lang w:val="zh-TW" w:eastAsia="zh-TW"/>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zh-TW" w:eastAsia="zh-TW"/>
              </w:rPr>
              <w:t>能够对</w:t>
            </w:r>
            <w:r>
              <w:rPr>
                <w:rFonts w:hint="eastAsia" w:ascii="宋体" w:hAnsi="宋体" w:eastAsia="宋体" w:cs="宋体"/>
                <w:color w:val="auto"/>
                <w:kern w:val="0"/>
                <w:sz w:val="22"/>
                <w:szCs w:val="22"/>
              </w:rPr>
              <w:t>Github</w:t>
            </w:r>
            <w:r>
              <w:rPr>
                <w:rFonts w:hint="eastAsia" w:ascii="宋体" w:hAnsi="宋体" w:eastAsia="宋体" w:cs="宋体"/>
                <w:color w:val="auto"/>
                <w:kern w:val="0"/>
                <w:sz w:val="22"/>
                <w:szCs w:val="22"/>
                <w:lang w:val="zh-TW" w:eastAsia="zh-TW"/>
              </w:rPr>
              <w:t>、百度网盘、百度文库等网络应用的上传动作进行细分控制</w:t>
            </w:r>
            <w:r>
              <w:rPr>
                <w:rFonts w:hint="eastAsia" w:ascii="宋体" w:hAnsi="宋体" w:eastAsia="宋体" w:cs="宋体"/>
                <w:color w:val="auto"/>
                <w:kern w:val="0"/>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kern w:val="0"/>
                <w:sz w:val="22"/>
                <w:szCs w:val="22"/>
                <w:lang w:bidi="ar"/>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133" w:type="dxa"/>
            <w:vMerge w:val="continue"/>
            <w:tcBorders>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9"/>
              <w:widowControl/>
              <w:snapToGrid w:val="0"/>
              <w:rPr>
                <w:rFonts w:hint="default" w:ascii="宋体" w:hAnsi="宋体" w:eastAsia="宋体" w:cs="宋体"/>
                <w:color w:val="auto"/>
                <w:kern w:val="0"/>
                <w:sz w:val="22"/>
                <w:szCs w:val="22"/>
              </w:rPr>
            </w:pPr>
            <w:r>
              <w:rPr>
                <w:rFonts w:ascii="宋体" w:hAnsi="宋体" w:eastAsia="宋体" w:cs="宋体"/>
                <w:color w:val="auto"/>
                <w:kern w:val="0"/>
                <w:sz w:val="22"/>
                <w:szCs w:val="22"/>
              </w:rPr>
              <w:t>支持记录QQ、微信传文件动作和传文件内容，并可记录传文件类型和文件长度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邮件管理</w:t>
            </w:r>
          </w:p>
        </w:tc>
        <w:tc>
          <w:tcPr>
            <w:tcW w:w="7067"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u w:color="FF0000"/>
                <w:lang w:val="zh-TW" w:eastAsia="zh-TW"/>
              </w:rPr>
              <w:t>支持对加密</w:t>
            </w:r>
            <w:r>
              <w:rPr>
                <w:rFonts w:hint="eastAsia" w:ascii="宋体" w:hAnsi="宋体" w:eastAsia="宋体" w:cs="宋体"/>
                <w:color w:val="auto"/>
                <w:kern w:val="0"/>
                <w:sz w:val="22"/>
                <w:szCs w:val="22"/>
                <w:u w:color="FF0000"/>
              </w:rPr>
              <w:t>HTTPS</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 xml:space="preserve">POP3-SSL </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POP3</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 xml:space="preserve">IMAP </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IMAP-SSL</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SMTP-SSL</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SMTP</w:t>
            </w:r>
            <w:r>
              <w:rPr>
                <w:rFonts w:hint="eastAsia" w:ascii="宋体" w:hAnsi="宋体" w:eastAsia="宋体" w:cs="宋体"/>
                <w:color w:val="auto"/>
                <w:kern w:val="0"/>
                <w:sz w:val="22"/>
                <w:szCs w:val="22"/>
                <w:u w:color="FF0000"/>
                <w:lang w:val="zh-TW" w:eastAsia="zh-TW"/>
              </w:rPr>
              <w:t>邮件内容的审计。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3"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流量控制</w:t>
            </w:r>
          </w:p>
        </w:tc>
        <w:tc>
          <w:tcPr>
            <w:tcW w:w="706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为避免员工在上班时间访问视频网站、下载视频等行为，要求</w:t>
            </w:r>
            <w:r>
              <w:rPr>
                <w:rFonts w:hint="eastAsia" w:ascii="宋体" w:hAnsi="宋体" w:eastAsia="宋体" w:cs="宋体"/>
                <w:color w:val="auto"/>
                <w:kern w:val="0"/>
                <w:sz w:val="22"/>
                <w:szCs w:val="22"/>
                <w:u w:color="FF0000"/>
                <w:lang w:val="zh-TW" w:eastAsia="zh-TW"/>
              </w:rPr>
              <w:t>支持通过抑制</w:t>
            </w:r>
            <w:r>
              <w:rPr>
                <w:rFonts w:hint="eastAsia" w:ascii="宋体" w:hAnsi="宋体" w:eastAsia="宋体" w:cs="宋体"/>
                <w:color w:val="auto"/>
                <w:kern w:val="0"/>
                <w:sz w:val="22"/>
                <w:szCs w:val="22"/>
                <w:u w:color="FF0000"/>
              </w:rPr>
              <w:t>P2P</w:t>
            </w:r>
            <w:r>
              <w:rPr>
                <w:rFonts w:hint="eastAsia" w:ascii="宋体" w:hAnsi="宋体" w:eastAsia="宋体" w:cs="宋体"/>
                <w:color w:val="auto"/>
                <w:kern w:val="0"/>
                <w:sz w:val="22"/>
                <w:szCs w:val="22"/>
                <w:u w:color="FF0000"/>
                <w:lang w:val="zh-TW" w:eastAsia="zh-TW"/>
              </w:rPr>
              <w:t>的上行流量，来减缓</w:t>
            </w:r>
            <w:r>
              <w:rPr>
                <w:rFonts w:hint="eastAsia" w:ascii="宋体" w:hAnsi="宋体" w:eastAsia="宋体" w:cs="宋体"/>
                <w:color w:val="auto"/>
                <w:kern w:val="0"/>
                <w:sz w:val="22"/>
                <w:szCs w:val="22"/>
                <w:u w:color="FF0000"/>
              </w:rPr>
              <w:t>P2P</w:t>
            </w:r>
            <w:r>
              <w:rPr>
                <w:rFonts w:hint="eastAsia" w:ascii="宋体" w:hAnsi="宋体" w:eastAsia="宋体" w:cs="宋体"/>
                <w:color w:val="auto"/>
                <w:kern w:val="0"/>
                <w:sz w:val="22"/>
                <w:szCs w:val="22"/>
                <w:u w:color="FF0000"/>
                <w:lang w:val="zh-TW" w:eastAsia="zh-TW"/>
              </w:rPr>
              <w:t>的下行流量，</w:t>
            </w:r>
            <w:r>
              <w:rPr>
                <w:rFonts w:hint="eastAsia" w:ascii="宋体" w:hAnsi="宋体" w:eastAsia="宋体" w:cs="宋体"/>
                <w:color w:val="auto"/>
                <w:kern w:val="0"/>
                <w:sz w:val="22"/>
                <w:szCs w:val="22"/>
                <w:u w:color="FF0000"/>
                <w:lang w:val="en-US" w:eastAsia="zh-CN"/>
              </w:rPr>
              <w:t>避免影响正常业务数据流量的传输</w:t>
            </w:r>
            <w:r>
              <w:rPr>
                <w:rFonts w:hint="eastAsia" w:ascii="宋体" w:hAnsi="宋体" w:eastAsia="宋体" w:cs="宋体"/>
                <w:color w:val="auto"/>
                <w:kern w:val="0"/>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kern w:val="0"/>
                <w:sz w:val="22"/>
                <w:szCs w:val="22"/>
                <w:lang w:bidi="ar"/>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6"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widowControl/>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为了更好地对员工上网流量进行管控，让更多的流量用于公司重要业务的传输，要求</w:t>
            </w:r>
            <w:r>
              <w:rPr>
                <w:rFonts w:hint="eastAsia" w:ascii="宋体" w:hAnsi="宋体" w:eastAsia="宋体" w:cs="宋体"/>
                <w:color w:val="auto"/>
                <w:kern w:val="0"/>
                <w:sz w:val="22"/>
                <w:szCs w:val="22"/>
                <w:u w:color="FF0000"/>
                <w:lang w:val="zh-TW" w:eastAsia="zh-TW"/>
              </w:rPr>
              <w:t>基于</w:t>
            </w:r>
            <w:r>
              <w:rPr>
                <w:rFonts w:hint="eastAsia" w:ascii="宋体" w:hAnsi="宋体" w:eastAsia="宋体" w:cs="宋体"/>
                <w:color w:val="auto"/>
                <w:kern w:val="0"/>
                <w:sz w:val="22"/>
                <w:szCs w:val="22"/>
                <w:u w:color="FF0000"/>
              </w:rPr>
              <w:t>“</w:t>
            </w:r>
            <w:r>
              <w:rPr>
                <w:rFonts w:hint="eastAsia" w:ascii="宋体" w:hAnsi="宋体" w:eastAsia="宋体" w:cs="宋体"/>
                <w:color w:val="auto"/>
                <w:kern w:val="0"/>
                <w:sz w:val="22"/>
                <w:szCs w:val="22"/>
                <w:u w:color="FF0000"/>
                <w:lang w:val="zh-TW" w:eastAsia="zh-TW"/>
              </w:rPr>
              <w:t>流量</w:t>
            </w:r>
            <w:r>
              <w:rPr>
                <w:rFonts w:hint="eastAsia" w:ascii="宋体" w:hAnsi="宋体" w:eastAsia="宋体" w:cs="宋体"/>
                <w:color w:val="auto"/>
                <w:kern w:val="0"/>
                <w:sz w:val="22"/>
                <w:szCs w:val="22"/>
                <w:u w:color="FF0000"/>
              </w:rPr>
              <w:t>”</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w:t>
            </w:r>
            <w:r>
              <w:rPr>
                <w:rFonts w:hint="eastAsia" w:ascii="宋体" w:hAnsi="宋体" w:eastAsia="宋体" w:cs="宋体"/>
                <w:color w:val="auto"/>
                <w:kern w:val="0"/>
                <w:sz w:val="22"/>
                <w:szCs w:val="22"/>
                <w:u w:color="FF0000"/>
                <w:lang w:val="zh-TW" w:eastAsia="zh-TW"/>
              </w:rPr>
              <w:t>流速</w:t>
            </w:r>
            <w:r>
              <w:rPr>
                <w:rFonts w:hint="eastAsia" w:ascii="宋体" w:hAnsi="宋体" w:eastAsia="宋体" w:cs="宋体"/>
                <w:color w:val="auto"/>
                <w:kern w:val="0"/>
                <w:sz w:val="22"/>
                <w:szCs w:val="22"/>
                <w:u w:color="FF0000"/>
              </w:rPr>
              <w:t>”</w:t>
            </w:r>
            <w:r>
              <w:rPr>
                <w:rFonts w:hint="eastAsia" w:ascii="宋体" w:hAnsi="宋体" w:eastAsia="宋体" w:cs="宋体"/>
                <w:color w:val="auto"/>
                <w:kern w:val="0"/>
                <w:sz w:val="22"/>
                <w:szCs w:val="22"/>
                <w:u w:color="FF0000"/>
                <w:lang w:val="zh-TW" w:eastAsia="zh-TW"/>
              </w:rPr>
              <w:t>、</w:t>
            </w:r>
            <w:r>
              <w:rPr>
                <w:rFonts w:hint="eastAsia" w:ascii="宋体" w:hAnsi="宋体" w:eastAsia="宋体" w:cs="宋体"/>
                <w:color w:val="auto"/>
                <w:kern w:val="0"/>
                <w:sz w:val="22"/>
                <w:szCs w:val="22"/>
                <w:u w:color="FF0000"/>
              </w:rPr>
              <w:t>“</w:t>
            </w:r>
            <w:r>
              <w:rPr>
                <w:rFonts w:hint="eastAsia" w:ascii="宋体" w:hAnsi="宋体" w:eastAsia="宋体" w:cs="宋体"/>
                <w:color w:val="auto"/>
                <w:kern w:val="0"/>
                <w:sz w:val="22"/>
                <w:szCs w:val="22"/>
                <w:u w:color="FF0000"/>
                <w:lang w:val="zh-TW" w:eastAsia="zh-TW"/>
              </w:rPr>
              <w:t>时长</w:t>
            </w:r>
            <w:r>
              <w:rPr>
                <w:rFonts w:hint="eastAsia" w:ascii="宋体" w:hAnsi="宋体" w:eastAsia="宋体" w:cs="宋体"/>
                <w:color w:val="auto"/>
                <w:kern w:val="0"/>
                <w:sz w:val="22"/>
                <w:szCs w:val="22"/>
                <w:u w:color="FF0000"/>
              </w:rPr>
              <w:t>”</w:t>
            </w:r>
            <w:r>
              <w:rPr>
                <w:rFonts w:hint="eastAsia" w:ascii="宋体" w:hAnsi="宋体" w:eastAsia="宋体" w:cs="宋体"/>
                <w:color w:val="auto"/>
                <w:kern w:val="0"/>
                <w:sz w:val="22"/>
                <w:szCs w:val="22"/>
                <w:u w:color="FF0000"/>
                <w:lang w:val="zh-TW" w:eastAsia="zh-TW"/>
              </w:rPr>
              <w:t>设置配额，当配额耗尽后，将用户加入到指定的流控黑名单惩罚通道中</w:t>
            </w:r>
            <w:r>
              <w:rPr>
                <w:rFonts w:hint="eastAsia" w:ascii="宋体" w:hAnsi="宋体" w:eastAsia="宋体" w:cs="宋体"/>
                <w:color w:val="auto"/>
                <w:kern w:val="0"/>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kern w:val="0"/>
                <w:sz w:val="22"/>
                <w:szCs w:val="22"/>
                <w:lang w:bidi="ar"/>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上网行为审计</w:t>
            </w:r>
          </w:p>
        </w:tc>
        <w:tc>
          <w:tcPr>
            <w:tcW w:w="7067"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u w:color="FF0000"/>
                <w:lang w:val="zh-TW" w:eastAsia="zh-TW"/>
              </w:rPr>
              <w:t>审计</w:t>
            </w:r>
            <w:r>
              <w:rPr>
                <w:rFonts w:hint="eastAsia" w:ascii="宋体" w:hAnsi="宋体" w:eastAsia="宋体" w:cs="宋体"/>
                <w:color w:val="auto"/>
                <w:kern w:val="0"/>
                <w:sz w:val="22"/>
                <w:szCs w:val="22"/>
                <w:u w:color="FF0000"/>
              </w:rPr>
              <w:t>SSL</w:t>
            </w:r>
            <w:r>
              <w:rPr>
                <w:rFonts w:hint="eastAsia" w:ascii="宋体" w:hAnsi="宋体" w:eastAsia="宋体" w:cs="宋体"/>
                <w:color w:val="auto"/>
                <w:kern w:val="0"/>
                <w:sz w:val="22"/>
                <w:szCs w:val="22"/>
                <w:u w:color="FF0000"/>
                <w:lang w:val="zh-TW" w:eastAsia="zh-TW"/>
              </w:rPr>
              <w:t>网页时，支持加密证书自动分发功能，用户点击网页上的工具即可一次性安装完成。解决管理员给每台</w:t>
            </w:r>
            <w:r>
              <w:rPr>
                <w:rFonts w:hint="eastAsia" w:ascii="宋体" w:hAnsi="宋体" w:eastAsia="宋体" w:cs="宋体"/>
                <w:color w:val="auto"/>
                <w:kern w:val="0"/>
                <w:sz w:val="22"/>
                <w:szCs w:val="22"/>
                <w:u w:color="FF0000"/>
              </w:rPr>
              <w:t>PC</w:t>
            </w:r>
            <w:r>
              <w:rPr>
                <w:rFonts w:hint="eastAsia" w:ascii="宋体" w:hAnsi="宋体" w:eastAsia="宋体" w:cs="宋体"/>
                <w:color w:val="auto"/>
                <w:kern w:val="0"/>
                <w:sz w:val="22"/>
                <w:szCs w:val="22"/>
                <w:u w:color="FF0000"/>
                <w:lang w:val="zh-TW" w:eastAsia="zh-TW"/>
              </w:rPr>
              <w:t>单独安装证书的问题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记录</w:t>
            </w:r>
            <w:r>
              <w:rPr>
                <w:rFonts w:hint="eastAsia" w:ascii="宋体" w:hAnsi="宋体" w:eastAsia="宋体" w:cs="宋体"/>
                <w:color w:val="auto"/>
                <w:kern w:val="0"/>
                <w:sz w:val="22"/>
                <w:szCs w:val="22"/>
              </w:rPr>
              <w:t>QQ</w:t>
            </w:r>
            <w:r>
              <w:rPr>
                <w:rFonts w:hint="eastAsia" w:ascii="宋体" w:hAnsi="宋体" w:eastAsia="宋体" w:cs="宋体"/>
                <w:color w:val="auto"/>
                <w:kern w:val="0"/>
                <w:sz w:val="22"/>
                <w:szCs w:val="22"/>
                <w:lang w:val="zh-TW" w:eastAsia="zh-TW"/>
              </w:rPr>
              <w:t>、微信传文件动作和所传文件内容，并可指定记录传文件类型和文件长度；支持同时审计</w:t>
            </w:r>
            <w:r>
              <w:rPr>
                <w:rFonts w:hint="eastAsia" w:ascii="宋体" w:hAnsi="宋体" w:eastAsia="宋体" w:cs="宋体"/>
                <w:color w:val="auto"/>
                <w:kern w:val="0"/>
                <w:sz w:val="22"/>
                <w:szCs w:val="22"/>
              </w:rPr>
              <w:t>QQ</w:t>
            </w:r>
            <w:r>
              <w:rPr>
                <w:rFonts w:hint="eastAsia" w:ascii="宋体" w:hAnsi="宋体" w:eastAsia="宋体" w:cs="宋体"/>
                <w:color w:val="auto"/>
                <w:kern w:val="0"/>
                <w:sz w:val="22"/>
                <w:szCs w:val="22"/>
                <w:lang w:val="zh-TW" w:eastAsia="zh-TW"/>
              </w:rPr>
              <w:t>聊天内容和</w:t>
            </w:r>
            <w:r>
              <w:rPr>
                <w:rFonts w:hint="eastAsia" w:ascii="宋体" w:hAnsi="宋体" w:eastAsia="宋体" w:cs="宋体"/>
                <w:color w:val="auto"/>
                <w:kern w:val="0"/>
                <w:sz w:val="22"/>
                <w:szCs w:val="22"/>
              </w:rPr>
              <w:t>QQ</w:t>
            </w:r>
            <w:r>
              <w:rPr>
                <w:rFonts w:hint="eastAsia" w:ascii="宋体" w:hAnsi="宋体" w:eastAsia="宋体" w:cs="宋体"/>
                <w:color w:val="auto"/>
                <w:kern w:val="0"/>
                <w:sz w:val="22"/>
                <w:szCs w:val="22"/>
                <w:lang w:val="zh-TW" w:eastAsia="zh-TW"/>
              </w:rPr>
              <w:t>传文件内容。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133" w:type="dxa"/>
            <w:vMerge w:val="restart"/>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jc w:val="center"/>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上网日志管理</w:t>
            </w:r>
          </w:p>
        </w:tc>
        <w:tc>
          <w:tcPr>
            <w:tcW w:w="706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lang w:val="zh-TW" w:eastAsia="zh-TW"/>
              </w:rPr>
              <w:t>设备必须支持内置数据中心和独立数据中心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7"/>
              <w:snapToGrid w:val="0"/>
              <w:rPr>
                <w:rFonts w:ascii="宋体" w:hAnsi="宋体" w:eastAsia="宋体" w:cs="宋体"/>
                <w:color w:val="auto"/>
                <w:kern w:val="0"/>
                <w:sz w:val="22"/>
                <w:szCs w:val="22"/>
              </w:rPr>
            </w:pP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u w:color="FF0000"/>
                <w:lang w:val="zh-TW" w:eastAsia="zh-TW"/>
              </w:rPr>
              <w:t>支持预置几组关键字，当审计日志中出现这些关键字时，将定期以邮件的方式发送报告给指定邮箱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auto"/>
                <w:sz w:val="22"/>
                <w:szCs w:val="22"/>
                <w:u w:color="FF0000"/>
                <w:lang w:val="zh-TW"/>
              </w:rPr>
            </w:pPr>
            <w:r>
              <w:rPr>
                <w:rFonts w:hint="eastAsia" w:ascii="宋体" w:hAnsi="宋体" w:eastAsia="宋体" w:cs="宋体"/>
                <w:color w:val="auto"/>
                <w:sz w:val="22"/>
                <w:szCs w:val="22"/>
                <w:u w:color="FF0000"/>
                <w:lang w:val="zh-TW"/>
              </w:rPr>
              <w:t>支持与同品牌安全感知</w:t>
            </w:r>
            <w:r>
              <w:rPr>
                <w:rFonts w:hint="eastAsia" w:ascii="宋体" w:hAnsi="宋体" w:eastAsia="宋体" w:cs="宋体"/>
                <w:color w:val="auto"/>
                <w:sz w:val="22"/>
                <w:szCs w:val="22"/>
                <w:u w:color="FF0000"/>
              </w:rPr>
              <w:t>平台</w:t>
            </w:r>
            <w:r>
              <w:rPr>
                <w:rFonts w:hint="eastAsia" w:ascii="宋体" w:hAnsi="宋体" w:eastAsia="宋体" w:cs="宋体"/>
                <w:color w:val="auto"/>
                <w:sz w:val="22"/>
                <w:szCs w:val="22"/>
                <w:u w:color="FF0000"/>
                <w:lang w:val="zh-TW"/>
              </w:rPr>
              <w:t>联动</w:t>
            </w: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extAlignment w:val="center"/>
              <w:rPr>
                <w:rFonts w:ascii="宋体" w:hAnsi="宋体" w:cs="宋体"/>
                <w:color w:val="auto"/>
                <w:sz w:val="22"/>
                <w:szCs w:val="22"/>
                <w:u w:color="FF0000"/>
                <w:lang w:val="zh-TW" w:eastAsia="zh-TW"/>
              </w:rPr>
            </w:pPr>
            <w:r>
              <w:rPr>
                <w:rFonts w:hint="eastAsia" w:ascii="宋体" w:hAnsi="宋体" w:eastAsia="宋体" w:cs="宋体"/>
                <w:color w:val="auto"/>
                <w:sz w:val="22"/>
                <w:szCs w:val="22"/>
              </w:rPr>
              <w:t>★</w:t>
            </w:r>
            <w:r>
              <w:rPr>
                <w:rFonts w:hint="eastAsia" w:ascii="宋体" w:hAnsi="宋体" w:eastAsia="宋体" w:cs="宋体"/>
                <w:color w:val="auto"/>
                <w:sz w:val="22"/>
                <w:szCs w:val="22"/>
                <w:u w:color="FF0000"/>
              </w:rPr>
              <w:t>为简化</w:t>
            </w:r>
            <w:r>
              <w:rPr>
                <w:rFonts w:hint="eastAsia" w:ascii="宋体" w:hAnsi="宋体" w:eastAsia="宋体" w:cs="宋体"/>
                <w:color w:val="auto"/>
                <w:sz w:val="22"/>
                <w:szCs w:val="22"/>
                <w:u w:color="FF0000"/>
                <w:lang w:val="en-US" w:eastAsia="zh-CN"/>
              </w:rPr>
              <w:t>我司</w:t>
            </w:r>
            <w:r>
              <w:rPr>
                <w:rFonts w:hint="eastAsia" w:ascii="宋体" w:hAnsi="宋体" w:eastAsia="宋体" w:cs="宋体"/>
                <w:color w:val="auto"/>
                <w:sz w:val="22"/>
                <w:szCs w:val="22"/>
                <w:u w:color="FF0000"/>
              </w:rPr>
              <w:t>管理</w:t>
            </w:r>
            <w:r>
              <w:rPr>
                <w:rFonts w:hint="eastAsia" w:ascii="宋体" w:hAnsi="宋体" w:eastAsia="宋体" w:cs="宋体"/>
                <w:color w:val="auto"/>
                <w:sz w:val="22"/>
                <w:szCs w:val="22"/>
                <w:u w:color="FF0000"/>
                <w:lang w:val="en-US" w:eastAsia="zh-CN"/>
              </w:rPr>
              <w:t>人员运维难度</w:t>
            </w:r>
            <w:r>
              <w:rPr>
                <w:rFonts w:hint="eastAsia" w:ascii="宋体" w:hAnsi="宋体" w:eastAsia="宋体" w:cs="宋体"/>
                <w:color w:val="auto"/>
                <w:sz w:val="22"/>
                <w:szCs w:val="22"/>
                <w:u w:color="FF0000"/>
              </w:rPr>
              <w:t>，提高管理效率</w:t>
            </w:r>
            <w:r>
              <w:rPr>
                <w:rFonts w:hint="eastAsia" w:ascii="宋体" w:hAnsi="宋体" w:eastAsia="宋体" w:cs="宋体"/>
                <w:color w:val="auto"/>
                <w:sz w:val="22"/>
                <w:szCs w:val="22"/>
                <w:u w:color="FF0000"/>
                <w:lang w:val="zh-TW"/>
              </w:rPr>
              <w:t>，</w:t>
            </w:r>
            <w:r>
              <w:rPr>
                <w:rFonts w:hint="eastAsia" w:ascii="宋体" w:hAnsi="宋体" w:eastAsia="宋体" w:cs="宋体"/>
                <w:color w:val="auto"/>
                <w:sz w:val="22"/>
                <w:szCs w:val="22"/>
                <w:u w:color="FF0000"/>
              </w:rPr>
              <w:t>要求能与本项目中安全感知平台对接，</w:t>
            </w:r>
            <w:r>
              <w:rPr>
                <w:rFonts w:hint="eastAsia" w:ascii="宋体" w:hAnsi="宋体" w:eastAsia="宋体" w:cs="宋体"/>
                <w:color w:val="auto"/>
                <w:sz w:val="22"/>
                <w:szCs w:val="22"/>
                <w:u w:color="FF0000"/>
                <w:lang w:val="zh-TW"/>
              </w:rPr>
              <w:t>实现用户同步，以基于用户身份进行威胁分析</w:t>
            </w:r>
            <w:r>
              <w:rPr>
                <w:rFonts w:hint="eastAsia" w:ascii="宋体" w:hAnsi="宋体" w:eastAsia="宋体" w:cs="宋体"/>
                <w:color w:val="auto"/>
                <w:sz w:val="22"/>
                <w:szCs w:val="22"/>
                <w:lang w:bidi="ar"/>
              </w:rPr>
              <w:t>【提供产品截图或证明材料</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r>
              <w:rPr>
                <w:rFonts w:hint="eastAsia" w:ascii="宋体" w:hAnsi="宋体" w:eastAsia="宋体" w:cs="宋体"/>
                <w:color w:val="auto"/>
                <w:sz w:val="22"/>
                <w:szCs w:val="22"/>
                <w:lang w:bidi="ar"/>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rFonts w:ascii="宋体" w:hAnsi="宋体" w:cs="宋体"/>
                <w:color w:val="auto"/>
                <w:sz w:val="22"/>
                <w:szCs w:val="22"/>
              </w:rPr>
            </w:pPr>
            <w:r>
              <w:rPr>
                <w:rFonts w:hint="eastAsia" w:ascii="宋体" w:hAnsi="宋体" w:eastAsia="宋体" w:cs="宋体"/>
                <w:color w:val="auto"/>
                <w:sz w:val="22"/>
                <w:szCs w:val="22"/>
              </w:rPr>
              <w:t>资质要求</w:t>
            </w:r>
          </w:p>
        </w:tc>
        <w:tc>
          <w:tcPr>
            <w:tcW w:w="70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9"/>
              <w:snapToGrid w:val="0"/>
              <w:rPr>
                <w:rFonts w:hint="default" w:ascii="宋体" w:hAnsi="宋体" w:eastAsia="宋体" w:cs="宋体"/>
                <w:color w:val="auto"/>
                <w:kern w:val="0"/>
                <w:sz w:val="22"/>
                <w:szCs w:val="22"/>
              </w:rPr>
            </w:pPr>
            <w:r>
              <w:rPr>
                <w:rFonts w:ascii="宋体" w:hAnsi="宋体" w:eastAsia="宋体" w:cs="宋体"/>
                <w:color w:val="auto"/>
                <w:kern w:val="0"/>
                <w:sz w:val="22"/>
                <w:szCs w:val="22"/>
              </w:rPr>
              <w:t>产品应具公安部颁发的销售许可证；提供有效证书的复印件。</w:t>
            </w:r>
          </w:p>
          <w:p>
            <w:pPr>
              <w:pStyle w:val="39"/>
              <w:snapToGrid w:val="0"/>
              <w:rPr>
                <w:rStyle w:val="24"/>
                <w:rFonts w:hint="eastAsia" w:ascii="宋体" w:hAnsi="宋体" w:eastAsia="宋体" w:cs="宋体"/>
                <w:color w:val="auto"/>
                <w:kern w:val="0"/>
                <w:sz w:val="22"/>
                <w:szCs w:val="22"/>
                <w:lang w:eastAsia="zh-CN"/>
              </w:rPr>
            </w:pPr>
            <w:r>
              <w:rPr>
                <w:rFonts w:ascii="宋体" w:hAnsi="宋体" w:eastAsia="宋体" w:cs="宋体"/>
                <w:color w:val="auto"/>
                <w:kern w:val="0"/>
                <w:sz w:val="22"/>
                <w:szCs w:val="22"/>
                <w:highlight w:val="none"/>
              </w:rPr>
              <w:t>国家标准</w:t>
            </w:r>
            <w:r>
              <w:rPr>
                <w:rFonts w:ascii="宋体" w:hAnsi="宋体" w:eastAsia="宋体" w:cs="宋体"/>
                <w:color w:val="auto"/>
                <w:kern w:val="0"/>
                <w:sz w:val="22"/>
                <w:szCs w:val="22"/>
                <w:highlight w:val="none"/>
                <w:lang w:val="zh-TW" w:eastAsia="zh-TW"/>
              </w:rPr>
              <w:t>《信息安全技术信息系统安全审计产品 技术要求和测试评价方法》的主要起草单位</w:t>
            </w:r>
            <w:r>
              <w:rPr>
                <w:rFonts w:ascii="宋体" w:hAnsi="宋体" w:eastAsia="宋体" w:cs="宋体"/>
                <w:color w:val="auto"/>
                <w:kern w:val="0"/>
                <w:sz w:val="22"/>
                <w:szCs w:val="22"/>
                <w:lang w:val="zh-TW"/>
              </w:rPr>
              <w:t>，</w:t>
            </w:r>
            <w:r>
              <w:rPr>
                <w:rFonts w:ascii="宋体" w:hAnsi="宋体" w:eastAsia="宋体" w:cs="宋体"/>
                <w:color w:val="auto"/>
                <w:kern w:val="0"/>
                <w:sz w:val="22"/>
                <w:szCs w:val="22"/>
              </w:rPr>
              <w:t>提供有效证明材料复印件</w:t>
            </w:r>
            <w:r>
              <w:rPr>
                <w:rFonts w:hint="eastAsia" w:ascii="宋体" w:hAnsi="宋体" w:eastAsia="宋体" w:cs="宋体"/>
                <w:color w:val="auto"/>
                <w:sz w:val="22"/>
                <w:szCs w:val="22"/>
                <w:lang w:eastAsia="zh-CN"/>
              </w:rPr>
              <w:t>，报价时以</w:t>
            </w:r>
            <w:r>
              <w:rPr>
                <w:rFonts w:hint="eastAsia" w:ascii="宋体" w:hAnsi="宋体" w:eastAsia="宋体" w:cs="宋体"/>
                <w:color w:val="auto"/>
                <w:sz w:val="22"/>
                <w:szCs w:val="22"/>
                <w:lang w:val="en-US" w:eastAsia="zh-CN"/>
              </w:rPr>
              <w:t>PDF格式上传</w:t>
            </w:r>
          </w:p>
          <w:p>
            <w:pPr>
              <w:pStyle w:val="39"/>
              <w:snapToGrid w:val="0"/>
              <w:rPr>
                <w:rStyle w:val="24"/>
                <w:rFonts w:hint="default" w:ascii="宋体" w:hAnsi="宋体" w:eastAsia="宋体" w:cs="宋体"/>
                <w:color w:val="auto"/>
                <w:kern w:val="0"/>
                <w:sz w:val="22"/>
                <w:szCs w:val="22"/>
              </w:rPr>
            </w:pPr>
            <w:r>
              <w:rPr>
                <w:rFonts w:ascii="宋体" w:hAnsi="宋体" w:eastAsia="宋体" w:cs="宋体"/>
                <w:color w:val="auto"/>
                <w:kern w:val="0"/>
                <w:sz w:val="22"/>
                <w:szCs w:val="22"/>
                <w:lang w:val="zh-TW" w:eastAsia="zh-TW"/>
              </w:rPr>
              <w:t>公司研发体系通过国际认证</w:t>
            </w:r>
            <w:r>
              <w:rPr>
                <w:rFonts w:ascii="宋体" w:hAnsi="宋体" w:eastAsia="宋体" w:cs="宋体"/>
                <w:color w:val="auto"/>
                <w:kern w:val="0"/>
                <w:sz w:val="22"/>
                <w:szCs w:val="22"/>
              </w:rPr>
              <w:t>CMMI5，提供有效证书的复印件。</w:t>
            </w:r>
          </w:p>
          <w:p>
            <w:pPr>
              <w:pStyle w:val="39"/>
              <w:snapToGrid w:val="0"/>
              <w:rPr>
                <w:rStyle w:val="24"/>
                <w:rFonts w:hint="default" w:ascii="宋体" w:hAnsi="宋体" w:eastAsia="宋体" w:cs="宋体"/>
                <w:color w:val="auto"/>
                <w:kern w:val="0"/>
                <w:sz w:val="22"/>
                <w:szCs w:val="22"/>
                <w:lang w:val="zh-TW" w:eastAsia="zh-TW"/>
              </w:rPr>
            </w:pPr>
            <w:r>
              <w:rPr>
                <w:rFonts w:ascii="宋体" w:hAnsi="宋体" w:eastAsia="宋体" w:cs="宋体"/>
                <w:color w:val="auto"/>
                <w:kern w:val="0"/>
                <w:sz w:val="22"/>
                <w:szCs w:val="22"/>
              </w:rPr>
              <w:t>国家应急中心应急支撑单位CNCERT证书（国家级）提供有效证书的复印件。</w:t>
            </w:r>
          </w:p>
        </w:tc>
      </w:tr>
    </w:tbl>
    <w:p>
      <w:pPr>
        <w:pStyle w:val="37"/>
        <w:rPr>
          <w:rFonts w:ascii="宋体" w:hAnsi="宋体" w:eastAsia="宋体" w:cs="宋体"/>
          <w:b/>
          <w:bCs/>
          <w:color w:val="auto"/>
          <w:sz w:val="24"/>
          <w:szCs w:val="24"/>
        </w:rPr>
      </w:pPr>
    </w:p>
    <w:p>
      <w:pPr>
        <w:rPr>
          <w:rFonts w:ascii="宋体" w:hAnsi="宋体" w:eastAsia="宋体" w:cs="宋体"/>
          <w:b/>
          <w:bCs/>
          <w:color w:val="auto"/>
          <w:sz w:val="24"/>
          <w:u w:color="000000"/>
        </w:rPr>
      </w:pPr>
      <w:r>
        <w:rPr>
          <w:rFonts w:hint="eastAsia" w:ascii="宋体" w:hAnsi="宋体" w:eastAsia="宋体" w:cs="宋体"/>
          <w:b/>
          <w:bCs/>
          <w:color w:val="auto"/>
          <w:sz w:val="24"/>
        </w:rPr>
        <w:t>4、</w:t>
      </w:r>
      <w:r>
        <w:rPr>
          <w:rFonts w:hint="eastAsia" w:ascii="宋体" w:hAnsi="宋体" w:eastAsia="宋体" w:cs="宋体"/>
          <w:b/>
          <w:bCs/>
          <w:color w:val="auto"/>
          <w:sz w:val="24"/>
          <w:u w:color="000000"/>
        </w:rPr>
        <w:t>工业安全管理与态势分析系统参数</w:t>
      </w:r>
    </w:p>
    <w:tbl>
      <w:tblPr>
        <w:tblStyle w:val="12"/>
        <w:tblW w:w="8052" w:type="dxa"/>
        <w:jc w:val="center"/>
        <w:tblLayout w:type="fixed"/>
        <w:tblCellMar>
          <w:top w:w="0" w:type="dxa"/>
          <w:left w:w="108" w:type="dxa"/>
          <w:bottom w:w="0" w:type="dxa"/>
          <w:right w:w="108" w:type="dxa"/>
        </w:tblCellMar>
      </w:tblPr>
      <w:tblGrid>
        <w:gridCol w:w="926"/>
        <w:gridCol w:w="1100"/>
        <w:gridCol w:w="6026"/>
      </w:tblGrid>
      <w:tr>
        <w:tblPrEx>
          <w:tblCellMar>
            <w:top w:w="0" w:type="dxa"/>
            <w:left w:w="108" w:type="dxa"/>
            <w:bottom w:w="0" w:type="dxa"/>
            <w:right w:w="108" w:type="dxa"/>
          </w:tblCellMar>
        </w:tblPrEx>
        <w:trPr>
          <w:trHeight w:val="160" w:hRule="atLeast"/>
          <w:jc w:val="center"/>
        </w:trPr>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指标项</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2"/>
                <w:szCs w:val="22"/>
              </w:rPr>
            </w:pPr>
            <w:r>
              <w:rPr>
                <w:rFonts w:hint="eastAsia" w:ascii="宋体" w:hAnsi="宋体" w:eastAsia="宋体" w:cs="宋体"/>
                <w:b/>
                <w:bCs/>
                <w:sz w:val="22"/>
                <w:szCs w:val="22"/>
                <w:lang w:bidi="ar"/>
              </w:rPr>
              <w:t>具体指标要求</w:t>
            </w:r>
          </w:p>
        </w:tc>
      </w:tr>
      <w:tr>
        <w:tblPrEx>
          <w:tblCellMar>
            <w:top w:w="0" w:type="dxa"/>
            <w:left w:w="108" w:type="dxa"/>
            <w:bottom w:w="0" w:type="dxa"/>
            <w:right w:w="108" w:type="dxa"/>
          </w:tblCellMar>
        </w:tblPrEx>
        <w:trPr>
          <w:trHeight w:val="65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rPr>
              <w:t>基础要求</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硬件要求</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2U机架式。含4个千兆电口，一个Console口(RJ45)。可扩展≥4个插槽。2个USB接口。内存64G，硬盘4*2T，raid5。 交流单电源（可扩展冗余电源），风扇散热。</w:t>
            </w:r>
          </w:p>
        </w:tc>
      </w:tr>
      <w:tr>
        <w:tblPrEx>
          <w:tblCellMar>
            <w:top w:w="0" w:type="dxa"/>
            <w:left w:w="108" w:type="dxa"/>
            <w:bottom w:w="0" w:type="dxa"/>
            <w:right w:w="108" w:type="dxa"/>
          </w:tblCellMar>
        </w:tblPrEx>
        <w:trPr>
          <w:trHeight w:val="90"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性能</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采集性能</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10000条每秒单机。</w:t>
            </w:r>
          </w:p>
        </w:tc>
      </w:tr>
      <w:tr>
        <w:tblPrEx>
          <w:tblCellMar>
            <w:top w:w="0" w:type="dxa"/>
            <w:left w:w="108" w:type="dxa"/>
            <w:bottom w:w="0" w:type="dxa"/>
            <w:right w:w="108" w:type="dxa"/>
          </w:tblCellMar>
        </w:tblPrEx>
        <w:trPr>
          <w:trHeight w:val="650"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TB级数据秒级检索</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r>
              <w:rPr>
                <w:rFonts w:hint="eastAsia" w:ascii="宋体" w:hAnsi="宋体" w:eastAsia="宋体" w:cs="宋体"/>
                <w:sz w:val="22"/>
                <w:szCs w:val="22"/>
              </w:rPr>
              <w:t>通过缓存加倒排索引可以对TB级数据进行秒级检索,根据硬件情况最大检索时间在5秒内</w:t>
            </w:r>
          </w:p>
        </w:tc>
      </w:tr>
      <w:tr>
        <w:tblPrEx>
          <w:tblCellMar>
            <w:top w:w="0" w:type="dxa"/>
            <w:left w:w="108" w:type="dxa"/>
            <w:bottom w:w="0" w:type="dxa"/>
            <w:right w:w="108" w:type="dxa"/>
          </w:tblCellMar>
        </w:tblPrEx>
        <w:trPr>
          <w:trHeight w:val="650"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扫描端口数量</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数量不少于140个，TCP端口100个，UDP端口70个；</w:t>
            </w:r>
          </w:p>
        </w:tc>
      </w:tr>
      <w:tr>
        <w:tblPrEx>
          <w:tblCellMar>
            <w:top w:w="0" w:type="dxa"/>
            <w:left w:w="108" w:type="dxa"/>
            <w:bottom w:w="0" w:type="dxa"/>
            <w:right w:w="108" w:type="dxa"/>
          </w:tblCellMar>
        </w:tblPrEx>
        <w:trPr>
          <w:trHeight w:val="90"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搜索性能</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千万级数据搜索查询延迟小于2秒。</w:t>
            </w:r>
          </w:p>
        </w:tc>
      </w:tr>
      <w:tr>
        <w:tblPrEx>
          <w:tblCellMar>
            <w:top w:w="0" w:type="dxa"/>
            <w:left w:w="108" w:type="dxa"/>
            <w:bottom w:w="0" w:type="dxa"/>
            <w:right w:w="108" w:type="dxa"/>
          </w:tblCellMar>
        </w:tblPrEx>
        <w:trPr>
          <w:trHeight w:val="310"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rPr>
              <w:t>采集指标</w:t>
            </w:r>
          </w:p>
        </w:tc>
        <w:tc>
          <w:tcPr>
            <w:tcW w:w="1100" w:type="dxa"/>
            <w:vMerge w:val="restart"/>
            <w:tcBorders>
              <w:top w:val="single" w:color="000000" w:sz="4" w:space="0"/>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工控协议指纹</w:t>
            </w:r>
          </w:p>
          <w:p>
            <w:pPr>
              <w:textAlignment w:val="center"/>
              <w:rPr>
                <w:rFonts w:ascii="宋体" w:hAnsi="宋体" w:eastAsia="宋体" w:cs="宋体"/>
                <w:sz w:val="22"/>
                <w:szCs w:val="22"/>
              </w:rPr>
            </w:pPr>
            <w:r>
              <w:rPr>
                <w:rFonts w:hint="eastAsia" w:ascii="宋体" w:hAnsi="宋体" w:eastAsia="宋体" w:cs="宋体"/>
                <w:sz w:val="22"/>
                <w:szCs w:val="22"/>
                <w:lang w:bidi="ar"/>
              </w:rPr>
              <w:t>物联网协议指纹</w:t>
            </w:r>
          </w:p>
          <w:p>
            <w:pPr>
              <w:textAlignment w:val="center"/>
              <w:rPr>
                <w:rFonts w:ascii="宋体" w:hAnsi="宋体" w:eastAsia="宋体" w:cs="宋体"/>
                <w:sz w:val="22"/>
                <w:szCs w:val="22"/>
              </w:rPr>
            </w:pPr>
            <w:r>
              <w:rPr>
                <w:rFonts w:hint="eastAsia" w:ascii="宋体" w:hAnsi="宋体" w:eastAsia="宋体" w:cs="宋体"/>
                <w:sz w:val="22"/>
                <w:szCs w:val="22"/>
                <w:lang w:bidi="ar"/>
              </w:rPr>
              <w:t>传统协议指纹</w:t>
            </w:r>
          </w:p>
          <w:p>
            <w:pPr>
              <w:textAlignment w:val="center"/>
              <w:rPr>
                <w:rFonts w:ascii="宋体" w:hAnsi="宋体" w:eastAsia="宋体" w:cs="宋体"/>
                <w:sz w:val="22"/>
                <w:szCs w:val="22"/>
              </w:rPr>
            </w:pPr>
            <w:r>
              <w:rPr>
                <w:rFonts w:hint="eastAsia" w:ascii="宋体" w:hAnsi="宋体" w:eastAsia="宋体" w:cs="宋体"/>
                <w:sz w:val="22"/>
                <w:szCs w:val="22"/>
                <w:lang w:bidi="ar"/>
              </w:rPr>
              <w:t>工控设备指纹</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支持通过kafka,</w:t>
            </w:r>
            <w:r>
              <w:rPr>
                <w:rStyle w:val="42"/>
                <w:rFonts w:hint="eastAsia" w:ascii="宋体" w:hAnsi="宋体" w:eastAsia="宋体" w:cs="宋体"/>
                <w:b w:val="0"/>
                <w:bCs/>
                <w:sz w:val="22"/>
                <w:szCs w:val="22"/>
              </w:rPr>
              <w:t>syslog</w:t>
            </w:r>
            <w:r>
              <w:rPr>
                <w:rFonts w:hint="eastAsia" w:ascii="宋体" w:hAnsi="宋体" w:eastAsia="宋体" w:cs="宋体"/>
                <w:sz w:val="22"/>
                <w:szCs w:val="22"/>
              </w:rPr>
              <w:t>,api等通道进行采集数据</w:t>
            </w:r>
          </w:p>
        </w:tc>
      </w:tr>
      <w:tr>
        <w:tblPrEx>
          <w:tblCellMar>
            <w:top w:w="0" w:type="dxa"/>
            <w:left w:w="108" w:type="dxa"/>
            <w:bottom w:w="0" w:type="dxa"/>
            <w:right w:w="108" w:type="dxa"/>
          </w:tblCellMar>
        </w:tblPrEx>
        <w:trPr>
          <w:trHeight w:val="90"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vMerge w:val="continue"/>
            <w:tcBorders>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通过审计IP/MAC自学习、管理平台的资产扫描以及漏洞探针设备进行扫描</w:t>
            </w:r>
          </w:p>
        </w:tc>
      </w:tr>
      <w:tr>
        <w:tblPrEx>
          <w:tblCellMar>
            <w:top w:w="0" w:type="dxa"/>
            <w:left w:w="108" w:type="dxa"/>
            <w:bottom w:w="0" w:type="dxa"/>
            <w:right w:w="108" w:type="dxa"/>
          </w:tblCellMar>
        </w:tblPrEx>
        <w:trPr>
          <w:trHeight w:val="984"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vMerge w:val="continue"/>
            <w:tcBorders>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lang w:bidi="ar"/>
              </w:rPr>
              <w:t>支持HTTP、HTTPS、NetBIOS、SNMP、FTP、Telnet、SSH、MySQL、Oracle、MSSQL 传统协议。</w:t>
            </w:r>
          </w:p>
        </w:tc>
      </w:tr>
      <w:tr>
        <w:tblPrEx>
          <w:tblCellMar>
            <w:top w:w="0" w:type="dxa"/>
            <w:left w:w="108" w:type="dxa"/>
            <w:bottom w:w="0" w:type="dxa"/>
            <w:right w:w="108" w:type="dxa"/>
          </w:tblCellMar>
        </w:tblPrEx>
        <w:trPr>
          <w:trHeight w:val="531"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实时计算与预警CEP</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具有大数据的挖掘分析包括统计、关联与</w:t>
            </w:r>
            <w:r>
              <w:rPr>
                <w:rStyle w:val="42"/>
                <w:rFonts w:hint="eastAsia" w:ascii="宋体" w:hAnsi="宋体" w:eastAsia="宋体" w:cs="宋体"/>
                <w:b w:val="0"/>
                <w:bCs/>
                <w:sz w:val="22"/>
                <w:szCs w:val="22"/>
              </w:rPr>
              <w:t>AI建模</w:t>
            </w:r>
            <w:r>
              <w:rPr>
                <w:rFonts w:hint="eastAsia" w:ascii="宋体" w:hAnsi="宋体" w:eastAsia="宋体" w:cs="宋体"/>
                <w:sz w:val="22"/>
                <w:szCs w:val="22"/>
              </w:rPr>
              <w:t>。包括智能聚合、智能规则报警、复杂事件处理</w:t>
            </w:r>
            <w:r>
              <w:rPr>
                <w:rStyle w:val="42"/>
                <w:rFonts w:hint="eastAsia" w:ascii="宋体" w:hAnsi="宋体" w:eastAsia="宋体" w:cs="宋体"/>
                <w:b w:val="0"/>
                <w:bCs/>
                <w:sz w:val="22"/>
                <w:szCs w:val="22"/>
              </w:rPr>
              <w:t>CEP分析</w:t>
            </w:r>
            <w:r>
              <w:rPr>
                <w:rFonts w:hint="eastAsia" w:ascii="宋体" w:hAnsi="宋体" w:eastAsia="宋体" w:cs="宋体"/>
                <w:sz w:val="22"/>
                <w:szCs w:val="22"/>
              </w:rPr>
              <w:t>、特征库匹配等。</w:t>
            </w:r>
          </w:p>
        </w:tc>
      </w:tr>
      <w:tr>
        <w:tblPrEx>
          <w:tblCellMar>
            <w:top w:w="0" w:type="dxa"/>
            <w:left w:w="108" w:type="dxa"/>
            <w:bottom w:w="0" w:type="dxa"/>
            <w:right w:w="108" w:type="dxa"/>
          </w:tblCellMar>
        </w:tblPrEx>
        <w:trPr>
          <w:trHeight w:val="740"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安全知识库</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集成专业漏洞库，漏洞知识库82,000+；集成IP归属库、IP信誉度库；</w:t>
            </w:r>
          </w:p>
        </w:tc>
      </w:tr>
      <w:tr>
        <w:tblPrEx>
          <w:tblCellMar>
            <w:top w:w="0" w:type="dxa"/>
            <w:left w:w="108" w:type="dxa"/>
            <w:bottom w:w="0" w:type="dxa"/>
            <w:right w:w="108" w:type="dxa"/>
          </w:tblCellMar>
        </w:tblPrEx>
        <w:trPr>
          <w:trHeight w:val="1560" w:hRule="atLeast"/>
          <w:jc w:val="center"/>
        </w:trPr>
        <w:tc>
          <w:tcPr>
            <w:tcW w:w="926"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rPr>
              <w:t>功能指标</w:t>
            </w:r>
          </w:p>
          <w:p>
            <w:pPr>
              <w:textAlignment w:val="center"/>
              <w:rPr>
                <w:rFonts w:ascii="宋体" w:hAnsi="宋体" w:eastAsia="宋体" w:cs="宋体"/>
                <w:sz w:val="22"/>
                <w:szCs w:val="22"/>
              </w:rPr>
            </w:pPr>
          </w:p>
        </w:tc>
        <w:tc>
          <w:tcPr>
            <w:tcW w:w="1100" w:type="dxa"/>
            <w:tcBorders>
              <w:top w:val="single" w:color="000000" w:sz="4" w:space="0"/>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安全大数据可视化</w:t>
            </w:r>
          </w:p>
        </w:tc>
        <w:tc>
          <w:tcPr>
            <w:tcW w:w="6026" w:type="dxa"/>
            <w:tcBorders>
              <w:top w:val="single" w:color="000000" w:sz="4" w:space="0"/>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具备工业网络安全的可视分析，包括工控资产的厂商、区域、核心控制等多维分析展示，</w:t>
            </w:r>
            <w:r>
              <w:rPr>
                <w:rStyle w:val="42"/>
                <w:rFonts w:hint="eastAsia" w:ascii="宋体" w:hAnsi="宋体" w:eastAsia="宋体" w:cs="宋体"/>
                <w:b w:val="0"/>
                <w:bCs/>
                <w:sz w:val="22"/>
                <w:szCs w:val="22"/>
              </w:rPr>
              <w:t>漏洞</w:t>
            </w:r>
            <w:r>
              <w:rPr>
                <w:rFonts w:hint="eastAsia" w:ascii="宋体" w:hAnsi="宋体" w:eastAsia="宋体" w:cs="宋体"/>
                <w:sz w:val="22"/>
                <w:szCs w:val="22"/>
              </w:rPr>
              <w:t>、威胁的多维展示，风险评估评分展示。具有不同维度的安全态势可视感知，</w:t>
            </w:r>
            <w:r>
              <w:rPr>
                <w:rStyle w:val="42"/>
                <w:rFonts w:hint="eastAsia" w:ascii="宋体" w:hAnsi="宋体" w:eastAsia="宋体" w:cs="宋体"/>
                <w:b w:val="0"/>
                <w:bCs/>
                <w:sz w:val="22"/>
                <w:szCs w:val="22"/>
              </w:rPr>
              <w:t>包括风险态势、威胁态势、资产态势、漏洞态势、攻击态势。</w:t>
            </w:r>
          </w:p>
        </w:tc>
      </w:tr>
      <w:tr>
        <w:tblPrEx>
          <w:tblCellMar>
            <w:top w:w="0" w:type="dxa"/>
            <w:left w:w="108" w:type="dxa"/>
            <w:bottom w:w="0" w:type="dxa"/>
            <w:right w:w="108" w:type="dxa"/>
          </w:tblCellMar>
        </w:tblPrEx>
        <w:trPr>
          <w:trHeight w:val="9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数据上报</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r>
              <w:rPr>
                <w:rFonts w:hint="eastAsia" w:ascii="宋体" w:hAnsi="宋体" w:eastAsia="宋体" w:cs="宋体"/>
                <w:sz w:val="22"/>
                <w:szCs w:val="22"/>
              </w:rPr>
              <w:t>态势分析平台平台支持将威胁信息日志、网络行为统计日志、资产信息和主机告警日志数据上报。</w:t>
            </w:r>
          </w:p>
        </w:tc>
      </w:tr>
      <w:tr>
        <w:tblPrEx>
          <w:tblCellMar>
            <w:top w:w="0" w:type="dxa"/>
            <w:left w:w="108" w:type="dxa"/>
            <w:bottom w:w="0" w:type="dxa"/>
            <w:right w:w="108" w:type="dxa"/>
          </w:tblCellMar>
        </w:tblPrEx>
        <w:trPr>
          <w:trHeight w:val="9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溯源分析</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2"/>
                <w:szCs w:val="22"/>
              </w:rPr>
            </w:pPr>
            <w:r>
              <w:rPr>
                <w:rFonts w:hint="eastAsia" w:ascii="宋体" w:hAnsi="宋体" w:eastAsia="宋体" w:cs="宋体"/>
                <w:sz w:val="22"/>
                <w:szCs w:val="22"/>
              </w:rPr>
              <w:t>支持接收中心侧下发的数据查询指令，并回传对应数据。具体接口标准和功能;支持接收中心侧下发的规则回查指令，根据指令对保存的历史原始流量数据进行回查，并回传对应数据。定时间段内的历史流量趋势，历史数据统计、网络行为日志审计、网络会话日志</w:t>
            </w:r>
          </w:p>
        </w:tc>
      </w:tr>
      <w:tr>
        <w:tblPrEx>
          <w:tblCellMar>
            <w:top w:w="0" w:type="dxa"/>
            <w:left w:w="108" w:type="dxa"/>
            <w:bottom w:w="0" w:type="dxa"/>
            <w:right w:w="108" w:type="dxa"/>
          </w:tblCellMar>
        </w:tblPrEx>
        <w:trPr>
          <w:trHeight w:val="9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识别协议</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可识别SMTP,POP3,DNS,NFS SIP、HTTP、HTTPS、MPLS、FTP、SMP、STP、OSINLCP、UDP等1000+通用协议,可识别MODBUS、OPC、S7、IEC 104、IEC 61850、PROFINET、DNP、FINS等20+工控协议</w:t>
            </w:r>
          </w:p>
        </w:tc>
      </w:tr>
      <w:tr>
        <w:tblPrEx>
          <w:tblCellMar>
            <w:top w:w="0" w:type="dxa"/>
            <w:left w:w="108" w:type="dxa"/>
            <w:bottom w:w="0" w:type="dxa"/>
            <w:right w:w="108" w:type="dxa"/>
          </w:tblCellMar>
        </w:tblPrEx>
        <w:trPr>
          <w:trHeight w:val="9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vMerge w:val="restart"/>
            <w:tcBorders>
              <w:top w:val="single" w:color="000000" w:sz="4" w:space="0"/>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流量审计</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提供指定时间、指定 IP、指定 IP 段、指定 IP 对、指定 MAC、指定端口、指定会话、指定协议的统计的总数据包数、总流量数，TCP 同步包数、TCP 同步确认包数</w:t>
            </w:r>
          </w:p>
        </w:tc>
      </w:tr>
      <w:tr>
        <w:tblPrEx>
          <w:tblCellMar>
            <w:top w:w="0" w:type="dxa"/>
            <w:left w:w="108" w:type="dxa"/>
            <w:bottom w:w="0" w:type="dxa"/>
            <w:right w:w="108" w:type="dxa"/>
          </w:tblCellMar>
        </w:tblPrEx>
        <w:trPr>
          <w:trHeight w:val="9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vMerge w:val="continue"/>
            <w:tcBorders>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提供指定时间、指定 IP、指定 IP 段的网络行为日志记录和查询功能，包括：MYSQL 日志、TELNET 日志、FTP 日志、SSH 日志、HTTP 请求日志、HTTP 响应日志、DNS 请求日志、DNS 响应日志、POP3 日志、SMTP 日志、IMAP4 日志、ICMP 日志</w:t>
            </w:r>
          </w:p>
        </w:tc>
      </w:tr>
      <w:tr>
        <w:tblPrEx>
          <w:tblCellMar>
            <w:top w:w="0" w:type="dxa"/>
            <w:left w:w="108" w:type="dxa"/>
            <w:bottom w:w="0" w:type="dxa"/>
            <w:right w:w="108" w:type="dxa"/>
          </w:tblCellMar>
        </w:tblPrEx>
        <w:trPr>
          <w:trHeight w:val="18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vMerge w:val="continue"/>
            <w:tcBorders>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保留网络会话日志，包括 TCP 会话日志和 UDP 会话日志。</w:t>
            </w:r>
          </w:p>
        </w:tc>
      </w:tr>
      <w:tr>
        <w:tblPrEx>
          <w:tblCellMar>
            <w:top w:w="0" w:type="dxa"/>
            <w:left w:w="108" w:type="dxa"/>
            <w:bottom w:w="0" w:type="dxa"/>
            <w:right w:w="108" w:type="dxa"/>
          </w:tblCellMar>
        </w:tblPrEx>
        <w:trPr>
          <w:trHeight w:val="9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主机行为审计</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提供主机登录操作信息的记录、查询等功能。包括主机登录系统用户名、登录时间、退出时间、操作命令、操作时间等信息，支持对相关操作行为关联审计及操作路径的回溯。</w:t>
            </w:r>
          </w:p>
        </w:tc>
      </w:tr>
      <w:tr>
        <w:tblPrEx>
          <w:tblCellMar>
            <w:top w:w="0" w:type="dxa"/>
            <w:left w:w="108" w:type="dxa"/>
            <w:bottom w:w="0" w:type="dxa"/>
            <w:right w:w="108" w:type="dxa"/>
          </w:tblCellMar>
        </w:tblPrEx>
        <w:trPr>
          <w:trHeight w:val="130" w:hRule="atLeast"/>
          <w:jc w:val="center"/>
        </w:trPr>
        <w:tc>
          <w:tcPr>
            <w:tcW w:w="92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p>
        </w:tc>
        <w:tc>
          <w:tcPr>
            <w:tcW w:w="1100" w:type="dxa"/>
            <w:vMerge w:val="restart"/>
            <w:tcBorders>
              <w:top w:val="single" w:color="000000" w:sz="4" w:space="0"/>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设备操作审计</w:t>
            </w:r>
          </w:p>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态势分析平台提供对各类设备的操作行为的记录、查询等功能。</w:t>
            </w:r>
          </w:p>
        </w:tc>
      </w:tr>
      <w:tr>
        <w:tblPrEx>
          <w:tblCellMar>
            <w:top w:w="0" w:type="dxa"/>
            <w:left w:w="108" w:type="dxa"/>
            <w:bottom w:w="0" w:type="dxa"/>
            <w:right w:w="108" w:type="dxa"/>
          </w:tblCellMar>
        </w:tblPrEx>
        <w:trPr>
          <w:trHeight w:val="120" w:hRule="atLeast"/>
          <w:jc w:val="center"/>
        </w:trPr>
        <w:tc>
          <w:tcPr>
            <w:tcW w:w="926"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vMerge w:val="continue"/>
            <w:tcBorders>
              <w:left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a）网络设备登录行为审计：应提供网络设备登录信息的记录、查询等功能。登录信息包括登录用户名、登录时间、退出时间、操作命令、操作时间等；</w:t>
            </w:r>
            <w:r>
              <w:rPr>
                <w:rFonts w:ascii="宋体" w:hAnsi="宋体" w:eastAsia="宋体" w:cs="宋体"/>
                <w:sz w:val="22"/>
                <w:szCs w:val="22"/>
              </w:rPr>
              <w:t xml:space="preserve"> </w:t>
            </w:r>
          </w:p>
        </w:tc>
      </w:tr>
      <w:tr>
        <w:tblPrEx>
          <w:tblCellMar>
            <w:top w:w="0" w:type="dxa"/>
            <w:left w:w="108" w:type="dxa"/>
            <w:bottom w:w="0" w:type="dxa"/>
            <w:right w:w="108" w:type="dxa"/>
          </w:tblCellMar>
        </w:tblPrEx>
        <w:trPr>
          <w:trHeight w:val="320" w:hRule="atLeast"/>
          <w:jc w:val="center"/>
        </w:trPr>
        <w:tc>
          <w:tcPr>
            <w:tcW w:w="926" w:type="dxa"/>
            <w:vMerge w:val="continue"/>
            <w:tcBorders>
              <w:left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vMerge w:val="continue"/>
            <w:tcBorders>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b）安全设备登录行为审计：提供安全设备登录信息的记录、查询等功能。登录信息包括登录用户名、登录时间、退出时间、操作内容、操作时间等。</w:t>
            </w:r>
          </w:p>
        </w:tc>
      </w:tr>
      <w:tr>
        <w:tblPrEx>
          <w:tblCellMar>
            <w:top w:w="0" w:type="dxa"/>
            <w:left w:w="108" w:type="dxa"/>
            <w:bottom w:w="0" w:type="dxa"/>
            <w:right w:w="108" w:type="dxa"/>
          </w:tblCellMar>
        </w:tblPrEx>
        <w:trPr>
          <w:trHeight w:val="91" w:hRule="atLeast"/>
          <w:jc w:val="center"/>
        </w:trPr>
        <w:tc>
          <w:tcPr>
            <w:tcW w:w="926"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2"/>
                <w:szCs w:val="22"/>
              </w:rPr>
            </w:pPr>
            <w:r>
              <w:rPr>
                <w:rStyle w:val="42"/>
                <w:rFonts w:hint="eastAsia" w:ascii="宋体" w:hAnsi="宋体" w:eastAsia="宋体" w:cs="宋体"/>
                <w:b w:val="0"/>
                <w:bCs/>
                <w:sz w:val="22"/>
                <w:szCs w:val="22"/>
              </w:rPr>
              <w:t>工控资产拓扑</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Style w:val="42"/>
                <w:rFonts w:hint="eastAsia" w:ascii="宋体" w:hAnsi="宋体" w:eastAsia="宋体" w:cs="宋体"/>
                <w:b w:val="0"/>
                <w:bCs/>
                <w:sz w:val="22"/>
                <w:szCs w:val="22"/>
              </w:rPr>
              <w:t>基于工控系统的资产维护，可维护工业控制系统、以及系统关联的工控资产；基于资产的拓扑视图，可以显示资产之间的逻辑连接关系，可在拓扑中动态展示设备运行状态、以及实时流量信息；</w:t>
            </w:r>
            <w:r>
              <w:rPr>
                <w:rFonts w:hint="eastAsia" w:ascii="宋体" w:hAnsi="宋体" w:eastAsia="宋体" w:cs="宋体"/>
                <w:sz w:val="22"/>
                <w:szCs w:val="22"/>
                <w:lang w:bidi="ar"/>
              </w:rPr>
              <w:t>【提供产品截图证明</w:t>
            </w:r>
            <w:r>
              <w:rPr>
                <w:rFonts w:hint="eastAsia" w:ascii="宋体" w:hAnsi="宋体" w:eastAsia="宋体" w:cs="宋体"/>
                <w:sz w:val="22"/>
                <w:szCs w:val="22"/>
              </w:rPr>
              <w:t>，报价时以PDF格式上传</w:t>
            </w:r>
            <w:r>
              <w:rPr>
                <w:rFonts w:hint="eastAsia" w:ascii="宋体" w:hAnsi="宋体" w:eastAsia="宋体" w:cs="宋体"/>
                <w:sz w:val="22"/>
                <w:szCs w:val="22"/>
                <w:lang w:bidi="ar"/>
              </w:rPr>
              <w:t>】</w:t>
            </w:r>
          </w:p>
        </w:tc>
      </w:tr>
      <w:tr>
        <w:tblPrEx>
          <w:tblCellMar>
            <w:top w:w="0" w:type="dxa"/>
            <w:left w:w="108" w:type="dxa"/>
            <w:bottom w:w="0" w:type="dxa"/>
            <w:right w:w="108" w:type="dxa"/>
          </w:tblCellMar>
        </w:tblPrEx>
        <w:trPr>
          <w:trHeight w:val="91" w:hRule="atLeast"/>
          <w:jc w:val="center"/>
        </w:trPr>
        <w:tc>
          <w:tcPr>
            <w:tcW w:w="926"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r>
              <w:rPr>
                <w:rFonts w:hint="eastAsia" w:ascii="宋体" w:hAnsi="宋体" w:eastAsia="宋体" w:cs="宋体"/>
                <w:sz w:val="22"/>
                <w:szCs w:val="22"/>
              </w:rPr>
              <w:t>功能指标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关联分析</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Cs/>
                <w:sz w:val="22"/>
                <w:szCs w:val="22"/>
              </w:rPr>
            </w:pPr>
            <w:r>
              <w:rPr>
                <w:rFonts w:hint="eastAsia" w:ascii="宋体" w:hAnsi="宋体" w:eastAsia="宋体" w:cs="宋体"/>
                <w:bCs/>
                <w:sz w:val="22"/>
                <w:szCs w:val="22"/>
              </w:rPr>
              <w:t>支持以事件为中心的关联分析查询，支持事件的IP之间的图计算关联分析，支持IP对应资产、脆弱性的钻取分析、支持事件的聚合分析。</w:t>
            </w:r>
          </w:p>
        </w:tc>
      </w:tr>
      <w:tr>
        <w:tblPrEx>
          <w:tblCellMar>
            <w:top w:w="0" w:type="dxa"/>
            <w:left w:w="108" w:type="dxa"/>
            <w:bottom w:w="0" w:type="dxa"/>
            <w:right w:w="108" w:type="dxa"/>
          </w:tblCellMar>
        </w:tblPrEx>
        <w:trPr>
          <w:trHeight w:val="91" w:hRule="atLeast"/>
          <w:jc w:val="center"/>
        </w:trPr>
        <w:tc>
          <w:tcPr>
            <w:tcW w:w="926"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r>
              <w:rPr>
                <w:rStyle w:val="42"/>
                <w:rFonts w:hint="eastAsia" w:ascii="宋体" w:hAnsi="宋体" w:eastAsia="宋体" w:cs="宋体"/>
                <w:sz w:val="22"/>
                <w:szCs w:val="22"/>
              </w:rPr>
              <w:t>功能指标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2"/>
                <w:szCs w:val="22"/>
              </w:rPr>
            </w:pPr>
            <w:r>
              <w:rPr>
                <w:rStyle w:val="42"/>
                <w:rFonts w:hint="eastAsia" w:ascii="宋体" w:hAnsi="宋体" w:eastAsia="宋体" w:cs="宋体"/>
                <w:b w:val="0"/>
                <w:bCs/>
                <w:sz w:val="22"/>
                <w:szCs w:val="22"/>
              </w:rPr>
              <w:t>威胁预测</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Cs/>
                <w:sz w:val="22"/>
                <w:szCs w:val="22"/>
              </w:rPr>
            </w:pPr>
            <w:r>
              <w:rPr>
                <w:rFonts w:hint="eastAsia" w:ascii="宋体" w:hAnsi="宋体" w:eastAsia="宋体" w:cs="宋体"/>
                <w:bCs/>
                <w:sz w:val="22"/>
                <w:szCs w:val="22"/>
              </w:rPr>
              <w:t>全局威胁趋势预测,可以感知未来某时间或时间段的威胁数量,某类威胁在未来发生概率预测,未知威胁预测,攻击目标预测,攻击来源预测</w:t>
            </w:r>
          </w:p>
        </w:tc>
      </w:tr>
      <w:tr>
        <w:tblPrEx>
          <w:tblCellMar>
            <w:top w:w="0" w:type="dxa"/>
            <w:left w:w="108" w:type="dxa"/>
            <w:bottom w:w="0" w:type="dxa"/>
            <w:right w:w="108" w:type="dxa"/>
          </w:tblCellMar>
        </w:tblPrEx>
        <w:trPr>
          <w:trHeight w:val="91" w:hRule="atLeast"/>
          <w:jc w:val="center"/>
        </w:trPr>
        <w:tc>
          <w:tcPr>
            <w:tcW w:w="926"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r>
              <w:rPr>
                <w:rFonts w:hint="eastAsia" w:ascii="宋体" w:hAnsi="宋体" w:eastAsia="宋体" w:cs="宋体"/>
                <w:sz w:val="22"/>
                <w:szCs w:val="22"/>
              </w:rPr>
              <w:t>功能指标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统计分析</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Cs/>
                <w:sz w:val="22"/>
                <w:szCs w:val="22"/>
              </w:rPr>
            </w:pPr>
            <w:r>
              <w:rPr>
                <w:rFonts w:hint="eastAsia" w:ascii="宋体" w:hAnsi="宋体" w:eastAsia="宋体" w:cs="宋体"/>
                <w:bCs/>
                <w:sz w:val="22"/>
                <w:szCs w:val="22"/>
              </w:rPr>
              <w:t>资产统计，以网络资产为中心，分析系统资产相关数据；漏洞统计，以资产关联的漏洞为中心</w:t>
            </w:r>
            <w:r>
              <w:rPr>
                <w:rStyle w:val="42"/>
                <w:rFonts w:hint="eastAsia" w:ascii="宋体" w:hAnsi="宋体" w:eastAsia="宋体" w:cs="宋体"/>
                <w:bCs/>
                <w:sz w:val="22"/>
                <w:szCs w:val="22"/>
              </w:rPr>
              <w:t>；</w:t>
            </w:r>
            <w:r>
              <w:rPr>
                <w:rFonts w:hint="eastAsia" w:ascii="宋体" w:hAnsi="宋体" w:eastAsia="宋体" w:cs="宋体"/>
                <w:bCs/>
                <w:sz w:val="22"/>
                <w:szCs w:val="22"/>
              </w:rPr>
              <w:t xml:space="preserve"> 事件统计，以网络安全事件为中心，分析事件相关信息。</w:t>
            </w:r>
          </w:p>
        </w:tc>
      </w:tr>
      <w:tr>
        <w:tblPrEx>
          <w:tblCellMar>
            <w:top w:w="0" w:type="dxa"/>
            <w:left w:w="108" w:type="dxa"/>
            <w:bottom w:w="0" w:type="dxa"/>
            <w:right w:w="108" w:type="dxa"/>
          </w:tblCellMar>
        </w:tblPrEx>
        <w:trPr>
          <w:trHeight w:val="91" w:hRule="atLeast"/>
          <w:jc w:val="center"/>
        </w:trPr>
        <w:tc>
          <w:tcPr>
            <w:tcW w:w="926"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r>
              <w:rPr>
                <w:rFonts w:hint="eastAsia" w:ascii="宋体" w:hAnsi="宋体" w:eastAsia="宋体" w:cs="宋体"/>
                <w:sz w:val="22"/>
                <w:szCs w:val="22"/>
              </w:rPr>
              <w:t>功能指标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2"/>
                <w:szCs w:val="22"/>
              </w:rPr>
            </w:pPr>
            <w:r>
              <w:rPr>
                <w:rFonts w:hint="eastAsia" w:ascii="宋体" w:hAnsi="宋体" w:eastAsia="宋体" w:cs="宋体"/>
                <w:sz w:val="22"/>
                <w:szCs w:val="22"/>
              </w:rPr>
              <w:t>安全监测</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Cs/>
                <w:sz w:val="22"/>
                <w:szCs w:val="22"/>
              </w:rPr>
            </w:pPr>
            <w:r>
              <w:rPr>
                <w:rFonts w:hint="eastAsia" w:ascii="宋体" w:hAnsi="宋体" w:eastAsia="宋体" w:cs="宋体"/>
                <w:bCs/>
                <w:sz w:val="22"/>
                <w:szCs w:val="22"/>
              </w:rPr>
              <w:t>可以通过可疑域名检测、可疑 IP 检测、特征值检测和行为模型等方式对全网流量进行安全监测(内置22类威胁类型)</w:t>
            </w:r>
            <w:r>
              <w:rPr>
                <w:rFonts w:hint="eastAsia" w:ascii="宋体" w:hAnsi="宋体" w:eastAsia="宋体" w:cs="宋体"/>
                <w:sz w:val="22"/>
                <w:szCs w:val="22"/>
              </w:rPr>
              <w:t xml:space="preserve"> </w:t>
            </w:r>
          </w:p>
        </w:tc>
      </w:tr>
      <w:tr>
        <w:tblPrEx>
          <w:tblCellMar>
            <w:top w:w="0" w:type="dxa"/>
            <w:left w:w="108" w:type="dxa"/>
            <w:bottom w:w="0" w:type="dxa"/>
            <w:right w:w="108" w:type="dxa"/>
          </w:tblCellMar>
        </w:tblPrEx>
        <w:trPr>
          <w:trHeight w:val="91" w:hRule="atLeast"/>
          <w:jc w:val="center"/>
        </w:trPr>
        <w:tc>
          <w:tcPr>
            <w:tcW w:w="926"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r>
              <w:rPr>
                <w:rStyle w:val="42"/>
                <w:rFonts w:hint="eastAsia" w:ascii="宋体" w:hAnsi="宋体" w:eastAsia="宋体" w:cs="宋体"/>
                <w:sz w:val="22"/>
                <w:szCs w:val="22"/>
              </w:rPr>
              <w:t>功能指标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2"/>
                <w:szCs w:val="22"/>
              </w:rPr>
            </w:pPr>
            <w:r>
              <w:rPr>
                <w:rStyle w:val="42"/>
                <w:rFonts w:hint="eastAsia" w:ascii="宋体" w:hAnsi="宋体" w:eastAsia="宋体" w:cs="宋体"/>
                <w:b w:val="0"/>
                <w:bCs/>
                <w:sz w:val="22"/>
                <w:szCs w:val="22"/>
              </w:rPr>
              <w:t>用户画像</w:t>
            </w:r>
          </w:p>
        </w:tc>
        <w:tc>
          <w:tcPr>
            <w:tcW w:w="60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Cs/>
                <w:sz w:val="22"/>
                <w:szCs w:val="22"/>
              </w:rPr>
            </w:pPr>
            <w:r>
              <w:rPr>
                <w:rFonts w:hint="eastAsia" w:ascii="宋体" w:hAnsi="宋体" w:eastAsia="宋体" w:cs="宋体"/>
                <w:bCs/>
                <w:sz w:val="22"/>
                <w:szCs w:val="22"/>
              </w:rPr>
              <w:t>基于各种安全事件日志的综合分析，根据攻击源IP地址、攻击类型、攻击工具和方法、攻击时间、攻击目的IP等信息进行综合统计分析，归纳、总结、猜测出用户实时行为,是否进行危险操作、违规行为、攻击意图、潜在风险进行分析</w:t>
            </w:r>
          </w:p>
        </w:tc>
      </w:tr>
    </w:tbl>
    <w:p>
      <w:pPr>
        <w:pStyle w:val="37"/>
        <w:rPr>
          <w:rFonts w:ascii="宋体" w:hAnsi="宋体" w:eastAsia="宋体" w:cs="宋体"/>
          <w:b/>
          <w:bCs/>
          <w:color w:val="auto"/>
          <w:sz w:val="24"/>
          <w:szCs w:val="24"/>
        </w:rPr>
      </w:pPr>
    </w:p>
    <w:p>
      <w:pPr>
        <w:rPr>
          <w:rFonts w:ascii="宋体" w:hAnsi="宋体" w:eastAsia="宋体" w:cs="宋体"/>
          <w:b/>
          <w:bCs/>
          <w:color w:val="auto"/>
          <w:sz w:val="24"/>
          <w:u w:color="000000"/>
        </w:rPr>
      </w:pPr>
      <w:r>
        <w:rPr>
          <w:rFonts w:hint="eastAsia" w:ascii="宋体" w:hAnsi="宋体" w:eastAsia="宋体" w:cs="宋体"/>
          <w:b/>
          <w:bCs/>
          <w:color w:val="auto"/>
          <w:sz w:val="24"/>
        </w:rPr>
        <w:t>5、</w:t>
      </w:r>
      <w:r>
        <w:rPr>
          <w:rFonts w:hint="eastAsia" w:ascii="宋体" w:hAnsi="宋体" w:eastAsia="宋体" w:cs="宋体"/>
          <w:b/>
          <w:bCs/>
          <w:color w:val="auto"/>
          <w:sz w:val="24"/>
          <w:u w:color="000000"/>
        </w:rPr>
        <w:t>主机终端防护参数</w:t>
      </w:r>
    </w:p>
    <w:tbl>
      <w:tblPr>
        <w:tblStyle w:val="12"/>
        <w:tblW w:w="781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121"/>
        <w:gridCol w:w="66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0" w:hRule="atLeast"/>
          <w:jc w:val="center"/>
        </w:trPr>
        <w:tc>
          <w:tcPr>
            <w:tcW w:w="1121" w:type="dxa"/>
            <w:tcBorders>
              <w:bottom w:val="nil"/>
              <w:right w:val="single" w:color="auto" w:sz="4" w:space="0"/>
            </w:tcBorders>
            <w:shd w:val="clear" w:color="000000" w:fill="auto"/>
            <w:vAlign w:val="center"/>
          </w:tcPr>
          <w:p>
            <w:pPr>
              <w:jc w:val="center"/>
              <w:rPr>
                <w:rFonts w:ascii="宋体" w:hAnsi="宋体" w:eastAsia="宋体" w:cs="宋体"/>
                <w:b/>
                <w:bCs/>
                <w:sz w:val="22"/>
              </w:rPr>
            </w:pPr>
            <w:r>
              <w:rPr>
                <w:rFonts w:hint="eastAsia" w:ascii="宋体" w:hAnsi="宋体" w:eastAsia="宋体" w:cs="宋体"/>
                <w:b/>
                <w:sz w:val="22"/>
              </w:rPr>
              <w:t>指标项</w:t>
            </w:r>
          </w:p>
        </w:tc>
        <w:tc>
          <w:tcPr>
            <w:tcW w:w="6693" w:type="dxa"/>
            <w:tcBorders>
              <w:left w:val="nil"/>
              <w:bottom w:val="nil"/>
              <w:right w:val="single" w:color="auto" w:sz="4" w:space="0"/>
            </w:tcBorders>
            <w:shd w:val="clear" w:color="000000" w:fill="auto"/>
            <w:vAlign w:val="center"/>
          </w:tcPr>
          <w:p>
            <w:pPr>
              <w:jc w:val="center"/>
              <w:rPr>
                <w:rFonts w:ascii="宋体" w:hAnsi="宋体" w:eastAsia="宋体" w:cs="宋体"/>
                <w:b/>
                <w:bCs/>
                <w:sz w:val="22"/>
              </w:rPr>
            </w:pPr>
            <w:r>
              <w:rPr>
                <w:rFonts w:hint="eastAsia" w:ascii="宋体" w:hAnsi="宋体" w:eastAsia="宋体" w:cs="宋体"/>
                <w:b/>
                <w:sz w:val="22"/>
              </w:rPr>
              <w:t>具体指标要求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jc w:val="center"/>
        </w:trPr>
        <w:tc>
          <w:tcPr>
            <w:tcW w:w="1121" w:type="dxa"/>
            <w:tcBorders>
              <w:top w:val="single" w:color="auto" w:sz="4" w:space="0"/>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基础要求</w:t>
            </w:r>
          </w:p>
        </w:tc>
        <w:tc>
          <w:tcPr>
            <w:tcW w:w="6693" w:type="dxa"/>
            <w:tcBorders>
              <w:top w:val="single" w:color="auto" w:sz="4" w:space="0"/>
              <w:left w:val="nil"/>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本次要求提供</w:t>
            </w:r>
            <w:r>
              <w:rPr>
                <w:rFonts w:hint="eastAsia" w:ascii="宋体" w:hAnsi="宋体" w:eastAsia="宋体" w:cs="宋体"/>
                <w:sz w:val="22"/>
                <w:lang w:val="en-US" w:eastAsia="zh-CN"/>
              </w:rPr>
              <w:t>20</w:t>
            </w:r>
            <w:r>
              <w:rPr>
                <w:rFonts w:hint="eastAsia" w:ascii="宋体" w:hAnsi="宋体" w:eastAsia="宋体" w:cs="宋体"/>
                <w:sz w:val="22"/>
              </w:rPr>
              <w:t>点软件授权；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jc w:val="center"/>
        </w:trPr>
        <w:tc>
          <w:tcPr>
            <w:tcW w:w="1121" w:type="dxa"/>
            <w:tcBorders>
              <w:top w:val="single" w:color="auto" w:sz="4" w:space="0"/>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工作模式</w:t>
            </w:r>
          </w:p>
        </w:tc>
        <w:tc>
          <w:tcPr>
            <w:tcW w:w="6693" w:type="dxa"/>
            <w:tcBorders>
              <w:top w:val="single" w:color="auto" w:sz="4" w:space="0"/>
              <w:left w:val="nil"/>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支持观察模式和执行模式，观察模式只告警、不拦截，执行模式拦截并告警；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jc w:val="center"/>
        </w:trPr>
        <w:tc>
          <w:tcPr>
            <w:tcW w:w="1121" w:type="dxa"/>
            <w:tcBorders>
              <w:top w:val="single" w:color="auto" w:sz="4" w:space="0"/>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系统启动延迟</w:t>
            </w:r>
          </w:p>
        </w:tc>
        <w:tc>
          <w:tcPr>
            <w:tcW w:w="6693" w:type="dxa"/>
            <w:tcBorders>
              <w:top w:val="single" w:color="auto" w:sz="4" w:space="0"/>
              <w:left w:val="nil"/>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系统开机时间的延迟小于15秒；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0" w:hRule="atLeast"/>
          <w:jc w:val="center"/>
        </w:trPr>
        <w:tc>
          <w:tcPr>
            <w:tcW w:w="1121" w:type="dxa"/>
            <w:tcBorders>
              <w:top w:val="single" w:color="auto" w:sz="4" w:space="0"/>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系统资源占用</w:t>
            </w:r>
          </w:p>
        </w:tc>
        <w:tc>
          <w:tcPr>
            <w:tcW w:w="6693" w:type="dxa"/>
            <w:tcBorders>
              <w:top w:val="single" w:color="auto" w:sz="4" w:space="0"/>
              <w:left w:val="nil"/>
              <w:bottom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系统内存的占用小于20M；</w:t>
            </w:r>
            <w:bookmarkStart w:id="4" w:name="_GoBack"/>
            <w:bookmarkEnd w:id="4"/>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tcBorders>
              <w:top w:val="single" w:color="auto" w:sz="4" w:space="0"/>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权限划分</w:t>
            </w:r>
          </w:p>
        </w:tc>
        <w:tc>
          <w:tcPr>
            <w:tcW w:w="669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支持用户权限划分，系统管理员，普通管理员，审计管理员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0" w:hRule="atLeast"/>
          <w:jc w:val="center"/>
        </w:trPr>
        <w:tc>
          <w:tcPr>
            <w:tcW w:w="1121" w:type="dxa"/>
            <w:vMerge w:val="restart"/>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操作系统兼容</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支持Windows操作系统，包括windows Server 2003/2008/2012/2016/2019/Windows 2000/XP/7/8/8.1/10操作系统(32位及64位)以及window7嵌入式英文版；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jc w:val="center"/>
        </w:trPr>
        <w:tc>
          <w:tcPr>
            <w:tcW w:w="1121" w:type="dxa"/>
            <w:vMerge w:val="continue"/>
            <w:tcBorders>
              <w:top w:val="nil"/>
              <w:bottom w:val="single" w:color="auto" w:sz="4" w:space="0"/>
              <w:right w:val="single" w:color="auto" w:sz="4" w:space="0"/>
            </w:tcBorders>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支持主流Linux系统，包括RedHat5.x、6.x、7.x；CentOS5.x、6.x、7.x；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121" w:type="dxa"/>
            <w:tcBorders>
              <w:top w:val="nil"/>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白名单管理</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支持白名单库的导出备份及导入；</w:t>
            </w:r>
            <w:r>
              <w:rPr>
                <w:rFonts w:hint="eastAsia" w:ascii="宋体" w:hAnsi="宋体" w:eastAsia="宋体" w:cs="宋体"/>
                <w:sz w:val="22"/>
              </w:rPr>
              <w:br w:type="textWrapping"/>
            </w:r>
            <w:r>
              <w:rPr>
                <w:rFonts w:hint="eastAsia" w:ascii="宋体" w:hAnsi="宋体" w:eastAsia="宋体" w:cs="宋体"/>
                <w:sz w:val="22"/>
              </w:rPr>
              <w:t>支持对白名单进行关键内容、模糊查询查找；</w:t>
            </w:r>
            <w:r>
              <w:rPr>
                <w:rFonts w:hint="eastAsia" w:ascii="宋体" w:hAnsi="宋体" w:eastAsia="宋体" w:cs="宋体"/>
                <w:sz w:val="22"/>
              </w:rPr>
              <w:br w:type="textWrapping"/>
            </w:r>
            <w:r>
              <w:rPr>
                <w:rFonts w:hint="eastAsia" w:ascii="宋体" w:hAnsi="宋体" w:eastAsia="宋体" w:cs="宋体"/>
                <w:sz w:val="22"/>
              </w:rPr>
              <w:t>支持对白名单库进行追加、删除、保存等自定义操作；</w:t>
            </w:r>
            <w:r>
              <w:rPr>
                <w:rFonts w:hint="eastAsia" w:ascii="宋体" w:hAnsi="宋体" w:eastAsia="宋体" w:cs="宋体"/>
                <w:sz w:val="22"/>
              </w:rPr>
              <w:br w:type="textWrapping"/>
            </w:r>
            <w:r>
              <w:rPr>
                <w:rFonts w:hint="eastAsia" w:ascii="宋体" w:hAnsi="宋体" w:eastAsia="宋体" w:cs="宋体"/>
                <w:sz w:val="22"/>
              </w:rPr>
              <w:t>支持白名单网络化管理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2" w:hRule="atLeast"/>
          <w:jc w:val="center"/>
        </w:trPr>
        <w:tc>
          <w:tcPr>
            <w:tcW w:w="1121" w:type="dxa"/>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系统固化</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支持对系统进行一键固化操作，自动生成白名单库；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jc w:val="center"/>
        </w:trPr>
        <w:tc>
          <w:tcPr>
            <w:tcW w:w="1121" w:type="dxa"/>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白名单防护</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支持程序或进程、脚本的白名单防护，禁止白名单以外的非法进程或脚本运行，并产生安全告警事件；</w:t>
            </w:r>
          </w:p>
          <w:p>
            <w:pPr>
              <w:rPr>
                <w:rFonts w:ascii="宋体" w:hAnsi="宋体" w:eastAsia="宋体" w:cs="宋体"/>
                <w:sz w:val="22"/>
              </w:rPr>
            </w:pPr>
            <w:r>
              <w:rPr>
                <w:rFonts w:hint="eastAsia" w:ascii="宋体" w:hAnsi="宋体" w:eastAsia="宋体" w:cs="宋体"/>
                <w:sz w:val="22"/>
              </w:rPr>
              <w:t>支持配置白名单防护模式为观察模式或执行模式，观察模式下只告警不拦截，执行模式下拦截且告警；</w:t>
            </w:r>
            <w:r>
              <w:rPr>
                <w:rFonts w:hint="eastAsia" w:ascii="宋体" w:hAnsi="宋体" w:eastAsia="宋体" w:cs="宋体"/>
                <w:sz w:val="22"/>
              </w:rPr>
              <w:br w:type="textWrapping"/>
            </w:r>
            <w:r>
              <w:rPr>
                <w:rFonts w:hint="eastAsia" w:ascii="宋体" w:hAnsi="宋体" w:eastAsia="宋体" w:cs="宋体"/>
                <w:sz w:val="22"/>
              </w:rPr>
              <w:t>支持将告警的程序一键添加到白名单；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9" w:hRule="atLeast"/>
          <w:jc w:val="center"/>
        </w:trPr>
        <w:tc>
          <w:tcPr>
            <w:tcW w:w="1121" w:type="dxa"/>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白名单更新</w:t>
            </w:r>
          </w:p>
        </w:tc>
        <w:tc>
          <w:tcPr>
            <w:tcW w:w="6693"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rPr>
            </w:pPr>
            <w:r>
              <w:rPr>
                <w:rFonts w:hint="eastAsia" w:ascii="宋体" w:hAnsi="宋体" w:eastAsia="宋体" w:cs="宋体"/>
                <w:sz w:val="22"/>
              </w:rPr>
              <w:t>支持对手动安装的软件进行自动追踪并添加到白名单列表中；</w:t>
            </w:r>
          </w:p>
          <w:p>
            <w:pPr>
              <w:rPr>
                <w:rFonts w:hint="eastAsia" w:ascii="宋体" w:hAnsi="宋体" w:eastAsia="宋体" w:cs="宋体"/>
                <w:sz w:val="22"/>
              </w:rPr>
            </w:pPr>
            <w:r>
              <w:rPr>
                <w:rFonts w:hint="eastAsia" w:ascii="宋体" w:hAnsi="宋体" w:eastAsia="宋体" w:cs="宋体"/>
                <w:sz w:val="22"/>
              </w:rPr>
              <w:t>支持基于目录或文件对绿色软件追加；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完整性保护</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支持对应用程序、操作系统的完整性检查防护，阻止病毒、恶意软件的篡改和破坏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restart"/>
            <w:tcBorders>
              <w:top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信任管理</w:t>
            </w:r>
          </w:p>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★支持自定义添加或删除信任的文件或目录，信任路径内程序执行不会被拦截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bottom w:val="single" w:color="auto" w:sz="4" w:space="0"/>
              <w:right w:val="single" w:color="auto" w:sz="4" w:space="0"/>
            </w:tcBorders>
            <w:shd w:val="clear" w:color="auto" w:fill="auto"/>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★支持添加或删除信任的可执行程序，并对信任程序在运行过程中动态释放和加载非白名单中的程序或文件自动加载到白名单中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进程运行记录</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支持对进程启动或停止的记录；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restart"/>
            <w:tcBorders>
              <w:top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移动存储管理</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支持对普通U盘的访问控制，包括只读、只写、执行；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right w:val="single" w:color="auto" w:sz="4" w:space="0"/>
            </w:tcBorders>
            <w:shd w:val="clear" w:color="auto" w:fill="auto"/>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支持基于白名单的U盘接入管理，支持对单一Ｕ盘的独立权限控制，杜绝一切非注册U盘接入；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jc w:val="center"/>
        </w:trPr>
        <w:tc>
          <w:tcPr>
            <w:tcW w:w="1121" w:type="dxa"/>
            <w:vMerge w:val="continue"/>
            <w:tcBorders>
              <w:right w:val="single" w:color="auto" w:sz="4" w:space="0"/>
            </w:tcBorders>
            <w:shd w:val="clear" w:color="auto" w:fill="auto"/>
            <w:vAlign w:val="center"/>
          </w:tcPr>
          <w:p>
            <w:pPr>
              <w:rPr>
                <w:rFonts w:ascii="宋体" w:hAnsi="宋体" w:eastAsia="宋体" w:cs="宋体"/>
                <w:sz w:val="22"/>
              </w:rPr>
            </w:pPr>
          </w:p>
        </w:tc>
        <w:tc>
          <w:tcPr>
            <w:tcW w:w="6693" w:type="dxa"/>
            <w:tcBorders>
              <w:top w:val="single" w:color="auto" w:sz="4" w:space="0"/>
              <w:left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支持安全专用U盘的注册、认证、授权，支持读写权限管理；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tcBorders>
              <w:top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完整性保护</w:t>
            </w:r>
          </w:p>
        </w:tc>
        <w:tc>
          <w:tcPr>
            <w:tcW w:w="669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对特定安装目录的文件进行完整性保护，防止恶意程序篡改或误操作对目标文件进行修改或删除；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restart"/>
            <w:tcBorders>
              <w:top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安全加固</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支持对特定注册表进行防篡改保护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right w:val="single" w:color="auto" w:sz="4" w:space="0"/>
            </w:tcBorders>
            <w:shd w:val="clear" w:color="auto" w:fill="auto"/>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支持对关键业务进程进行防杀保护；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bottom w:val="single" w:color="auto" w:sz="4" w:space="0"/>
              <w:right w:val="single" w:color="auto" w:sz="4" w:space="0"/>
            </w:tcBorders>
            <w:shd w:val="clear" w:color="auto" w:fill="auto"/>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支持对操作系统的审核策略、安全选项等进行统一的设置；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0" w:hRule="atLeast"/>
          <w:jc w:val="center"/>
        </w:trPr>
        <w:tc>
          <w:tcPr>
            <w:tcW w:w="1121" w:type="dxa"/>
            <w:vMerge w:val="restart"/>
            <w:tcBorders>
              <w:top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自身防护</w:t>
            </w:r>
          </w:p>
        </w:tc>
        <w:tc>
          <w:tcPr>
            <w:tcW w:w="6693" w:type="dxa"/>
            <w:tcBorders>
              <w:top w:val="single" w:color="auto" w:sz="4" w:space="0"/>
              <w:left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★支持软件自身防护，防止非授权结束进程，禁止程序文件被删除，降低安全风险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bottom w:val="single" w:color="auto" w:sz="4" w:space="0"/>
              <w:right w:val="single" w:color="auto" w:sz="4" w:space="0"/>
            </w:tcBorders>
            <w:shd w:val="clear" w:color="auto" w:fill="auto"/>
            <w:vAlign w:val="center"/>
          </w:tcPr>
          <w:p>
            <w:pPr>
              <w:rPr>
                <w:rFonts w:ascii="宋体" w:hAnsi="宋体" w:eastAsia="宋体" w:cs="宋体"/>
                <w:sz w:val="22"/>
              </w:rPr>
            </w:pPr>
          </w:p>
        </w:tc>
        <w:tc>
          <w:tcPr>
            <w:tcW w:w="669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支持白名单策略文件被删除或篡改；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restart"/>
            <w:tcBorders>
              <w:top w:val="nil"/>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安全审计</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支持对白名单策略外的程序警报、U盘警报、外设警报、保护警报等各类安全告警审计及其统计分析；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right w:val="single" w:color="auto" w:sz="4" w:space="0"/>
            </w:tcBorders>
            <w:shd w:val="clear" w:color="auto" w:fill="auto"/>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支持对系统的程序日志、USB日志、进程运行日志、设备接入日志、操作日志等进行统计记录，并可进行查看；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bottom w:val="single" w:color="auto" w:sz="4" w:space="0"/>
              <w:right w:val="single" w:color="auto" w:sz="4" w:space="0"/>
            </w:tcBorders>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支持对日志进行备份、还原管理；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参数配置</w:t>
            </w: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支持对系统的状态进行设置，包括白名单防护模式、报警方式、自身防护状态等；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6" w:hRule="atLeast"/>
          <w:jc w:val="center"/>
        </w:trPr>
        <w:tc>
          <w:tcPr>
            <w:tcW w:w="1121" w:type="dxa"/>
            <w:vMerge w:val="restart"/>
            <w:tcBorders>
              <w:top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资质要求</w:t>
            </w:r>
          </w:p>
        </w:tc>
        <w:tc>
          <w:tcPr>
            <w:tcW w:w="6693" w:type="dxa"/>
            <w:tcBorders>
              <w:top w:val="nil"/>
              <w:left w:val="nil"/>
              <w:right w:val="single" w:color="auto" w:sz="4" w:space="0"/>
            </w:tcBorders>
            <w:shd w:val="clear" w:color="auto" w:fill="auto"/>
            <w:vAlign w:val="center"/>
          </w:tcPr>
          <w:p>
            <w:pPr>
              <w:rPr>
                <w:rFonts w:hint="eastAsia" w:ascii="宋体" w:hAnsi="宋体" w:eastAsia="宋体" w:cs="宋体"/>
                <w:sz w:val="22"/>
              </w:rPr>
            </w:pPr>
            <w:r>
              <w:rPr>
                <w:rFonts w:hint="eastAsia" w:ascii="宋体" w:hAnsi="宋体" w:eastAsia="宋体" w:cs="宋体"/>
                <w:sz w:val="22"/>
              </w:rPr>
              <w:t>★投标产品应具有公安部计算机信息系统安全专用产品《销售许可证》；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21" w:type="dxa"/>
            <w:vMerge w:val="continue"/>
            <w:tcBorders>
              <w:top w:val="nil"/>
              <w:bottom w:val="single" w:color="auto" w:sz="4" w:space="0"/>
              <w:right w:val="single" w:color="auto" w:sz="4" w:space="0"/>
            </w:tcBorders>
            <w:shd w:val="clear" w:color="auto" w:fill="auto"/>
            <w:vAlign w:val="center"/>
          </w:tcPr>
          <w:p>
            <w:pPr>
              <w:rPr>
                <w:rFonts w:ascii="宋体" w:hAnsi="宋体" w:eastAsia="宋体" w:cs="宋体"/>
                <w:sz w:val="22"/>
              </w:rPr>
            </w:pPr>
          </w:p>
        </w:tc>
        <w:tc>
          <w:tcPr>
            <w:tcW w:w="669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★投标产品应具有中华人民共和国国家版权局《计算机软件著作权登记证书》</w:t>
            </w:r>
          </w:p>
        </w:tc>
      </w:tr>
    </w:tbl>
    <w:p>
      <w:pPr>
        <w:pStyle w:val="37"/>
        <w:rPr>
          <w:rFonts w:ascii="宋体" w:hAnsi="宋体" w:eastAsia="宋体" w:cs="宋体"/>
          <w:b/>
          <w:bCs/>
          <w:color w:val="auto"/>
          <w:sz w:val="24"/>
          <w:szCs w:val="24"/>
        </w:rPr>
      </w:pPr>
    </w:p>
    <w:p>
      <w:pPr>
        <w:rPr>
          <w:rFonts w:ascii="宋体" w:hAnsi="宋体" w:eastAsia="宋体" w:cs="宋体"/>
          <w:b/>
          <w:bCs/>
          <w:color w:val="auto"/>
          <w:sz w:val="24"/>
          <w:u w:color="000000"/>
        </w:rPr>
      </w:pPr>
      <w:r>
        <w:rPr>
          <w:rFonts w:hint="eastAsia" w:ascii="宋体" w:hAnsi="宋体" w:eastAsia="宋体" w:cs="宋体"/>
          <w:b/>
          <w:bCs/>
          <w:color w:val="auto"/>
          <w:sz w:val="24"/>
        </w:rPr>
        <w:t>6、</w:t>
      </w:r>
      <w:r>
        <w:rPr>
          <w:rFonts w:hint="eastAsia" w:ascii="宋体" w:hAnsi="宋体" w:eastAsia="宋体" w:cs="宋体"/>
          <w:b/>
          <w:bCs/>
          <w:color w:val="auto"/>
          <w:sz w:val="24"/>
          <w:u w:color="000000"/>
        </w:rPr>
        <w:t>工业防火墙（1U）</w:t>
      </w:r>
    </w:p>
    <w:tbl>
      <w:tblPr>
        <w:tblStyle w:val="12"/>
        <w:tblW w:w="8062"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0" w:type="dxa"/>
            <w:shd w:val="clear" w:color="000000" w:fill="auto"/>
            <w:vAlign w:val="center"/>
          </w:tcPr>
          <w:p>
            <w:pPr>
              <w:jc w:val="center"/>
              <w:rPr>
                <w:rFonts w:ascii="宋体" w:hAnsi="宋体" w:eastAsia="宋体" w:cs="宋体"/>
                <w:b/>
                <w:bCs/>
                <w:sz w:val="22"/>
              </w:rPr>
            </w:pPr>
            <w:r>
              <w:rPr>
                <w:rFonts w:hint="eastAsia" w:ascii="宋体" w:hAnsi="宋体" w:eastAsia="宋体" w:cs="宋体"/>
                <w:b/>
                <w:sz w:val="22"/>
              </w:rPr>
              <w:t>指标项</w:t>
            </w:r>
          </w:p>
        </w:tc>
        <w:tc>
          <w:tcPr>
            <w:tcW w:w="7082" w:type="dxa"/>
            <w:shd w:val="clear" w:color="000000" w:fill="auto"/>
            <w:vAlign w:val="center"/>
          </w:tcPr>
          <w:p>
            <w:pPr>
              <w:jc w:val="center"/>
              <w:rPr>
                <w:rFonts w:ascii="宋体" w:hAnsi="宋体" w:eastAsia="宋体" w:cs="宋体"/>
                <w:b/>
                <w:bCs/>
                <w:sz w:val="22"/>
              </w:rPr>
            </w:pPr>
            <w:r>
              <w:rPr>
                <w:rFonts w:hint="eastAsia" w:ascii="宋体" w:hAnsi="宋体" w:eastAsia="宋体" w:cs="宋体"/>
                <w:b/>
                <w:sz w:val="22"/>
                <w:lang w:val="en-US" w:eastAsia="zh-CN"/>
              </w:rPr>
              <w:t>指标</w:t>
            </w:r>
            <w:r>
              <w:rPr>
                <w:rFonts w:hint="eastAsia" w:ascii="宋体" w:hAnsi="宋体" w:eastAsia="宋体" w:cs="宋体"/>
                <w:b/>
                <w:sz w:val="22"/>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80" w:type="dxa"/>
            <w:vMerge w:val="restart"/>
            <w:shd w:val="clear" w:color="auto" w:fill="auto"/>
            <w:vAlign w:val="center"/>
          </w:tcPr>
          <w:p>
            <w:pPr>
              <w:jc w:val="center"/>
              <w:rPr>
                <w:rFonts w:ascii="宋体" w:hAnsi="宋体" w:eastAsia="宋体" w:cs="宋体"/>
                <w:bCs/>
                <w:sz w:val="22"/>
              </w:rPr>
            </w:pPr>
            <w:r>
              <w:rPr>
                <w:rFonts w:hint="eastAsia" w:ascii="宋体" w:hAnsi="宋体" w:eastAsia="宋体" w:cs="宋体"/>
                <w:bCs/>
                <w:sz w:val="22"/>
              </w:rPr>
              <w:t>硬件要求</w:t>
            </w:r>
          </w:p>
        </w:tc>
        <w:tc>
          <w:tcPr>
            <w:tcW w:w="7082" w:type="dxa"/>
            <w:shd w:val="clear" w:color="auto" w:fill="auto"/>
            <w:vAlign w:val="center"/>
          </w:tcPr>
          <w:p>
            <w:pPr>
              <w:rPr>
                <w:rFonts w:ascii="宋体" w:hAnsi="宋体" w:eastAsia="宋体" w:cs="宋体"/>
                <w:b/>
                <w:sz w:val="22"/>
              </w:rPr>
            </w:pPr>
            <w:r>
              <w:rPr>
                <w:rFonts w:hint="eastAsia" w:ascii="宋体" w:hAnsi="宋体" w:eastAsia="宋体" w:cs="宋体"/>
                <w:sz w:val="22"/>
              </w:rPr>
              <w:t>配置至少6个10/100/1000M速率RJ45业务端口；可以扩展光口， RJ45接口支持内置Bypass，至少支持3对BYPASS，支持断电Bypass和软件“看门狗”；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0" w:type="dxa"/>
            <w:vMerge w:val="continue"/>
            <w:shd w:val="clear" w:color="auto" w:fill="auto"/>
            <w:vAlign w:val="center"/>
          </w:tcPr>
          <w:p>
            <w:pPr>
              <w:jc w:val="center"/>
              <w:rPr>
                <w:rFonts w:ascii="宋体" w:hAnsi="宋体" w:eastAsia="宋体" w:cs="宋体"/>
                <w:b/>
                <w:sz w:val="22"/>
              </w:rPr>
            </w:pPr>
          </w:p>
        </w:tc>
        <w:tc>
          <w:tcPr>
            <w:tcW w:w="7082" w:type="dxa"/>
            <w:shd w:val="clear" w:color="auto" w:fill="auto"/>
            <w:vAlign w:val="center"/>
          </w:tcPr>
          <w:p>
            <w:pPr>
              <w:rPr>
                <w:rFonts w:ascii="宋体" w:hAnsi="宋体" w:eastAsia="宋体" w:cs="宋体"/>
                <w:b/>
                <w:sz w:val="22"/>
              </w:rPr>
            </w:pPr>
            <w:r>
              <w:rPr>
                <w:rFonts w:hint="eastAsia" w:ascii="宋体" w:hAnsi="宋体" w:eastAsia="宋体" w:cs="宋体"/>
                <w:sz w:val="22"/>
              </w:rPr>
              <w:t>配置1个带外RJ45 MGT网络管理端口；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0" w:type="dxa"/>
            <w:vMerge w:val="continue"/>
            <w:shd w:val="clear" w:color="auto" w:fill="auto"/>
            <w:vAlign w:val="center"/>
          </w:tcPr>
          <w:p>
            <w:pPr>
              <w:jc w:val="center"/>
              <w:rPr>
                <w:rFonts w:ascii="宋体" w:hAnsi="宋体" w:eastAsia="宋体" w:cs="宋体"/>
                <w:b/>
                <w:sz w:val="22"/>
              </w:rPr>
            </w:pPr>
          </w:p>
        </w:tc>
        <w:tc>
          <w:tcPr>
            <w:tcW w:w="7082" w:type="dxa"/>
            <w:shd w:val="clear" w:color="auto" w:fill="auto"/>
            <w:vAlign w:val="center"/>
          </w:tcPr>
          <w:p>
            <w:pPr>
              <w:rPr>
                <w:rFonts w:ascii="宋体" w:hAnsi="宋体" w:eastAsia="宋体" w:cs="宋体"/>
                <w:b/>
                <w:sz w:val="22"/>
              </w:rPr>
            </w:pPr>
            <w:r>
              <w:rPr>
                <w:rFonts w:hint="eastAsia" w:ascii="宋体" w:hAnsi="宋体" w:eastAsia="宋体" w:cs="宋体"/>
                <w:sz w:val="22"/>
              </w:rPr>
              <w:t>平均无故障时间MTBF(小时)要求高达200000h。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0" w:type="dxa"/>
            <w:vMerge w:val="continue"/>
            <w:shd w:val="clear" w:color="auto" w:fill="auto"/>
            <w:vAlign w:val="center"/>
          </w:tcPr>
          <w:p>
            <w:pPr>
              <w:jc w:val="center"/>
              <w:rPr>
                <w:rFonts w:ascii="宋体" w:hAnsi="宋体" w:eastAsia="宋体" w:cs="宋体"/>
                <w:b/>
                <w:sz w:val="22"/>
              </w:rPr>
            </w:pPr>
          </w:p>
        </w:tc>
        <w:tc>
          <w:tcPr>
            <w:tcW w:w="7082" w:type="dxa"/>
            <w:shd w:val="clear" w:color="auto" w:fill="auto"/>
            <w:vAlign w:val="center"/>
          </w:tcPr>
          <w:p>
            <w:pPr>
              <w:rPr>
                <w:rFonts w:ascii="宋体" w:hAnsi="宋体" w:eastAsia="宋体" w:cs="宋体"/>
                <w:b/>
                <w:sz w:val="22"/>
              </w:rPr>
            </w:pPr>
            <w:r>
              <w:rPr>
                <w:rFonts w:hint="eastAsia" w:ascii="宋体" w:hAnsi="宋体" w:eastAsia="宋体" w:cs="宋体"/>
                <w:sz w:val="22"/>
              </w:rPr>
              <w:t>硬盘容量不小64G；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0" w:type="dxa"/>
            <w:shd w:val="clear" w:color="auto" w:fill="auto"/>
            <w:vAlign w:val="center"/>
          </w:tcPr>
          <w:p>
            <w:pPr>
              <w:jc w:val="center"/>
              <w:rPr>
                <w:rFonts w:ascii="宋体" w:hAnsi="宋体" w:eastAsia="宋体" w:cs="宋体"/>
                <w:b/>
                <w:sz w:val="22"/>
              </w:rPr>
            </w:pPr>
            <w:r>
              <w:rPr>
                <w:rFonts w:hint="eastAsia" w:ascii="宋体" w:hAnsi="宋体" w:eastAsia="宋体" w:cs="宋体"/>
                <w:sz w:val="22"/>
              </w:rPr>
              <w:t>性能要求</w:t>
            </w:r>
          </w:p>
        </w:tc>
        <w:tc>
          <w:tcPr>
            <w:tcW w:w="7082" w:type="dxa"/>
            <w:shd w:val="clear" w:color="auto" w:fill="auto"/>
            <w:vAlign w:val="center"/>
          </w:tcPr>
          <w:p>
            <w:pPr>
              <w:rPr>
                <w:rFonts w:ascii="宋体" w:hAnsi="宋体" w:eastAsia="宋体" w:cs="宋体"/>
                <w:b/>
                <w:sz w:val="22"/>
              </w:rPr>
            </w:pPr>
            <w:r>
              <w:rPr>
                <w:rFonts w:hint="eastAsia" w:ascii="宋体" w:hAnsi="宋体" w:eastAsia="宋体" w:cs="宋体"/>
                <w:sz w:val="22"/>
              </w:rPr>
              <w:t>网络吞吐量4Gbps，并发连接数300万，新建连接数8万。DPI吞吐量2G。；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工作模式</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支持告警模式、防护模式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部署模式</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支持透明模式/路由模式/混合模式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管理模式</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支持自管理部署，集中管理部署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80" w:type="dxa"/>
            <w:vMerge w:val="restart"/>
            <w:shd w:val="clear" w:color="auto" w:fill="auto"/>
            <w:vAlign w:val="center"/>
          </w:tcPr>
          <w:p>
            <w:pPr>
              <w:rPr>
                <w:rFonts w:ascii="宋体" w:hAnsi="宋体" w:eastAsia="宋体" w:cs="宋体"/>
                <w:sz w:val="22"/>
              </w:rPr>
            </w:pPr>
            <w:r>
              <w:rPr>
                <w:rFonts w:hint="eastAsia" w:ascii="宋体" w:hAnsi="宋体" w:eastAsia="宋体" w:cs="宋体"/>
                <w:sz w:val="22"/>
              </w:rPr>
              <w:t>事件信息</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★支持策略安全事件（包括黑名单、白名单、IPMAC、会话连接事件）、规约告警事件、系统事件告警或记录。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80" w:type="dxa"/>
            <w:vMerge w:val="continue"/>
            <w:shd w:val="clear" w:color="auto" w:fill="auto"/>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支持策略安全事件、规约告警事件、系统事件统计，规约告警事件统计分析，提供图形可视化的展示分析功能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支持从安全事件跳转至对应的安全策略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支持系统本身所发生的事件，例如:添加/删除规则，及设备端口状态等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支持页面流量记录中，包括设备名称、</w:t>
            </w:r>
            <w:r>
              <w:rPr>
                <w:rFonts w:ascii="宋体" w:hAnsi="宋体" w:eastAsia="宋体" w:cs="宋体"/>
                <w:sz w:val="22"/>
              </w:rPr>
              <w:t>IP 地址、MAC 地址、平均</w:t>
            </w:r>
            <w:r>
              <w:rPr>
                <w:rFonts w:hint="eastAsia" w:ascii="宋体" w:hAnsi="宋体" w:eastAsia="宋体" w:cs="宋体"/>
                <w:sz w:val="22"/>
              </w:rPr>
              <w:t>输入速率（</w:t>
            </w:r>
            <w:r>
              <w:rPr>
                <w:rFonts w:ascii="宋体" w:hAnsi="宋体" w:eastAsia="宋体" w:cs="宋体"/>
                <w:sz w:val="22"/>
              </w:rPr>
              <w:t>1 小时）、平均输出速率（1 小时）、平均流量百分比、更</w:t>
            </w:r>
            <w:r>
              <w:rPr>
                <w:rFonts w:hint="eastAsia" w:ascii="宋体" w:hAnsi="宋体" w:eastAsia="宋体" w:cs="宋体"/>
                <w:sz w:val="22"/>
              </w:rPr>
              <w:t>新时间。点击流量记录中“详情”按钮，可查看设备流量信息。包括实时流量，最近</w:t>
            </w:r>
            <w:r>
              <w:rPr>
                <w:rFonts w:ascii="宋体" w:hAnsi="宋体" w:eastAsia="宋体" w:cs="宋体"/>
                <w:sz w:val="22"/>
              </w:rPr>
              <w:t xml:space="preserve"> 1 小时、1 天、1 周的协议流量占比，该设备不同时间下</w:t>
            </w:r>
            <w:r>
              <w:rPr>
                <w:rFonts w:hint="eastAsia" w:ascii="宋体" w:hAnsi="宋体" w:eastAsia="宋体" w:cs="宋体"/>
                <w:sz w:val="22"/>
              </w:rPr>
              <w:t>的流量协议名、平均流量百分比。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0" w:type="dxa"/>
            <w:vMerge w:val="restart"/>
            <w:shd w:val="clear" w:color="auto" w:fill="auto"/>
            <w:vAlign w:val="center"/>
          </w:tcPr>
          <w:p>
            <w:pPr>
              <w:rPr>
                <w:rFonts w:ascii="宋体" w:hAnsi="宋体" w:eastAsia="宋体" w:cs="宋体"/>
                <w:sz w:val="22"/>
              </w:rPr>
            </w:pPr>
            <w:r>
              <w:rPr>
                <w:rFonts w:hint="eastAsia" w:ascii="宋体" w:hAnsi="宋体" w:eastAsia="宋体" w:cs="宋体"/>
                <w:sz w:val="22"/>
              </w:rPr>
              <w:t>基础防火墙功能</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支持包过滤、应用状态检测防火墙功能。</w:t>
            </w:r>
            <w:r>
              <w:rPr>
                <w:rFonts w:hint="eastAsia" w:ascii="宋体" w:hAnsi="宋体" w:eastAsia="宋体" w:cs="宋体"/>
                <w:sz w:val="22"/>
              </w:rPr>
              <w:br w:type="textWrapping"/>
            </w:r>
            <w:r>
              <w:rPr>
                <w:rFonts w:hint="eastAsia" w:ascii="宋体" w:hAnsi="宋体" w:eastAsia="宋体" w:cs="宋体"/>
                <w:sz w:val="22"/>
              </w:rPr>
              <w:t>支持对网络报文进行过滤和控制，支持基于MAC地址，IP地址，协议，端口号，时间段等访问控制策略。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0" w:type="dxa"/>
            <w:vMerge w:val="continue"/>
            <w:shd w:val="clear" w:color="auto" w:fill="auto"/>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w:t>
            </w:r>
            <w:r>
              <w:rPr>
                <w:rFonts w:ascii="宋体" w:hAnsi="宋体" w:eastAsia="宋体" w:cs="宋体"/>
                <w:sz w:val="22"/>
              </w:rPr>
              <w:t>自学习 在页面上方学习区域内，选择“学习时长”，5 分钟</w:t>
            </w:r>
            <w:r>
              <w:rPr>
                <w:rFonts w:hint="eastAsia" w:ascii="宋体" w:hAnsi="宋体" w:eastAsia="宋体" w:cs="宋体"/>
                <w:sz w:val="22"/>
              </w:rPr>
              <w:t>，30分钟，1小时，2小时，10小时，16小时，1天，3天，</w:t>
            </w:r>
            <w:r>
              <w:rPr>
                <w:rFonts w:ascii="宋体" w:hAnsi="宋体" w:eastAsia="宋体" w:cs="宋体"/>
                <w:sz w:val="22"/>
              </w:rPr>
              <w:t xml:space="preserve"> 1 周时间</w:t>
            </w:r>
            <w:r>
              <w:rPr>
                <w:rFonts w:hint="eastAsia" w:ascii="宋体" w:hAnsi="宋体" w:eastAsia="宋体" w:cs="宋体"/>
                <w:sz w:val="22"/>
              </w:rPr>
              <w:t>自由设置</w:t>
            </w:r>
            <w:r>
              <w:rPr>
                <w:rFonts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NAT</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支持源地址NAT和目的地址NAT。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VPN</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支持IPSEC VPN功能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80" w:type="dxa"/>
            <w:vMerge w:val="restart"/>
            <w:shd w:val="clear" w:color="auto" w:fill="auto"/>
            <w:vAlign w:val="center"/>
          </w:tcPr>
          <w:p>
            <w:pPr>
              <w:rPr>
                <w:rFonts w:ascii="宋体" w:hAnsi="宋体" w:eastAsia="宋体" w:cs="宋体"/>
                <w:sz w:val="22"/>
              </w:rPr>
            </w:pPr>
            <w:r>
              <w:rPr>
                <w:rFonts w:hint="eastAsia" w:ascii="宋体" w:hAnsi="宋体" w:eastAsia="宋体" w:cs="宋体"/>
                <w:sz w:val="22"/>
              </w:rPr>
              <w:t>白名单防护</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★支持工控协议的深度解析功能，支持基于机器学习方式自动记录并梳理工控协议中的操作行为规律，并通过这些行为和规则逐步形成白名单防护规则，支持规则的处理动作批量配置。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支持工控协议自定义规则并形成安全策略，对不符合安全策略的数据包进行阻断或报警，并产生告警信息。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工业协议支持</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★支持工控协议的深度解析不少于20种（包括但不限于OPC Classic，OPC UA,Modbus TCP，Modbus UDP，Siemens S7，Ethernet/IP(CIP)，IEC104，DNP3，MMS，Profinet,PNRTDCP,GOOSE,SV,ENIPTCP，ENIPUDP,BacNet，853，Omron Fins等。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黑名单规则</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工控威胁漏洞库至少达到1200条。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IPMAC绑定</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支持IPMAC绑定，可以根据网络流量主动学习IPMAC地址，也可以主动添加IPMAC地址组，防止IP地址盗用，对未知接入设备进行监控，告警或者阻断。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自定义协议</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★支持用户通过协议特征的方式添加新的协议，并可以对新添加的协议进行识别，规则匹配，产生相关安全事件。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安全策略日志</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★支持基础防火墙、白名单、连接管理等产生的日志，记录基于时间、源IP、源MAC地址、源端口、目标IP、目标MAC地址、目标端口、协议类型等的行为和内容，并提供过滤查看和导出功能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拓扑管理</w:t>
            </w:r>
          </w:p>
        </w:tc>
        <w:tc>
          <w:tcPr>
            <w:tcW w:w="7082" w:type="dxa"/>
            <w:shd w:val="clear" w:color="000000" w:fill="FFFFFF"/>
            <w:vAlign w:val="center"/>
          </w:tcPr>
          <w:p>
            <w:pPr>
              <w:rPr>
                <w:rFonts w:ascii="宋体" w:hAnsi="宋体" w:eastAsia="宋体" w:cs="宋体"/>
                <w:sz w:val="22"/>
              </w:rPr>
            </w:pPr>
            <w:r>
              <w:rPr>
                <w:rFonts w:hint="eastAsia" w:ascii="宋体" w:hAnsi="宋体" w:eastAsia="宋体" w:cs="宋体"/>
                <w:sz w:val="22"/>
              </w:rPr>
              <w:t>★内置工控设备指纹库，能够自动识别防火墙所在的网络节点位置处的所有连接的设备，并以拓扑图方式展示出来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vMerge w:val="restart"/>
            <w:shd w:val="clear" w:color="auto" w:fill="auto"/>
            <w:vAlign w:val="center"/>
          </w:tcPr>
          <w:p>
            <w:pPr>
              <w:rPr>
                <w:rFonts w:ascii="宋体" w:hAnsi="宋体" w:eastAsia="宋体" w:cs="宋体"/>
                <w:sz w:val="22"/>
              </w:rPr>
            </w:pPr>
            <w:r>
              <w:rPr>
                <w:rFonts w:hint="eastAsia" w:ascii="宋体" w:hAnsi="宋体" w:eastAsia="宋体" w:cs="宋体"/>
                <w:sz w:val="22"/>
              </w:rPr>
              <w:t>设备管理</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支持自管理，可对设备、用户、接口等进行配置管理，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提供直观的接口配置页面，支持对端口信息、端口模式及静态路由信息进行修改配置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支持对当前设备的系统强制登出时间、用户可尝试登录次数进行灵活设置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提供Syslog远程服务配置，配置完成后，可用户可以通过syslog协议，将日志信息以数据报协议(TCP或UDP)方式传送到远端syslog服务器。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0" w:type="dxa"/>
            <w:shd w:val="clear" w:color="auto" w:fill="auto"/>
            <w:vAlign w:val="center"/>
          </w:tcPr>
          <w:p>
            <w:pPr>
              <w:rPr>
                <w:rFonts w:ascii="宋体" w:hAnsi="宋体" w:eastAsia="宋体" w:cs="宋体"/>
                <w:sz w:val="22"/>
              </w:rPr>
            </w:pPr>
            <w:r>
              <w:rPr>
                <w:rFonts w:hint="eastAsia" w:ascii="宋体" w:hAnsi="宋体" w:eastAsia="宋体" w:cs="宋体"/>
                <w:sz w:val="22"/>
              </w:rPr>
              <w:t>安全防护</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支持通过配置开启自身的安全防护，支持安全区域的DDOS攻击防护，包括SYN、UDP、ICMP等Flood攻击防护；支持TearDrop、LAND、WinNuke等攻击防护；支持端口扫描攻击防护，包括针对TCP端口和UDP端口的扫描攻击；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vMerge w:val="restart"/>
            <w:shd w:val="clear" w:color="auto" w:fill="auto"/>
            <w:vAlign w:val="center"/>
          </w:tcPr>
          <w:p>
            <w:pPr>
              <w:rPr>
                <w:rFonts w:ascii="宋体" w:hAnsi="宋体" w:eastAsia="宋体" w:cs="宋体"/>
                <w:sz w:val="22"/>
              </w:rPr>
            </w:pPr>
            <w:r>
              <w:rPr>
                <w:rFonts w:hint="eastAsia" w:ascii="宋体" w:hAnsi="宋体" w:eastAsia="宋体" w:cs="宋体"/>
                <w:sz w:val="22"/>
              </w:rPr>
              <w:t>产品资质</w:t>
            </w: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0" w:type="dxa"/>
            <w:vMerge w:val="continue"/>
            <w:vAlign w:val="center"/>
          </w:tcPr>
          <w:p>
            <w:pPr>
              <w:rPr>
                <w:rFonts w:ascii="宋体" w:hAnsi="宋体" w:eastAsia="宋体" w:cs="宋体"/>
                <w:sz w:val="22"/>
              </w:rPr>
            </w:pPr>
          </w:p>
        </w:tc>
        <w:tc>
          <w:tcPr>
            <w:tcW w:w="7082" w:type="dxa"/>
            <w:shd w:val="clear" w:color="auto" w:fill="auto"/>
            <w:vAlign w:val="center"/>
          </w:tcPr>
          <w:p>
            <w:pPr>
              <w:rPr>
                <w:rFonts w:ascii="宋体" w:hAnsi="宋体" w:eastAsia="宋体" w:cs="宋体"/>
                <w:sz w:val="22"/>
              </w:rPr>
            </w:pPr>
            <w:r>
              <w:rPr>
                <w:rFonts w:hint="eastAsia" w:ascii="宋体" w:hAnsi="宋体" w:eastAsia="宋体" w:cs="宋体"/>
                <w:sz w:val="22"/>
              </w:rPr>
              <w:t>★计算机软件著作权登记证书</w:t>
            </w:r>
          </w:p>
        </w:tc>
      </w:tr>
    </w:tbl>
    <w:p>
      <w:pPr>
        <w:pStyle w:val="37"/>
        <w:rPr>
          <w:rFonts w:ascii="宋体" w:hAnsi="宋体" w:eastAsia="宋体" w:cs="宋体"/>
          <w:b/>
          <w:bCs/>
          <w:color w:val="auto"/>
          <w:sz w:val="24"/>
          <w:szCs w:val="24"/>
        </w:rPr>
      </w:pPr>
    </w:p>
    <w:p>
      <w:pPr>
        <w:rPr>
          <w:rFonts w:ascii="宋体" w:hAnsi="宋体" w:eastAsia="宋体" w:cs="宋体"/>
          <w:b/>
          <w:bCs/>
          <w:color w:val="auto"/>
          <w:sz w:val="24"/>
          <w:u w:color="000000"/>
        </w:rPr>
      </w:pPr>
      <w:r>
        <w:rPr>
          <w:rFonts w:hint="eastAsia" w:ascii="宋体" w:hAnsi="宋体" w:eastAsia="宋体" w:cs="宋体"/>
          <w:b/>
          <w:bCs/>
          <w:color w:val="auto"/>
          <w:sz w:val="24"/>
        </w:rPr>
        <w:t>7、</w:t>
      </w:r>
      <w:r>
        <w:rPr>
          <w:rFonts w:hint="eastAsia" w:ascii="宋体" w:hAnsi="宋体" w:eastAsia="宋体" w:cs="宋体"/>
          <w:b/>
          <w:bCs/>
          <w:color w:val="auto"/>
          <w:sz w:val="24"/>
          <w:u w:color="000000"/>
        </w:rPr>
        <w:t>安全隔离与信息交换系统参数</w:t>
      </w:r>
    </w:p>
    <w:tbl>
      <w:tblPr>
        <w:tblStyle w:val="12"/>
        <w:tblpPr w:leftFromText="181" w:rightFromText="181" w:vertAnchor="text" w:horzAnchor="margin" w:tblpXSpec="center" w:tblpY="1"/>
        <w:tblW w:w="8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Borders>
              <w:bottom w:val="single" w:color="auto" w:sz="4" w:space="0"/>
            </w:tcBorders>
            <w:shd w:val="clear" w:color="auto" w:fill="auto"/>
            <w:vAlign w:val="center"/>
          </w:tcPr>
          <w:p>
            <w:pPr>
              <w:adjustRightInd w:val="0"/>
              <w:rPr>
                <w:rFonts w:ascii="宋体" w:hAnsi="宋体" w:eastAsia="宋体"/>
                <w:color w:val="auto"/>
                <w:sz w:val="22"/>
                <w:szCs w:val="22"/>
              </w:rPr>
            </w:pPr>
            <w:r>
              <w:rPr>
                <w:rFonts w:hint="eastAsia" w:ascii="宋体" w:hAnsi="宋体" w:eastAsia="宋体" w:cs="宋体"/>
                <w:b/>
                <w:color w:val="auto"/>
                <w:sz w:val="22"/>
                <w:szCs w:val="22"/>
              </w:rPr>
              <w:t>指标项</w:t>
            </w:r>
          </w:p>
        </w:tc>
        <w:tc>
          <w:tcPr>
            <w:tcW w:w="6972" w:type="dxa"/>
            <w:shd w:val="clear" w:color="auto" w:fill="auto"/>
          </w:tcPr>
          <w:p>
            <w:pPr>
              <w:adjustRightInd w:val="0"/>
              <w:rPr>
                <w:rFonts w:ascii="宋体" w:hAnsi="宋体" w:eastAsia="宋体"/>
                <w:color w:val="auto"/>
                <w:sz w:val="22"/>
                <w:szCs w:val="22"/>
              </w:rPr>
            </w:pPr>
            <w:r>
              <w:rPr>
                <w:rFonts w:hint="eastAsia" w:ascii="宋体" w:hAnsi="宋体" w:eastAsia="宋体" w:cs="宋体"/>
                <w:b/>
                <w:color w:val="auto"/>
                <w:sz w:val="22"/>
                <w:szCs w:val="22"/>
              </w:rPr>
              <w:t>具体指标要求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系统架构</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1、采用2+1系统架构即内网单元+外网单元+专用隔离硬件。不能采用</w:t>
            </w:r>
            <w:r>
              <w:rPr>
                <w:rFonts w:ascii="宋体" w:hAnsi="宋体" w:eastAsia="宋体"/>
                <w:color w:val="auto"/>
                <w:sz w:val="22"/>
                <w:szCs w:val="22"/>
              </w:rPr>
              <w:t>网线等形式</w:t>
            </w:r>
            <w:r>
              <w:rPr>
                <w:rFonts w:hint="eastAsia" w:ascii="宋体" w:hAnsi="宋体" w:eastAsia="宋体"/>
                <w:color w:val="auto"/>
                <w:sz w:val="22"/>
                <w:szCs w:val="22"/>
              </w:rPr>
              <w:t>直通</w:t>
            </w:r>
            <w:r>
              <w:rPr>
                <w:rFonts w:ascii="宋体" w:hAnsi="宋体" w:eastAsia="宋体"/>
                <w:color w:val="auto"/>
                <w:sz w:val="22"/>
                <w:szCs w:val="22"/>
              </w:rPr>
              <w:t>。</w:t>
            </w:r>
          </w:p>
          <w:p>
            <w:pPr>
              <w:adjustRightInd w:val="0"/>
              <w:rPr>
                <w:rFonts w:ascii="宋体" w:hAnsi="宋体" w:eastAsia="宋体"/>
                <w:color w:val="auto"/>
                <w:sz w:val="22"/>
                <w:szCs w:val="22"/>
              </w:rPr>
            </w:pPr>
            <w:r>
              <w:rPr>
                <w:rFonts w:hint="eastAsia" w:ascii="宋体" w:hAnsi="宋体" w:eastAsia="宋体"/>
                <w:color w:val="auto"/>
                <w:sz w:val="22"/>
                <w:szCs w:val="22"/>
              </w:rPr>
              <w:t>2、采用基于linux内核</w:t>
            </w:r>
            <w:r>
              <w:rPr>
                <w:rFonts w:ascii="宋体" w:hAnsi="宋体" w:eastAsia="宋体"/>
                <w:color w:val="auto"/>
                <w:sz w:val="22"/>
                <w:szCs w:val="22"/>
              </w:rPr>
              <w:t>的</w:t>
            </w:r>
            <w:r>
              <w:rPr>
                <w:rFonts w:hint="eastAsia" w:ascii="宋体" w:hAnsi="宋体" w:eastAsia="宋体"/>
                <w:color w:val="auto"/>
                <w:sz w:val="22"/>
                <w:szCs w:val="22"/>
              </w:rPr>
              <w:t>多核多线程专用安全操作系统，加固内核。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硬件</w:t>
            </w:r>
            <w:r>
              <w:rPr>
                <w:rFonts w:ascii="宋体" w:hAnsi="宋体" w:eastAsia="宋体"/>
                <w:color w:val="auto"/>
                <w:sz w:val="22"/>
                <w:szCs w:val="22"/>
              </w:rPr>
              <w:t>要求</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2U标准机架式、4个10/100/1000Mbps自适应电口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11" w:type="dxa"/>
            <w:shd w:val="clear" w:color="auto" w:fill="FFFFFF"/>
            <w:vAlign w:val="center"/>
          </w:tcPr>
          <w:p>
            <w:pPr>
              <w:adjustRightInd w:val="0"/>
              <w:rPr>
                <w:rFonts w:ascii="宋体" w:hAnsi="宋体" w:eastAsia="宋体"/>
                <w:color w:val="auto"/>
                <w:sz w:val="22"/>
                <w:szCs w:val="22"/>
              </w:rPr>
            </w:pPr>
            <w:bookmarkStart w:id="3" w:name="_Hlk498438689"/>
            <w:r>
              <w:rPr>
                <w:rFonts w:hint="eastAsia" w:ascii="宋体" w:hAnsi="宋体" w:eastAsia="宋体"/>
                <w:color w:val="auto"/>
                <w:sz w:val="22"/>
                <w:szCs w:val="22"/>
              </w:rPr>
              <w:t>管理</w:t>
            </w:r>
            <w:r>
              <w:rPr>
                <w:rFonts w:ascii="宋体" w:hAnsi="宋体" w:eastAsia="宋体"/>
                <w:color w:val="auto"/>
                <w:sz w:val="22"/>
                <w:szCs w:val="22"/>
              </w:rPr>
              <w:t>接口</w:t>
            </w:r>
          </w:p>
        </w:tc>
        <w:tc>
          <w:tcPr>
            <w:tcW w:w="6972" w:type="dxa"/>
            <w:tcBorders>
              <w:bottom w:val="single" w:color="auto" w:sz="4" w:space="0"/>
            </w:tcBorders>
          </w:tcPr>
          <w:p>
            <w:pPr>
              <w:adjustRightInd w:val="0"/>
              <w:rPr>
                <w:rFonts w:ascii="宋体" w:hAnsi="宋体" w:eastAsia="宋体"/>
                <w:color w:val="auto"/>
                <w:sz w:val="22"/>
                <w:szCs w:val="22"/>
              </w:rPr>
            </w:pPr>
            <w:r>
              <w:rPr>
                <w:rFonts w:hint="eastAsia" w:ascii="宋体" w:hAnsi="宋体" w:eastAsia="宋体"/>
                <w:color w:val="auto"/>
                <w:sz w:val="22"/>
                <w:szCs w:val="22"/>
              </w:rPr>
              <w:t>外网端不允许配置任何形式的管理接口，所有管理配置操作均通过专用的网闸内网可信端管理接口进行配置。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部署模式</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设备支持透明、代理及路由三种工作模式，管理员可依据实际网络状况进行相应的部署。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内置应用</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产品内置各类应用支持模块，无须用户增加投资，</w:t>
            </w:r>
            <w:r>
              <w:rPr>
                <w:rFonts w:ascii="宋体" w:hAnsi="宋体" w:eastAsia="宋体"/>
                <w:color w:val="auto"/>
                <w:sz w:val="22"/>
                <w:szCs w:val="22"/>
              </w:rPr>
              <w:t>功能模块至少包含</w:t>
            </w:r>
            <w:r>
              <w:rPr>
                <w:rFonts w:hint="eastAsia" w:ascii="宋体" w:hAnsi="宋体" w:eastAsia="宋体"/>
                <w:color w:val="auto"/>
                <w:sz w:val="22"/>
                <w:szCs w:val="22"/>
              </w:rPr>
              <w:t>：邮件模块、安全浏览模块、视频交换模块、数据库访问模块、数据库同步模块、文件交换模块、OPC模块、MODBUS模块、WINCC模块、组播代理模块、用户自定义应用模块等各类应用模块,并可控制相应应用协议的的动作、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11" w:type="dxa"/>
            <w:vMerge w:val="restart"/>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文件交换</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支持Samba、FTP等多种文件协议，可以实现内网到外网、外网到内网、双向的文件传送。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支持病毒检测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支持对文件类型的黑白名单控制，根据文件格式特征进行过滤，并且不依赖于文件扩展名；</w:t>
            </w:r>
          </w:p>
          <w:p>
            <w:pPr>
              <w:adjustRightInd w:val="0"/>
              <w:rPr>
                <w:rFonts w:ascii="宋体" w:hAnsi="宋体" w:eastAsia="宋体"/>
                <w:color w:val="auto"/>
                <w:sz w:val="22"/>
                <w:szCs w:val="22"/>
              </w:rPr>
            </w:pPr>
            <w:r>
              <w:rPr>
                <w:rFonts w:hint="eastAsia" w:ascii="宋体" w:hAnsi="宋体" w:eastAsia="宋体"/>
                <w:color w:val="auto"/>
                <w:sz w:val="22"/>
                <w:szCs w:val="22"/>
              </w:rPr>
              <w:t>支持文件内容深度检测，对包含关键字内容的文件进行过滤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支持增量传输、传输后删除等传输策略；</w:t>
            </w:r>
          </w:p>
          <w:p>
            <w:pPr>
              <w:adjustRightInd w:val="0"/>
              <w:rPr>
                <w:rFonts w:ascii="宋体" w:hAnsi="宋体" w:eastAsia="宋体"/>
                <w:color w:val="auto"/>
                <w:sz w:val="22"/>
                <w:szCs w:val="22"/>
              </w:rPr>
            </w:pPr>
            <w:r>
              <w:rPr>
                <w:rFonts w:hint="eastAsia" w:ascii="宋体" w:hAnsi="宋体" w:eastAsia="宋体"/>
                <w:color w:val="auto"/>
                <w:sz w:val="22"/>
                <w:szCs w:val="22"/>
              </w:rPr>
              <w:t>支持目录内子目录同步，子目录级别不受限制；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支持文件交换容错和告警功能，交换出错能够自动重传，出现异常能够告警提示并记录日志；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可通过专用客户端或共享方式提供安全的文件同步功能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11" w:type="dxa"/>
            <w:vMerge w:val="restart"/>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数据库同步</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★支持Oracle、SQLServer、Mysql、Sybase、DB2、Postgresql等多种主流国外数据库的同步和国产达梦数据库、人大金仓数据库的同步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支持同构、异构数据库之间的同步，如Mysql同步至Oracle。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支持字段级数据同步，仅同步表中某几个字段。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ascii="宋体" w:hAnsi="宋体" w:eastAsia="宋体"/>
                <w:color w:val="auto"/>
                <w:sz w:val="22"/>
                <w:szCs w:val="22"/>
              </w:rPr>
              <w:t>支持</w:t>
            </w:r>
            <w:r>
              <w:rPr>
                <w:rFonts w:hint="eastAsia" w:ascii="宋体" w:hAnsi="宋体" w:eastAsia="宋体"/>
                <w:color w:val="auto"/>
                <w:sz w:val="22"/>
                <w:szCs w:val="22"/>
              </w:rPr>
              <w:t>BLOB、CLOB等大字段</w:t>
            </w:r>
            <w:r>
              <w:rPr>
                <w:rFonts w:ascii="宋体" w:hAnsi="宋体" w:eastAsia="宋体"/>
                <w:color w:val="auto"/>
                <w:sz w:val="22"/>
                <w:szCs w:val="22"/>
              </w:rPr>
              <w:t>的同步</w:t>
            </w:r>
            <w:r>
              <w:rPr>
                <w:rFonts w:hint="eastAsia" w:ascii="宋体" w:hAnsi="宋体" w:eastAsia="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同步功能由网闸主动发起并完成，无需在数据库安装方软件，支持Windows、Linux、Unix 等多种数据库操作系统，且网闸无需开放端口以杜绝安全隐患；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同时支持客户端方式，提供更高性能的数据库同步。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支持数据库同步实时日志记录，提供日志审计、查询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11" w:type="dxa"/>
            <w:vMerge w:val="restart"/>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数据库访问</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支持Oracle 、DB2、SyBase、SQL Server、MySql等主流数据库的安全访问，实现内外网之间数据库及表内容安全传输。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★支持SQL语句控制，如只允许查询，不允许删除等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支持任务单独启停管理，不影响数据库同步的其他任务运行。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支持对访问源地址、目的地址、本机地址和端口的自定义访问控制。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11" w:type="dxa"/>
            <w:vMerge w:val="restart"/>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安全浏览</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支持应用层指令控制，如GET、POST、PUT、HEAD、CONNECT、等。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可限制用户行为，如只允许浏览不允许登陆等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支持代理模式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支持URL地址过滤，并可限制网页中的Script脚本、ActiveX脚本、java applet等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支持关键字网页过滤；支持对下载文件的大小、类型过滤；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1" w:type="dxa"/>
            <w:vMerge w:val="restart"/>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邮件交换</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支持SMTP、POP3协议</w:t>
            </w:r>
            <w:r>
              <w:rPr>
                <w:rFonts w:hint="eastAsia" w:ascii="宋体" w:hAnsi="宋体" w:eastAsia="宋体"/>
                <w:color w:val="auto"/>
                <w:sz w:val="22"/>
                <w:szCs w:val="22"/>
                <w:lang w:eastAsia="zh-CN"/>
              </w:rPr>
              <w:t>；</w:t>
            </w:r>
            <w:r>
              <w:rPr>
                <w:rFonts w:hint="eastAsia" w:ascii="宋体" w:hAnsi="宋体" w:eastAsia="宋体"/>
                <w:color w:val="auto"/>
                <w:sz w:val="22"/>
                <w:szCs w:val="22"/>
              </w:rPr>
              <w:t>支持病毒检测功。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支持邮件地址、附件、主题、内容等进行过滤。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支持附件大小、附件格式控制；支持发件人、收件人过滤。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TCP应用传输</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w:t>
            </w:r>
            <w:r>
              <w:rPr>
                <w:rFonts w:ascii="宋体" w:hAnsi="宋体" w:eastAsia="宋体"/>
                <w:color w:val="auto"/>
                <w:sz w:val="22"/>
                <w:szCs w:val="22"/>
              </w:rPr>
              <w:t>TCP</w:t>
            </w:r>
            <w:r>
              <w:rPr>
                <w:rFonts w:hint="eastAsia" w:ascii="宋体" w:hAnsi="宋体" w:eastAsia="宋体"/>
                <w:color w:val="auto"/>
                <w:sz w:val="22"/>
                <w:szCs w:val="22"/>
              </w:rPr>
              <w:t>应用层数据单向传输的控制，保证</w:t>
            </w:r>
            <w:r>
              <w:rPr>
                <w:rFonts w:ascii="宋体" w:hAnsi="宋体" w:eastAsia="宋体"/>
                <w:color w:val="auto"/>
                <w:sz w:val="22"/>
                <w:szCs w:val="22"/>
              </w:rPr>
              <w:t>TCP</w:t>
            </w:r>
            <w:r>
              <w:rPr>
                <w:rFonts w:hint="eastAsia" w:ascii="宋体" w:hAnsi="宋体" w:eastAsia="宋体"/>
                <w:color w:val="auto"/>
                <w:sz w:val="22"/>
                <w:szCs w:val="22"/>
              </w:rPr>
              <w:t>应用数据的</w:t>
            </w:r>
            <w:r>
              <w:rPr>
                <w:rFonts w:ascii="宋体" w:hAnsi="宋体" w:eastAsia="宋体"/>
                <w:color w:val="auto"/>
                <w:sz w:val="22"/>
                <w:szCs w:val="22"/>
              </w:rPr>
              <w:t xml:space="preserve">0 </w:t>
            </w:r>
            <w:r>
              <w:rPr>
                <w:rFonts w:hint="eastAsia" w:ascii="宋体" w:hAnsi="宋体" w:eastAsia="宋体"/>
                <w:color w:val="auto"/>
                <w:sz w:val="22"/>
                <w:szCs w:val="22"/>
              </w:rPr>
              <w:t>反馈，以满足二次防护对数据传输的安全性需求。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组播代理</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★系统支持多任务的组播代理功能，可穿透三层交换机网络进行部署，支持PIM协议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工控通讯协议</w:t>
            </w:r>
          </w:p>
        </w:tc>
        <w:tc>
          <w:tcPr>
            <w:tcW w:w="6972" w:type="dxa"/>
            <w:vAlign w:val="center"/>
          </w:tcPr>
          <w:p>
            <w:pPr>
              <w:adjustRightInd w:val="0"/>
              <w:rPr>
                <w:rFonts w:ascii="宋体" w:hAnsi="宋体" w:eastAsia="宋体"/>
                <w:color w:val="auto"/>
                <w:sz w:val="22"/>
                <w:szCs w:val="22"/>
              </w:rPr>
            </w:pPr>
            <w:r>
              <w:rPr>
                <w:rFonts w:ascii="宋体" w:hAnsi="宋体" w:eastAsia="宋体"/>
                <w:color w:val="auto"/>
                <w:sz w:val="22"/>
                <w:szCs w:val="22"/>
              </w:rPr>
              <w:t>支持OPC</w:t>
            </w:r>
            <w:r>
              <w:rPr>
                <w:rFonts w:hint="eastAsia" w:ascii="宋体" w:hAnsi="宋体" w:eastAsia="宋体"/>
                <w:color w:val="auto"/>
                <w:sz w:val="22"/>
                <w:szCs w:val="22"/>
              </w:rPr>
              <w:t>、</w:t>
            </w:r>
            <w:r>
              <w:rPr>
                <w:rFonts w:ascii="宋体" w:hAnsi="宋体" w:eastAsia="宋体"/>
                <w:color w:val="auto"/>
                <w:sz w:val="22"/>
                <w:szCs w:val="22"/>
              </w:rPr>
              <w:t>Moudbus</w:t>
            </w:r>
            <w:r>
              <w:rPr>
                <w:rFonts w:hint="eastAsia" w:ascii="宋体" w:hAnsi="宋体" w:eastAsia="宋体"/>
                <w:color w:val="auto"/>
                <w:sz w:val="22"/>
                <w:szCs w:val="22"/>
              </w:rPr>
              <w:t>、</w:t>
            </w:r>
            <w:r>
              <w:rPr>
                <w:rFonts w:ascii="宋体" w:hAnsi="宋体" w:eastAsia="宋体"/>
                <w:color w:val="auto"/>
                <w:sz w:val="22"/>
                <w:szCs w:val="22"/>
              </w:rPr>
              <w:t>DNP3</w:t>
            </w:r>
            <w:r>
              <w:rPr>
                <w:rFonts w:hint="eastAsia" w:ascii="宋体" w:hAnsi="宋体" w:eastAsia="宋体"/>
                <w:color w:val="auto"/>
                <w:sz w:val="22"/>
                <w:szCs w:val="22"/>
              </w:rPr>
              <w:t>、</w:t>
            </w:r>
            <w:r>
              <w:rPr>
                <w:rFonts w:ascii="宋体" w:hAnsi="宋体" w:eastAsia="宋体"/>
                <w:color w:val="auto"/>
                <w:sz w:val="22"/>
                <w:szCs w:val="22"/>
              </w:rPr>
              <w:t>IEC61850</w:t>
            </w:r>
            <w:r>
              <w:rPr>
                <w:rFonts w:hint="eastAsia" w:ascii="宋体" w:hAnsi="宋体" w:eastAsia="宋体"/>
                <w:color w:val="auto"/>
                <w:sz w:val="22"/>
                <w:szCs w:val="22"/>
              </w:rPr>
              <w:t>_MMS、</w:t>
            </w:r>
            <w:r>
              <w:rPr>
                <w:rFonts w:ascii="宋体" w:hAnsi="宋体" w:eastAsia="宋体"/>
                <w:color w:val="auto"/>
                <w:sz w:val="22"/>
                <w:szCs w:val="22"/>
              </w:rPr>
              <w:t>IEC104</w:t>
            </w:r>
            <w:r>
              <w:rPr>
                <w:rFonts w:hint="eastAsia" w:ascii="宋体" w:hAnsi="宋体" w:eastAsia="宋体"/>
                <w:color w:val="auto"/>
                <w:sz w:val="22"/>
                <w:szCs w:val="22"/>
              </w:rPr>
              <w:t>、</w:t>
            </w:r>
            <w:r>
              <w:rPr>
                <w:rFonts w:ascii="宋体" w:hAnsi="宋体" w:eastAsia="宋体"/>
                <w:color w:val="auto"/>
                <w:sz w:val="22"/>
                <w:szCs w:val="22"/>
              </w:rPr>
              <w:t>S7等工业控制协议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11" w:type="dxa"/>
            <w:vMerge w:val="restart"/>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工业控制应用</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★支持OPC协议。支持同步、异步监测数据的传输，只需绑定固定的一个起始端口即可满足动态端口的数据传输。可控制功能代码，比如只允许读取，不能写入等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★支持MODBUS协议，可按照用户需求控制具体功能代码，比如控制线圈、值域范围等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11" w:type="dxa"/>
            <w:vMerge w:val="continue"/>
            <w:shd w:val="clear" w:color="auto" w:fill="FFFFFF"/>
            <w:vAlign w:val="center"/>
          </w:tcPr>
          <w:p>
            <w:pPr>
              <w:adjustRightInd w:val="0"/>
              <w:rPr>
                <w:rFonts w:ascii="宋体" w:hAnsi="宋体" w:eastAsia="宋体"/>
                <w:color w:val="auto"/>
                <w:sz w:val="22"/>
                <w:szCs w:val="22"/>
              </w:rPr>
            </w:pP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★支持西门子的WINCC控制协议，可按照用户需求控制功能代码，比如只允许读取，不能控制等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自定义应用</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支持自定义的</w:t>
            </w:r>
            <w:r>
              <w:rPr>
                <w:rFonts w:ascii="宋体" w:hAnsi="宋体" w:eastAsia="宋体"/>
                <w:color w:val="auto"/>
                <w:sz w:val="22"/>
                <w:szCs w:val="22"/>
              </w:rPr>
              <w:t>TCP</w:t>
            </w:r>
            <w:r>
              <w:rPr>
                <w:rFonts w:hint="eastAsia" w:ascii="宋体" w:hAnsi="宋体" w:eastAsia="宋体"/>
                <w:color w:val="auto"/>
                <w:sz w:val="22"/>
                <w:szCs w:val="22"/>
              </w:rPr>
              <w:t>、</w:t>
            </w:r>
            <w:r>
              <w:rPr>
                <w:rFonts w:ascii="宋体" w:hAnsi="宋体" w:eastAsia="宋体"/>
                <w:color w:val="auto"/>
                <w:sz w:val="22"/>
                <w:szCs w:val="22"/>
              </w:rPr>
              <w:t>UDP</w:t>
            </w:r>
            <w:r>
              <w:rPr>
                <w:rFonts w:hint="eastAsia" w:ascii="宋体" w:hAnsi="宋体" w:eastAsia="宋体"/>
                <w:color w:val="auto"/>
                <w:sz w:val="22"/>
                <w:szCs w:val="22"/>
              </w:rPr>
              <w:t>协议的数据隔离交换，以用户定制的命令、参数等来限定隔离通道内的数据内容。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管理用户</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符合国家标准，采用三权分立设计。系统策略配置管理员、安全管理员与日志管理员三种角色，各用户只能维护操作本类管理功能与操作。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诊断工具</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系统提供ping、traceroute 、TCP端口探测、抓包等工具，方便管理员在配置策略或调整网络时排查问题。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安全管理</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支持HTTPS的Web方式管理，可实时监控CPU、内存、硬盘、网络流量等状态；实现了远程管理信息加密传输；支持命令行方式管理，可以通过命令方式进行资源分配、排错、查看日志、深层次管理。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日志审计</w:t>
            </w:r>
          </w:p>
        </w:tc>
        <w:tc>
          <w:tcPr>
            <w:tcW w:w="6972"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系统可存储和审计包含：系统日志；管理日志；网络活动日志；入侵报警及处理日志；访问控制日志。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双机热备</w:t>
            </w:r>
          </w:p>
        </w:tc>
        <w:tc>
          <w:tcPr>
            <w:tcW w:w="6972" w:type="dxa"/>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支持双机热备及多机热备功能，最大化的保障业务可用性。</w:t>
            </w:r>
          </w:p>
          <w:p>
            <w:pPr>
              <w:adjustRightInd w:val="0"/>
              <w:rPr>
                <w:rFonts w:ascii="宋体" w:hAnsi="宋体" w:eastAsia="宋体"/>
                <w:color w:val="auto"/>
                <w:sz w:val="22"/>
                <w:szCs w:val="22"/>
              </w:rPr>
            </w:pPr>
            <w:r>
              <w:rPr>
                <w:rFonts w:hint="eastAsia" w:ascii="宋体" w:hAnsi="宋体" w:eastAsia="宋体"/>
                <w:color w:val="auto"/>
                <w:sz w:val="22"/>
                <w:szCs w:val="22"/>
              </w:rPr>
              <w:t>支持配置同步，通过独立的热备端口实现双机热备。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11" w:type="dxa"/>
            <w:shd w:val="clear" w:color="auto" w:fill="FFFFFF"/>
            <w:vAlign w:val="center"/>
          </w:tcPr>
          <w:p>
            <w:pPr>
              <w:adjustRightInd w:val="0"/>
              <w:rPr>
                <w:rFonts w:ascii="宋体" w:hAnsi="宋体" w:eastAsia="宋体"/>
                <w:color w:val="auto"/>
                <w:sz w:val="22"/>
                <w:szCs w:val="22"/>
              </w:rPr>
            </w:pPr>
            <w:r>
              <w:rPr>
                <w:rFonts w:hint="eastAsia" w:ascii="宋体" w:hAnsi="宋体" w:eastAsia="宋体"/>
                <w:color w:val="auto"/>
                <w:sz w:val="22"/>
                <w:szCs w:val="22"/>
              </w:rPr>
              <w:t>资质证书</w:t>
            </w:r>
          </w:p>
        </w:tc>
        <w:tc>
          <w:tcPr>
            <w:tcW w:w="6972" w:type="dxa"/>
          </w:tcPr>
          <w:p>
            <w:pPr>
              <w:adjustRightInd w:val="0"/>
              <w:rPr>
                <w:rFonts w:ascii="宋体" w:hAnsi="宋体" w:eastAsia="宋体"/>
                <w:color w:val="auto"/>
                <w:sz w:val="22"/>
                <w:szCs w:val="22"/>
              </w:rPr>
            </w:pPr>
            <w:r>
              <w:rPr>
                <w:rFonts w:hint="eastAsia" w:ascii="宋体" w:hAnsi="宋体" w:eastAsia="宋体"/>
                <w:color w:val="auto"/>
                <w:sz w:val="22"/>
                <w:szCs w:val="22"/>
              </w:rPr>
              <w:t>1.</w:t>
            </w:r>
            <w:r>
              <w:rPr>
                <w:rFonts w:ascii="宋体" w:hAnsi="宋体" w:eastAsia="宋体"/>
                <w:color w:val="auto"/>
                <w:sz w:val="22"/>
                <w:szCs w:val="22"/>
              </w:rPr>
              <w:t xml:space="preserve"> </w:t>
            </w:r>
            <w:r>
              <w:rPr>
                <w:rFonts w:hint="eastAsia" w:ascii="宋体" w:hAnsi="宋体" w:eastAsia="宋体"/>
                <w:color w:val="auto"/>
                <w:sz w:val="22"/>
                <w:szCs w:val="22"/>
              </w:rPr>
              <w:t>公安部计算机信息系统安全专用产品销售许可证；</w:t>
            </w:r>
          </w:p>
          <w:p>
            <w:pPr>
              <w:adjustRightInd w:val="0"/>
              <w:rPr>
                <w:rFonts w:ascii="宋体" w:hAnsi="宋体" w:eastAsia="宋体"/>
                <w:color w:val="auto"/>
                <w:sz w:val="22"/>
                <w:szCs w:val="22"/>
              </w:rPr>
            </w:pPr>
            <w:r>
              <w:rPr>
                <w:rFonts w:hint="eastAsia" w:ascii="宋体" w:hAnsi="宋体" w:eastAsia="宋体"/>
                <w:color w:val="auto"/>
                <w:sz w:val="22"/>
                <w:szCs w:val="22"/>
              </w:rPr>
              <w:t>2.</w:t>
            </w:r>
            <w:r>
              <w:rPr>
                <w:rFonts w:ascii="宋体" w:hAnsi="宋体" w:eastAsia="宋体"/>
                <w:color w:val="auto"/>
                <w:sz w:val="22"/>
                <w:szCs w:val="22"/>
              </w:rPr>
              <w:t xml:space="preserve"> </w:t>
            </w:r>
            <w:r>
              <w:rPr>
                <w:rFonts w:hint="eastAsia" w:ascii="宋体" w:hAnsi="宋体" w:eastAsia="宋体"/>
                <w:color w:val="auto"/>
                <w:sz w:val="22"/>
                <w:szCs w:val="22"/>
              </w:rPr>
              <w:t>计算机软件著作权证书；</w:t>
            </w:r>
          </w:p>
        </w:tc>
      </w:tr>
      <w:bookmarkEnd w:id="3"/>
    </w:tbl>
    <w:p>
      <w:pPr>
        <w:pStyle w:val="37"/>
        <w:rPr>
          <w:rFonts w:ascii="宋体" w:hAnsi="宋体" w:eastAsia="宋体" w:cs="宋体"/>
          <w:b/>
          <w:bCs/>
          <w:color w:val="auto"/>
          <w:sz w:val="24"/>
          <w:szCs w:val="24"/>
        </w:rPr>
      </w:pPr>
    </w:p>
    <w:p>
      <w:pPr>
        <w:rPr>
          <w:rFonts w:ascii="宋体" w:hAnsi="宋体" w:eastAsia="宋体" w:cs="宋体"/>
          <w:b/>
          <w:bCs/>
          <w:color w:val="auto"/>
          <w:sz w:val="24"/>
          <w:u w:color="000000"/>
        </w:rPr>
      </w:pPr>
      <w:r>
        <w:rPr>
          <w:rFonts w:hint="eastAsia" w:ascii="宋体" w:hAnsi="宋体" w:eastAsia="宋体" w:cs="宋体"/>
          <w:b/>
          <w:bCs/>
          <w:color w:val="auto"/>
          <w:sz w:val="24"/>
        </w:rPr>
        <w:t>8、</w:t>
      </w:r>
      <w:r>
        <w:rPr>
          <w:rFonts w:hint="eastAsia" w:ascii="宋体" w:hAnsi="宋体" w:eastAsia="宋体" w:cs="宋体"/>
          <w:b/>
          <w:bCs/>
          <w:color w:val="auto"/>
          <w:sz w:val="24"/>
          <w:u w:color="000000"/>
        </w:rPr>
        <w:t>工控安全审计系统参数</w:t>
      </w:r>
    </w:p>
    <w:tbl>
      <w:tblPr>
        <w:tblStyle w:val="1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ascii="宋体" w:hAnsi="宋体" w:eastAsia="宋体" w:cs="宋体"/>
                <w:b/>
                <w:sz w:val="22"/>
              </w:rPr>
            </w:pPr>
            <w:r>
              <w:rPr>
                <w:rFonts w:hint="eastAsia" w:ascii="宋体" w:hAnsi="宋体" w:eastAsia="宋体" w:cs="宋体"/>
                <w:b/>
                <w:sz w:val="22"/>
              </w:rPr>
              <w:t>指标项</w:t>
            </w:r>
          </w:p>
        </w:tc>
        <w:tc>
          <w:tcPr>
            <w:tcW w:w="7234" w:type="dxa"/>
            <w:gridSpan w:val="2"/>
            <w:vAlign w:val="center"/>
          </w:tcPr>
          <w:p>
            <w:pPr>
              <w:jc w:val="center"/>
              <w:rPr>
                <w:rFonts w:ascii="宋体" w:hAnsi="宋体" w:eastAsia="宋体" w:cs="宋体"/>
                <w:b/>
                <w:sz w:val="22"/>
              </w:rPr>
            </w:pPr>
            <w:r>
              <w:rPr>
                <w:rFonts w:hint="eastAsia" w:ascii="宋体" w:hAnsi="宋体" w:eastAsia="宋体" w:cs="宋体"/>
                <w:b/>
                <w:sz w:val="22"/>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rPr>
                <w:rFonts w:ascii="宋体" w:hAnsi="宋体" w:eastAsia="宋体" w:cs="宋体"/>
                <w:sz w:val="22"/>
              </w:rPr>
            </w:pPr>
            <w:r>
              <w:rPr>
                <w:rFonts w:hint="eastAsia" w:ascii="宋体" w:hAnsi="宋体" w:eastAsia="宋体" w:cs="宋体"/>
                <w:sz w:val="22"/>
              </w:rPr>
              <w:t>硬件指标</w:t>
            </w:r>
          </w:p>
        </w:tc>
        <w:tc>
          <w:tcPr>
            <w:tcW w:w="7234" w:type="dxa"/>
            <w:gridSpan w:val="2"/>
            <w:vAlign w:val="center"/>
          </w:tcPr>
          <w:p>
            <w:pPr>
              <w:rPr>
                <w:rFonts w:ascii="宋体" w:hAnsi="宋体" w:eastAsia="宋体" w:cs="宋体"/>
                <w:sz w:val="22"/>
              </w:rPr>
            </w:pPr>
            <w:r>
              <w:rPr>
                <w:rFonts w:hint="eastAsia" w:ascii="宋体" w:hAnsi="宋体" w:eastAsia="宋体" w:cs="宋体"/>
                <w:sz w:val="22"/>
              </w:rPr>
              <w:t>标准机架式安装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29" w:type="dxa"/>
            <w:vMerge w:val="continue"/>
            <w:vAlign w:val="center"/>
          </w:tcPr>
          <w:p>
            <w:pPr>
              <w:rPr>
                <w:rFonts w:ascii="宋体" w:hAnsi="宋体" w:eastAsia="宋体" w:cs="宋体"/>
                <w:sz w:val="22"/>
              </w:rPr>
            </w:pPr>
          </w:p>
        </w:tc>
        <w:tc>
          <w:tcPr>
            <w:tcW w:w="7234" w:type="dxa"/>
            <w:gridSpan w:val="2"/>
            <w:vAlign w:val="center"/>
          </w:tcPr>
          <w:p>
            <w:pPr>
              <w:rPr>
                <w:rFonts w:ascii="宋体" w:hAnsi="宋体" w:eastAsia="宋体" w:cs="宋体"/>
                <w:sz w:val="22"/>
              </w:rPr>
            </w:pPr>
            <w:r>
              <w:rPr>
                <w:rFonts w:hint="eastAsia" w:ascii="宋体" w:hAnsi="宋体" w:eastAsia="宋体" w:cs="宋体"/>
                <w:sz w:val="22"/>
              </w:rPr>
              <w:t>至少配备4个千兆电口、1个管理口。最大可扩展为</w:t>
            </w:r>
            <w:r>
              <w:rPr>
                <w:rFonts w:ascii="宋体" w:hAnsi="宋体" w:eastAsia="宋体" w:cs="宋体"/>
                <w:sz w:val="22"/>
              </w:rPr>
              <w:t>20个千兆电口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7234" w:type="dxa"/>
            <w:gridSpan w:val="2"/>
            <w:vAlign w:val="center"/>
          </w:tcPr>
          <w:p>
            <w:pPr>
              <w:rPr>
                <w:rFonts w:ascii="宋体" w:hAnsi="宋体" w:eastAsia="宋体" w:cs="宋体"/>
                <w:sz w:val="22"/>
              </w:rPr>
            </w:pPr>
            <w:r>
              <w:rPr>
                <w:rFonts w:hint="eastAsia" w:ascii="宋体" w:hAnsi="宋体" w:eastAsia="宋体" w:cs="宋体"/>
                <w:sz w:val="22"/>
              </w:rPr>
              <w:t>工作温度：-40℃～85℃，防护等级≥IP20；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vAlign w:val="center"/>
          </w:tcPr>
          <w:p>
            <w:pPr>
              <w:rPr>
                <w:rFonts w:ascii="宋体" w:hAnsi="宋体" w:eastAsia="宋体" w:cs="宋体"/>
                <w:sz w:val="22"/>
              </w:rPr>
            </w:pPr>
            <w:r>
              <w:rPr>
                <w:rFonts w:hint="eastAsia" w:ascii="宋体" w:hAnsi="宋体" w:eastAsia="宋体" w:cs="宋体"/>
                <w:sz w:val="22"/>
              </w:rPr>
              <w:t>性能指标</w:t>
            </w:r>
          </w:p>
        </w:tc>
        <w:tc>
          <w:tcPr>
            <w:tcW w:w="7234" w:type="dxa"/>
            <w:gridSpan w:val="2"/>
            <w:vAlign w:val="center"/>
          </w:tcPr>
          <w:p>
            <w:pPr>
              <w:rPr>
                <w:rFonts w:ascii="宋体" w:hAnsi="宋体" w:eastAsia="宋体" w:cs="宋体"/>
                <w:sz w:val="22"/>
              </w:rPr>
            </w:pPr>
            <w:r>
              <w:rPr>
                <w:rFonts w:hint="eastAsia" w:ascii="宋体" w:hAnsi="宋体" w:eastAsia="宋体" w:cs="宋体"/>
                <w:sz w:val="22"/>
              </w:rPr>
              <w:t>能够自定义审计数据的存储位置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7234" w:type="dxa"/>
            <w:gridSpan w:val="2"/>
            <w:vAlign w:val="center"/>
          </w:tcPr>
          <w:p>
            <w:pPr>
              <w:rPr>
                <w:rFonts w:ascii="宋体" w:hAnsi="宋体" w:eastAsia="宋体" w:cs="宋体"/>
                <w:sz w:val="22"/>
              </w:rPr>
            </w:pPr>
            <w:r>
              <w:rPr>
                <w:rFonts w:hint="eastAsia" w:ascii="宋体" w:hAnsi="宋体" w:eastAsia="宋体" w:cs="宋体"/>
                <w:sz w:val="22"/>
                <w:shd w:val="clear" w:color="auto" w:fill="FFFFFF"/>
              </w:rPr>
              <w:t>网络安全日志留存的时长不少于六个月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vAlign w:val="center"/>
          </w:tcPr>
          <w:p>
            <w:pPr>
              <w:rPr>
                <w:rFonts w:ascii="宋体" w:hAnsi="宋体" w:eastAsia="宋体" w:cs="宋体"/>
                <w:sz w:val="22"/>
              </w:rPr>
            </w:pPr>
            <w:r>
              <w:rPr>
                <w:rFonts w:hint="eastAsia" w:ascii="宋体" w:hAnsi="宋体" w:eastAsia="宋体" w:cs="宋体"/>
                <w:sz w:val="22"/>
              </w:rPr>
              <w:t>软件功能</w:t>
            </w:r>
          </w:p>
        </w:tc>
        <w:tc>
          <w:tcPr>
            <w:tcW w:w="1134" w:type="dxa"/>
            <w:vAlign w:val="center"/>
          </w:tcPr>
          <w:p>
            <w:pPr>
              <w:contextualSpacing/>
              <w:rPr>
                <w:rFonts w:ascii="宋体" w:hAnsi="宋体" w:eastAsia="宋体" w:cs="宋体"/>
                <w:sz w:val="22"/>
              </w:rPr>
            </w:pPr>
            <w:r>
              <w:rPr>
                <w:rFonts w:hint="eastAsia" w:ascii="宋体" w:hAnsi="宋体" w:eastAsia="宋体" w:cs="宋体"/>
                <w:sz w:val="22"/>
              </w:rPr>
              <w:t>部署模式</w:t>
            </w:r>
          </w:p>
        </w:tc>
        <w:tc>
          <w:tcPr>
            <w:tcW w:w="6100" w:type="dxa"/>
            <w:vAlign w:val="center"/>
          </w:tcPr>
          <w:p>
            <w:pPr>
              <w:rPr>
                <w:rFonts w:ascii="宋体" w:hAnsi="宋体" w:eastAsia="宋体" w:cs="宋体"/>
                <w:sz w:val="22"/>
              </w:rPr>
            </w:pPr>
            <w:r>
              <w:rPr>
                <w:rFonts w:hint="eastAsia" w:ascii="宋体" w:hAnsi="宋体" w:eastAsia="宋体" w:cs="宋体"/>
                <w:sz w:val="22"/>
              </w:rPr>
              <w:t>旁路工作模式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contextualSpacing/>
              <w:rPr>
                <w:rFonts w:ascii="宋体" w:hAnsi="宋体" w:eastAsia="宋体" w:cs="宋体"/>
                <w:sz w:val="22"/>
              </w:rPr>
            </w:pPr>
            <w:r>
              <w:rPr>
                <w:rFonts w:hint="eastAsia" w:ascii="宋体" w:hAnsi="宋体" w:eastAsia="宋体" w:cs="宋体"/>
                <w:sz w:val="22"/>
              </w:rPr>
              <w:t>管理模式</w:t>
            </w:r>
          </w:p>
        </w:tc>
        <w:tc>
          <w:tcPr>
            <w:tcW w:w="6100" w:type="dxa"/>
            <w:vAlign w:val="center"/>
          </w:tcPr>
          <w:p>
            <w:pPr>
              <w:rPr>
                <w:rFonts w:ascii="宋体" w:hAnsi="宋体" w:eastAsia="宋体" w:cs="宋体"/>
                <w:sz w:val="22"/>
              </w:rPr>
            </w:pPr>
            <w:r>
              <w:rPr>
                <w:rFonts w:hint="eastAsia" w:ascii="宋体" w:hAnsi="宋体" w:eastAsia="宋体" w:cs="宋体"/>
                <w:sz w:val="22"/>
              </w:rPr>
              <w:t>支持自管理部署，集中管理部署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restart"/>
            <w:vAlign w:val="center"/>
          </w:tcPr>
          <w:p>
            <w:pPr>
              <w:contextualSpacing/>
              <w:rPr>
                <w:rFonts w:ascii="宋体" w:hAnsi="宋体" w:eastAsia="宋体" w:cs="宋体"/>
                <w:sz w:val="22"/>
              </w:rPr>
            </w:pPr>
            <w:r>
              <w:rPr>
                <w:rFonts w:hint="eastAsia" w:ascii="宋体" w:hAnsi="宋体" w:eastAsia="宋体" w:cs="宋体"/>
                <w:sz w:val="22"/>
              </w:rPr>
              <w:t>安全事件</w:t>
            </w:r>
          </w:p>
        </w:tc>
        <w:tc>
          <w:tcPr>
            <w:tcW w:w="6100" w:type="dxa"/>
            <w:vAlign w:val="center"/>
          </w:tcPr>
          <w:p>
            <w:pPr>
              <w:rPr>
                <w:rFonts w:ascii="宋体" w:hAnsi="宋体" w:eastAsia="宋体" w:cs="宋体"/>
                <w:sz w:val="22"/>
              </w:rPr>
            </w:pPr>
            <w:r>
              <w:rPr>
                <w:rFonts w:hint="eastAsia" w:ascii="宋体" w:hAnsi="宋体" w:eastAsia="宋体" w:cs="宋体"/>
                <w:sz w:val="22"/>
              </w:rPr>
              <w:t>支持策略安全事件（包括黑名单、白名单、IPMAC、会话连接事件）、规约告警事件、系统事件告警或记录。</w:t>
            </w:r>
          </w:p>
          <w:p>
            <w:pPr>
              <w:rPr>
                <w:rFonts w:ascii="宋体" w:hAnsi="宋体" w:eastAsia="宋体" w:cs="宋体"/>
                <w:sz w:val="22"/>
              </w:rPr>
            </w:pPr>
            <w:r>
              <w:rPr>
                <w:rFonts w:hint="eastAsia" w:ascii="宋体" w:hAnsi="宋体" w:eastAsia="宋体" w:cs="宋体"/>
                <w:sz w:val="22"/>
              </w:rPr>
              <w:t>支持策略安全事件、规约告警事件、系统事件统计，关键事件统计分析，提供图形可视化的展示分析功能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rPr>
                <w:rFonts w:ascii="宋体" w:hAnsi="宋体" w:eastAsia="宋体" w:cs="宋体"/>
                <w:sz w:val="22"/>
              </w:rPr>
            </w:pPr>
          </w:p>
        </w:tc>
        <w:tc>
          <w:tcPr>
            <w:tcW w:w="6100" w:type="dxa"/>
            <w:vAlign w:val="center"/>
          </w:tcPr>
          <w:p>
            <w:pPr>
              <w:rPr>
                <w:rFonts w:ascii="宋体" w:hAnsi="宋体" w:eastAsia="宋体" w:cs="宋体"/>
                <w:sz w:val="22"/>
              </w:rPr>
            </w:pPr>
            <w:r>
              <w:rPr>
                <w:rFonts w:hint="eastAsia" w:ascii="宋体" w:hAnsi="宋体" w:eastAsia="宋体" w:cs="宋体"/>
                <w:sz w:val="22"/>
              </w:rPr>
              <w:t>能够显示系统本身所发生的事件，例如:添加/删除规则，及设备端口状态等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rPr>
                <w:rFonts w:ascii="宋体" w:hAnsi="宋体" w:eastAsia="宋体" w:cs="宋体"/>
                <w:sz w:val="22"/>
              </w:rPr>
            </w:pPr>
          </w:p>
        </w:tc>
        <w:tc>
          <w:tcPr>
            <w:tcW w:w="6100" w:type="dxa"/>
            <w:vAlign w:val="center"/>
          </w:tcPr>
          <w:p>
            <w:pPr>
              <w:rPr>
                <w:rFonts w:ascii="宋体" w:hAnsi="宋体" w:eastAsia="宋体" w:cs="宋体"/>
                <w:sz w:val="22"/>
              </w:rPr>
            </w:pPr>
            <w:r>
              <w:rPr>
                <w:rFonts w:hint="eastAsia" w:ascii="宋体" w:hAnsi="宋体" w:eastAsia="宋体" w:cs="宋体"/>
                <w:sz w:val="22"/>
              </w:rPr>
              <w:t>支持规约告记录警功能，即能对网络流量中不符合协议规约数据包进行告警记录。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rPr>
                <w:rFonts w:ascii="宋体" w:hAnsi="宋体" w:eastAsia="宋体" w:cs="宋体"/>
                <w:sz w:val="22"/>
              </w:rPr>
            </w:pPr>
          </w:p>
        </w:tc>
        <w:tc>
          <w:tcPr>
            <w:tcW w:w="6100" w:type="dxa"/>
            <w:vAlign w:val="center"/>
          </w:tcPr>
          <w:p>
            <w:pPr>
              <w:rPr>
                <w:rFonts w:ascii="宋体" w:hAnsi="宋体" w:eastAsia="宋体" w:cs="宋体"/>
                <w:sz w:val="22"/>
              </w:rPr>
            </w:pPr>
            <w:r>
              <w:rPr>
                <w:rFonts w:hint="eastAsia" w:ascii="宋体" w:hAnsi="宋体" w:eastAsia="宋体" w:cs="宋体"/>
                <w:sz w:val="22"/>
              </w:rPr>
              <w:t>支持关键事件告警记录功能：即能对对工控系统中一些关键操作的指令进行识别并进行告警记录。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rPr>
                <w:rFonts w:ascii="宋体" w:hAnsi="宋体" w:eastAsia="宋体" w:cs="宋体"/>
                <w:sz w:val="22"/>
              </w:rPr>
            </w:pPr>
          </w:p>
        </w:tc>
        <w:tc>
          <w:tcPr>
            <w:tcW w:w="6100" w:type="dxa"/>
            <w:vAlign w:val="center"/>
          </w:tcPr>
          <w:p>
            <w:pPr>
              <w:rPr>
                <w:rFonts w:hint="eastAsia" w:ascii="宋体" w:hAnsi="宋体" w:eastAsia="宋体" w:cs="宋体"/>
                <w:sz w:val="22"/>
              </w:rPr>
            </w:pPr>
            <w:r>
              <w:rPr>
                <w:rFonts w:hint="eastAsia" w:ascii="宋体" w:hAnsi="宋体" w:eastAsia="宋体" w:cs="宋体"/>
                <w:sz w:val="22"/>
              </w:rPr>
              <w:t>能够显示当前工控系统中触发安全规则所所产生的安全事件信息。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rPr>
                <w:rFonts w:ascii="宋体" w:hAnsi="宋体" w:eastAsia="宋体" w:cs="宋体"/>
                <w:sz w:val="22"/>
              </w:rPr>
            </w:pPr>
            <w:r>
              <w:rPr>
                <w:rFonts w:hint="eastAsia" w:ascii="宋体" w:hAnsi="宋体" w:eastAsia="宋体" w:cs="宋体"/>
                <w:sz w:val="22"/>
              </w:rPr>
              <w:t>会话审计</w:t>
            </w:r>
          </w:p>
        </w:tc>
        <w:tc>
          <w:tcPr>
            <w:tcW w:w="6100" w:type="dxa"/>
            <w:vAlign w:val="center"/>
          </w:tcPr>
          <w:p>
            <w:pPr>
              <w:rPr>
                <w:rFonts w:ascii="宋体" w:hAnsi="宋体" w:eastAsia="宋体" w:cs="宋体"/>
                <w:sz w:val="22"/>
              </w:rPr>
            </w:pPr>
            <w:r>
              <w:rPr>
                <w:rFonts w:hint="eastAsia" w:ascii="宋体" w:hAnsi="宋体" w:eastAsia="宋体" w:cs="宋体"/>
                <w:sz w:val="22"/>
              </w:rPr>
              <w:t>★支持对网络数据报文基于IP地址，协议，端口号等元素的会话安全审计</w:t>
            </w:r>
          </w:p>
          <w:p>
            <w:pPr>
              <w:rPr>
                <w:rFonts w:hint="eastAsia" w:ascii="宋体" w:hAnsi="宋体" w:eastAsia="宋体" w:cs="宋体"/>
                <w:sz w:val="22"/>
                <w:szCs w:val="22"/>
              </w:rPr>
            </w:pPr>
            <w:r>
              <w:rPr>
                <w:rFonts w:hint="eastAsia" w:ascii="宋体" w:hAnsi="宋体" w:eastAsia="宋体" w:cs="宋体"/>
                <w:sz w:val="22"/>
              </w:rPr>
              <w:t>★</w:t>
            </w:r>
            <w:r>
              <w:rPr>
                <w:rFonts w:hint="eastAsia" w:ascii="宋体" w:hAnsi="宋体" w:eastAsia="宋体" w:cs="宋体"/>
                <w:sz w:val="22"/>
                <w:szCs w:val="22"/>
              </w:rPr>
              <w:t>支持</w:t>
            </w:r>
            <w:r>
              <w:rPr>
                <w:rFonts w:ascii="宋体" w:hAnsi="宋体" w:eastAsia="宋体"/>
                <w:sz w:val="22"/>
                <w:szCs w:val="22"/>
              </w:rPr>
              <w:t>登录日志记录了用户的登录操作，点击“过滤条件”可以根据开始 时间、结束时间、ip、登录状态、用户、原因来对登录日志进行过滤查看。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restart"/>
            <w:vAlign w:val="center"/>
          </w:tcPr>
          <w:p>
            <w:pPr>
              <w:rPr>
                <w:rFonts w:ascii="宋体" w:hAnsi="宋体" w:eastAsia="宋体" w:cs="宋体"/>
                <w:sz w:val="22"/>
              </w:rPr>
            </w:pPr>
            <w:r>
              <w:rPr>
                <w:rFonts w:hint="eastAsia" w:ascii="宋体" w:hAnsi="宋体" w:eastAsia="宋体" w:cs="宋体"/>
                <w:sz w:val="22"/>
              </w:rPr>
              <w:t>工控协议白名单审计</w:t>
            </w:r>
          </w:p>
        </w:tc>
        <w:tc>
          <w:tcPr>
            <w:tcW w:w="6100" w:type="dxa"/>
            <w:vAlign w:val="center"/>
          </w:tcPr>
          <w:p>
            <w:pPr>
              <w:rPr>
                <w:rFonts w:ascii="宋体" w:hAnsi="宋体" w:eastAsia="宋体" w:cs="宋体"/>
                <w:sz w:val="22"/>
              </w:rPr>
            </w:pPr>
            <w:r>
              <w:rPr>
                <w:rFonts w:hint="eastAsia" w:ascii="宋体" w:hAnsi="宋体" w:eastAsia="宋体" w:cs="宋体"/>
                <w:sz w:val="22"/>
              </w:rPr>
              <w:t>支持工控协议的深度解析功能，支持基于机器学习方式自动记录并梳理工控协议中的操作行为规律，并通过这些行为和规则逐步形成白名单防护规则，支持规则的处理动作批量配置。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contextualSpacing/>
              <w:rPr>
                <w:rFonts w:ascii="宋体" w:hAnsi="宋体" w:eastAsia="宋体" w:cs="宋体"/>
                <w:sz w:val="22"/>
              </w:rPr>
            </w:pPr>
          </w:p>
        </w:tc>
        <w:tc>
          <w:tcPr>
            <w:tcW w:w="6100" w:type="dxa"/>
            <w:vAlign w:val="center"/>
          </w:tcPr>
          <w:p>
            <w:pPr>
              <w:rPr>
                <w:rFonts w:ascii="宋体" w:hAnsi="宋体" w:eastAsia="宋体" w:cs="宋体"/>
                <w:sz w:val="22"/>
              </w:rPr>
            </w:pPr>
            <w:r>
              <w:rPr>
                <w:rFonts w:hint="eastAsia" w:ascii="宋体" w:hAnsi="宋体" w:eastAsia="宋体" w:cs="宋体"/>
                <w:sz w:val="22"/>
              </w:rPr>
              <w:t>支持工控协议自定义规则并形成安全策略，对不符合安全策略的数据包进行报警。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restart"/>
            <w:vAlign w:val="center"/>
          </w:tcPr>
          <w:p>
            <w:pPr>
              <w:contextualSpacing/>
              <w:rPr>
                <w:rFonts w:ascii="宋体" w:hAnsi="宋体" w:eastAsia="宋体" w:cs="宋体"/>
                <w:sz w:val="22"/>
              </w:rPr>
            </w:pPr>
            <w:r>
              <w:rPr>
                <w:rFonts w:hint="eastAsia" w:ascii="宋体" w:hAnsi="宋体" w:eastAsia="宋体" w:cs="宋体"/>
                <w:sz w:val="22"/>
              </w:rPr>
              <w:t>工业协议支持</w:t>
            </w:r>
          </w:p>
        </w:tc>
        <w:tc>
          <w:tcPr>
            <w:tcW w:w="6100" w:type="dxa"/>
            <w:vAlign w:val="center"/>
          </w:tcPr>
          <w:p>
            <w:pPr>
              <w:rPr>
                <w:rFonts w:ascii="宋体" w:hAnsi="宋体" w:eastAsia="宋体" w:cs="宋体"/>
                <w:sz w:val="22"/>
              </w:rPr>
            </w:pPr>
            <w:r>
              <w:rPr>
                <w:rFonts w:hint="eastAsia" w:ascii="宋体" w:hAnsi="宋体" w:eastAsia="宋体" w:cs="宋体"/>
                <w:sz w:val="22"/>
              </w:rPr>
              <w:t>支持工控协议的深度解析不少于20种（包括但不限于OPC Classic，OPC UA,Modbus TCP，Modbus UDP，Siemens S7，Ethernet/IP(CIP)，IEC104，DNP3，MMS，Profinet,PNRTDCP,GOOSE,SV,ENIPTC P，ENIPUDP,BacNet，853，Omron Fins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contextualSpacing/>
              <w:rPr>
                <w:rFonts w:ascii="宋体" w:hAnsi="宋体" w:eastAsia="宋体" w:cs="宋体"/>
                <w:sz w:val="22"/>
              </w:rPr>
            </w:pPr>
          </w:p>
        </w:tc>
        <w:tc>
          <w:tcPr>
            <w:tcW w:w="6100" w:type="dxa"/>
            <w:vAlign w:val="center"/>
          </w:tcPr>
          <w:p>
            <w:pPr>
              <w:rPr>
                <w:rFonts w:ascii="宋体" w:hAnsi="宋体" w:eastAsia="宋体" w:cs="宋体"/>
                <w:sz w:val="22"/>
              </w:rPr>
            </w:pPr>
            <w:r>
              <w:rPr>
                <w:rFonts w:hint="eastAsia" w:ascii="宋体" w:hAnsi="宋体" w:eastAsia="宋体" w:cs="宋体"/>
                <w:sz w:val="22"/>
              </w:rPr>
              <w:t>支持对工控协议的指令级审计，能够对应用层报报文字段类型、功能码、数据内容进行解析。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contextualSpacing/>
              <w:rPr>
                <w:rFonts w:ascii="宋体" w:hAnsi="宋体" w:eastAsia="宋体" w:cs="宋体"/>
                <w:sz w:val="22"/>
              </w:rPr>
            </w:pPr>
            <w:r>
              <w:rPr>
                <w:rFonts w:hint="eastAsia" w:ascii="宋体" w:hAnsi="宋体" w:eastAsia="宋体" w:cs="宋体"/>
                <w:sz w:val="22"/>
              </w:rPr>
              <w:t>工控威胁特征库</w:t>
            </w:r>
          </w:p>
        </w:tc>
        <w:tc>
          <w:tcPr>
            <w:tcW w:w="6100" w:type="dxa"/>
            <w:vAlign w:val="center"/>
          </w:tcPr>
          <w:p>
            <w:pPr>
              <w:rPr>
                <w:rFonts w:ascii="宋体" w:hAnsi="宋体" w:eastAsia="宋体" w:cs="宋体"/>
                <w:sz w:val="22"/>
              </w:rPr>
            </w:pPr>
            <w:r>
              <w:rPr>
                <w:rFonts w:hint="eastAsia" w:ascii="宋体" w:hAnsi="宋体" w:eastAsia="宋体" w:cs="宋体"/>
                <w:sz w:val="22"/>
              </w:rPr>
              <w:t>内置威胁特征库不少于1200个，对网络中的入侵攻击进行实时告警及记录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contextualSpacing/>
              <w:rPr>
                <w:rFonts w:ascii="宋体" w:hAnsi="宋体" w:eastAsia="宋体" w:cs="宋体"/>
                <w:sz w:val="22"/>
              </w:rPr>
            </w:pPr>
            <w:r>
              <w:rPr>
                <w:rFonts w:hint="eastAsia" w:ascii="宋体" w:hAnsi="宋体" w:eastAsia="宋体" w:cs="宋体"/>
                <w:sz w:val="22"/>
              </w:rPr>
              <w:t>未知设备接入检测</w:t>
            </w:r>
          </w:p>
        </w:tc>
        <w:tc>
          <w:tcPr>
            <w:tcW w:w="6100" w:type="dxa"/>
            <w:vAlign w:val="center"/>
          </w:tcPr>
          <w:p>
            <w:pPr>
              <w:rPr>
                <w:rFonts w:ascii="宋体" w:hAnsi="宋体" w:eastAsia="宋体" w:cs="宋体"/>
                <w:sz w:val="22"/>
              </w:rPr>
            </w:pPr>
            <w:r>
              <w:rPr>
                <w:rFonts w:hint="eastAsia" w:ascii="宋体" w:hAnsi="宋体" w:eastAsia="宋体" w:cs="宋体"/>
                <w:sz w:val="22"/>
              </w:rPr>
              <w:t>★根据网络流量主动学习IPMAC地址，也可以主动添加IPMAC地址组，检测IP地址是否被盗用，对未知接入设备进行监控告警【提供功能截图</w:t>
            </w:r>
            <w:r>
              <w:rPr>
                <w:rFonts w:hint="eastAsia" w:ascii="宋体" w:hAnsi="宋体" w:eastAsia="宋体" w:cs="宋体"/>
                <w:sz w:val="22"/>
                <w:szCs w:val="22"/>
              </w:rPr>
              <w:t>，报价时以PDF格式上传</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contextualSpacing/>
              <w:rPr>
                <w:rFonts w:ascii="宋体" w:hAnsi="宋体" w:eastAsia="宋体" w:cs="宋体"/>
                <w:sz w:val="22"/>
              </w:rPr>
            </w:pPr>
            <w:r>
              <w:rPr>
                <w:rFonts w:hint="eastAsia" w:ascii="宋体" w:hAnsi="宋体" w:eastAsia="宋体" w:cs="宋体"/>
                <w:sz w:val="22"/>
              </w:rPr>
              <w:t>协议分析</w:t>
            </w:r>
          </w:p>
        </w:tc>
        <w:tc>
          <w:tcPr>
            <w:tcW w:w="6100" w:type="dxa"/>
            <w:vAlign w:val="center"/>
          </w:tcPr>
          <w:p>
            <w:pPr>
              <w:rPr>
                <w:rFonts w:ascii="宋体" w:hAnsi="宋体" w:eastAsia="宋体" w:cs="宋体"/>
                <w:sz w:val="22"/>
              </w:rPr>
            </w:pPr>
            <w:r>
              <w:rPr>
                <w:rFonts w:hint="eastAsia" w:ascii="宋体" w:hAnsi="宋体" w:eastAsia="宋体" w:cs="宋体"/>
                <w:sz w:val="22"/>
              </w:rPr>
              <w:t>支持对监测到的数据进行实时分析，显示源IP地址、源MAC地址、源端口、目的IP地址、目的MAC地址、目的端口、抓取时间、协议类型及对其搜索，支持协议要包含http、ftp、pop3、smtp、telnet、snmp、OPC Classic，OPC UA,Modbus TCP，Modbus UDP，Siemens S7，Ethernet/IP(CIP)，IEC104，DNP3，MMS，Profinet,PNRTDCP,GOOSE,SV,ENIPTCP，ENIPUDP,BacNet，853，Omron Fins等。可以查看监测数据的PDU类型、操作类型、数据类型等。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contextualSpacing/>
              <w:rPr>
                <w:rFonts w:ascii="宋体" w:hAnsi="宋体" w:eastAsia="宋体" w:cs="宋体"/>
                <w:sz w:val="22"/>
              </w:rPr>
            </w:pPr>
            <w:r>
              <w:rPr>
                <w:rFonts w:hint="eastAsia" w:ascii="宋体" w:hAnsi="宋体" w:eastAsia="宋体" w:cs="宋体"/>
                <w:sz w:val="22"/>
              </w:rPr>
              <w:t>无流量监测</w:t>
            </w:r>
          </w:p>
        </w:tc>
        <w:tc>
          <w:tcPr>
            <w:tcW w:w="6100" w:type="dxa"/>
            <w:vAlign w:val="center"/>
          </w:tcPr>
          <w:p>
            <w:pPr>
              <w:rPr>
                <w:rFonts w:ascii="宋体" w:hAnsi="宋体" w:eastAsia="宋体" w:cs="宋体"/>
                <w:sz w:val="22"/>
              </w:rPr>
            </w:pPr>
            <w:r>
              <w:rPr>
                <w:rFonts w:hint="eastAsia" w:ascii="宋体" w:hAnsi="宋体" w:eastAsia="宋体" w:cs="宋体"/>
                <w:sz w:val="22"/>
              </w:rPr>
              <w:t>★支持对opcda、iec104等工控协议的无流量监控，并支持无流量认定时长的设置。支持无流量监控行为告警记录【提供功能截图</w:t>
            </w:r>
            <w:r>
              <w:rPr>
                <w:rFonts w:hint="eastAsia" w:ascii="宋体" w:hAnsi="宋体" w:eastAsia="宋体" w:cs="宋体"/>
                <w:sz w:val="22"/>
                <w:szCs w:val="22"/>
              </w:rPr>
              <w:t>，报价时以PDF格式上传</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restart"/>
            <w:vAlign w:val="center"/>
          </w:tcPr>
          <w:p>
            <w:pPr>
              <w:contextualSpacing/>
              <w:rPr>
                <w:rFonts w:ascii="宋体" w:hAnsi="宋体" w:eastAsia="宋体" w:cs="宋体"/>
                <w:sz w:val="22"/>
              </w:rPr>
            </w:pPr>
            <w:r>
              <w:rPr>
                <w:rFonts w:hint="eastAsia" w:ascii="宋体" w:hAnsi="宋体" w:eastAsia="宋体" w:cs="宋体"/>
                <w:sz w:val="22"/>
              </w:rPr>
              <w:t>流量分析</w:t>
            </w:r>
          </w:p>
        </w:tc>
        <w:tc>
          <w:tcPr>
            <w:tcW w:w="6100" w:type="dxa"/>
            <w:vAlign w:val="center"/>
          </w:tcPr>
          <w:p>
            <w:pPr>
              <w:rPr>
                <w:rFonts w:ascii="宋体" w:hAnsi="宋体" w:eastAsia="宋体" w:cs="宋体"/>
                <w:sz w:val="22"/>
              </w:rPr>
            </w:pPr>
            <w:r>
              <w:rPr>
                <w:rFonts w:hint="eastAsia" w:ascii="宋体" w:hAnsi="宋体" w:eastAsia="宋体" w:cs="宋体"/>
                <w:sz w:val="22"/>
              </w:rPr>
              <w:t>支持对流量数据长期的统计分析，包括总流量的统计以及设备流量和协议流量占比统计，并以图形可视化的方式进行显示，支持以小时、天、星期过滤。流量列表中体现设备名称、IP地址、MAC地址、平均输入输出速率、更新时间和具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Merge w:val="continue"/>
            <w:vAlign w:val="center"/>
          </w:tcPr>
          <w:p>
            <w:pPr>
              <w:contextualSpacing/>
              <w:rPr>
                <w:rFonts w:ascii="宋体" w:hAnsi="宋体" w:eastAsia="宋体" w:cs="宋体"/>
                <w:sz w:val="22"/>
              </w:rPr>
            </w:pPr>
          </w:p>
        </w:tc>
        <w:tc>
          <w:tcPr>
            <w:tcW w:w="6100" w:type="dxa"/>
            <w:vAlign w:val="center"/>
          </w:tcPr>
          <w:p>
            <w:pPr>
              <w:rPr>
                <w:rFonts w:ascii="宋体" w:hAnsi="宋体" w:eastAsia="宋体" w:cs="宋体"/>
                <w:sz w:val="22"/>
              </w:rPr>
            </w:pPr>
            <w:r>
              <w:rPr>
                <w:rFonts w:hint="eastAsia" w:ascii="宋体" w:hAnsi="宋体" w:eastAsia="宋体" w:cs="宋体"/>
                <w:sz w:val="22"/>
              </w:rPr>
              <w:t>支持对工控网络进行实时监测，对协议、流量等元素进行统计分析，实时显示网络的状态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rPr>
                <w:rFonts w:ascii="宋体" w:hAnsi="宋体" w:eastAsia="宋体" w:cs="宋体"/>
                <w:sz w:val="22"/>
              </w:rPr>
            </w:pPr>
            <w:r>
              <w:rPr>
                <w:rFonts w:hint="eastAsia" w:ascii="宋体" w:hAnsi="宋体" w:eastAsia="宋体" w:cs="宋体"/>
                <w:sz w:val="22"/>
              </w:rPr>
              <w:t>数据采集</w:t>
            </w:r>
          </w:p>
        </w:tc>
        <w:tc>
          <w:tcPr>
            <w:tcW w:w="6100" w:type="dxa"/>
            <w:vAlign w:val="center"/>
          </w:tcPr>
          <w:p>
            <w:pPr>
              <w:rPr>
                <w:rFonts w:ascii="宋体" w:hAnsi="宋体" w:eastAsia="宋体" w:cs="宋体"/>
                <w:sz w:val="22"/>
              </w:rPr>
            </w:pPr>
            <w:r>
              <w:rPr>
                <w:rFonts w:hint="eastAsia" w:ascii="宋体" w:hAnsi="宋体" w:eastAsia="宋体" w:cs="宋体"/>
                <w:sz w:val="22"/>
              </w:rPr>
              <w:t>★支持对原始数据包的采集，要针对网口、pcap包大小、协议号、源IP地址、目的IP地址、源端口、目的端口好进行针对性采集。支持数据包批量下载删除操作。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rPr>
                <w:rFonts w:ascii="宋体" w:hAnsi="宋体" w:eastAsia="宋体" w:cs="宋体"/>
                <w:sz w:val="22"/>
              </w:rPr>
            </w:pPr>
          </w:p>
        </w:tc>
        <w:tc>
          <w:tcPr>
            <w:tcW w:w="1134" w:type="dxa"/>
            <w:vAlign w:val="center"/>
          </w:tcPr>
          <w:p>
            <w:pPr>
              <w:rPr>
                <w:rFonts w:ascii="宋体" w:hAnsi="宋体" w:eastAsia="宋体" w:cs="宋体"/>
                <w:sz w:val="22"/>
              </w:rPr>
            </w:pPr>
            <w:r>
              <w:rPr>
                <w:rFonts w:hint="eastAsia" w:ascii="宋体" w:hAnsi="宋体" w:eastAsia="宋体" w:cs="宋体"/>
                <w:sz w:val="22"/>
              </w:rPr>
              <w:t>系统安全性</w:t>
            </w:r>
          </w:p>
        </w:tc>
        <w:tc>
          <w:tcPr>
            <w:tcW w:w="6100" w:type="dxa"/>
            <w:vAlign w:val="center"/>
          </w:tcPr>
          <w:p>
            <w:pPr>
              <w:rPr>
                <w:rFonts w:ascii="宋体" w:hAnsi="宋体" w:eastAsia="宋体" w:cs="宋体"/>
                <w:sz w:val="22"/>
              </w:rPr>
            </w:pPr>
            <w:r>
              <w:rPr>
                <w:rFonts w:hint="eastAsia" w:ascii="宋体" w:hAnsi="宋体" w:eastAsia="宋体" w:cs="宋体"/>
                <w:sz w:val="22"/>
              </w:rPr>
              <w:t>安全性要求，产品自身安全性强，硬件加固，软件加固，数据加密，杜绝泄密源，自身认证授权功能严格加强。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宋体" w:hAnsi="宋体" w:eastAsia="宋体" w:cs="宋体"/>
                <w:sz w:val="22"/>
              </w:rPr>
            </w:pPr>
            <w:r>
              <w:rPr>
                <w:rFonts w:hint="eastAsia" w:ascii="宋体" w:hAnsi="宋体" w:eastAsia="宋体" w:cs="宋体"/>
                <w:sz w:val="22"/>
              </w:rPr>
              <w:t>产品资质</w:t>
            </w:r>
          </w:p>
        </w:tc>
        <w:tc>
          <w:tcPr>
            <w:tcW w:w="7234" w:type="dxa"/>
            <w:gridSpan w:val="2"/>
            <w:vAlign w:val="center"/>
          </w:tcPr>
          <w:p>
            <w:pPr>
              <w:rPr>
                <w:rFonts w:ascii="宋体" w:hAnsi="宋体" w:eastAsia="宋体" w:cs="宋体"/>
                <w:sz w:val="22"/>
              </w:rPr>
            </w:pPr>
            <w:r>
              <w:rPr>
                <w:rFonts w:hint="eastAsia" w:ascii="宋体" w:hAnsi="宋体" w:eastAsia="宋体" w:cs="宋体"/>
                <w:sz w:val="22"/>
              </w:rPr>
              <w:t>具有中华人民共和国国家版权局《计算机软件著作权登记证书》【提供有效证书复印</w:t>
            </w:r>
            <w:r>
              <w:rPr>
                <w:rFonts w:hint="eastAsia" w:ascii="宋体" w:hAnsi="宋体" w:eastAsia="宋体" w:cs="宋体"/>
                <w:sz w:val="22"/>
                <w:szCs w:val="22"/>
              </w:rPr>
              <w:t>，报价时以PDF格式上传</w:t>
            </w:r>
            <w:r>
              <w:rPr>
                <w:rFonts w:hint="eastAsia" w:ascii="宋体" w:hAnsi="宋体" w:eastAsia="宋体" w:cs="宋体"/>
                <w:sz w:val="22"/>
              </w:rPr>
              <w:t>】</w:t>
            </w:r>
          </w:p>
          <w:p>
            <w:pPr>
              <w:rPr>
                <w:rFonts w:ascii="宋体" w:hAnsi="宋体" w:eastAsia="宋体" w:cs="宋体"/>
                <w:sz w:val="22"/>
              </w:rPr>
            </w:pPr>
            <w:r>
              <w:rPr>
                <w:rFonts w:hint="eastAsia" w:ascii="宋体" w:hAnsi="宋体" w:eastAsia="宋体" w:cs="宋体"/>
                <w:sz w:val="22"/>
              </w:rPr>
              <w:t>具有公安部计算机信息系统安全专用产品《销售许可证》【提供有效证书复印</w:t>
            </w:r>
            <w:r>
              <w:rPr>
                <w:rFonts w:hint="eastAsia" w:ascii="宋体" w:hAnsi="宋体" w:eastAsia="宋体" w:cs="宋体"/>
                <w:sz w:val="22"/>
                <w:szCs w:val="22"/>
              </w:rPr>
              <w:t>，报价时以PDF格式上传</w:t>
            </w:r>
            <w:r>
              <w:rPr>
                <w:rFonts w:hint="eastAsia" w:ascii="宋体" w:hAnsi="宋体" w:eastAsia="宋体" w:cs="宋体"/>
                <w:sz w:val="22"/>
              </w:rPr>
              <w:t>】</w:t>
            </w:r>
          </w:p>
        </w:tc>
      </w:tr>
    </w:tbl>
    <w:p>
      <w:pPr>
        <w:pStyle w:val="37"/>
        <w:rPr>
          <w:rFonts w:ascii="宋体" w:hAnsi="宋体" w:eastAsia="宋体" w:cs="宋体"/>
          <w:b/>
          <w:bCs/>
          <w:color w:val="auto"/>
          <w:sz w:val="24"/>
          <w:szCs w:val="24"/>
        </w:rPr>
      </w:pPr>
    </w:p>
    <w:p>
      <w:pPr>
        <w:spacing w:line="400" w:lineRule="exact"/>
        <w:rPr>
          <w:rFonts w:ascii="宋体" w:hAnsi="宋体" w:eastAsia="宋体" w:cs="宋体"/>
          <w:b/>
          <w:color w:val="auto"/>
          <w:sz w:val="24"/>
        </w:rPr>
      </w:pPr>
      <w:r>
        <w:rPr>
          <w:rFonts w:hint="eastAsia" w:ascii="宋体" w:hAnsi="宋体" w:eastAsia="宋体" w:cs="宋体"/>
          <w:b/>
          <w:color w:val="auto"/>
          <w:sz w:val="24"/>
        </w:rPr>
        <w:t>备注：</w:t>
      </w:r>
    </w:p>
    <w:p>
      <w:pPr>
        <w:numPr>
          <w:ilvl w:val="0"/>
          <w:numId w:val="0"/>
        </w:numPr>
        <w:spacing w:line="4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1、</w:t>
      </w:r>
      <w:r>
        <w:rPr>
          <w:rFonts w:hint="eastAsia" w:ascii="宋体" w:hAnsi="宋体" w:eastAsia="宋体" w:cs="宋体"/>
          <w:b w:val="0"/>
          <w:bCs/>
          <w:color w:val="auto"/>
          <w:sz w:val="24"/>
        </w:rPr>
        <w:t>上述打“★”项为重要指标项，必须完全实质性响应；其他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2、签订合同后，</w:t>
      </w:r>
      <w:r>
        <w:rPr>
          <w:rFonts w:hint="eastAsia" w:ascii="宋体" w:hAnsi="宋体" w:eastAsia="宋体" w:cs="宋体"/>
          <w:color w:val="auto"/>
          <w:sz w:val="24"/>
        </w:rPr>
        <w:t>需提供样机进行上述功能要求的逐一测试验证</w:t>
      </w:r>
      <w:r>
        <w:rPr>
          <w:rFonts w:hint="eastAsia" w:ascii="宋体" w:hAnsi="宋体" w:eastAsia="宋体" w:cs="宋体"/>
          <w:color w:val="auto"/>
          <w:sz w:val="24"/>
          <w:lang w:eastAsia="zh-CN"/>
        </w:rPr>
        <w:t>。如有虚假响应，</w:t>
      </w:r>
      <w:r>
        <w:rPr>
          <w:rFonts w:hint="eastAsia" w:ascii="宋体" w:hAnsi="宋体" w:eastAsia="宋体" w:cs="宋体"/>
          <w:color w:val="auto"/>
          <w:sz w:val="24"/>
        </w:rPr>
        <w:t>供应商须承担相应责任</w:t>
      </w:r>
      <w:r>
        <w:rPr>
          <w:rFonts w:hint="eastAsia" w:ascii="宋体" w:hAnsi="宋体" w:eastAsia="宋体" w:cs="宋体"/>
          <w:color w:val="auto"/>
          <w:sz w:val="24"/>
          <w:lang w:eastAsia="zh-CN"/>
        </w:rPr>
        <w:t>。</w:t>
      </w:r>
    </w:p>
    <w:p>
      <w:pPr>
        <w:widowControl/>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以上采购要求中如涉及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若非推荐品牌或型号，供应商必须提供必要的证明材料。询价小组根据其相关证明材料判定是否达到所推荐的产品档次等要求。）</w:t>
      </w:r>
    </w:p>
    <w:p>
      <w:pPr>
        <w:widowControl/>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4、为保障江南水务安全防护效果，打造江南水务整体安全运营体系，要求本次项目供应商提供的产品必须与江南水务现有安全体系能够兼容对接，保障一体化安全体系防护，不得出现无法兼容的情况。</w:t>
      </w:r>
    </w:p>
    <w:p>
      <w:pPr>
        <w:spacing w:line="400" w:lineRule="exact"/>
        <w:rPr>
          <w:rFonts w:hint="eastAsia" w:ascii="宋体" w:hAnsi="宋体" w:eastAsia="宋体" w:cs="宋体"/>
          <w:b/>
          <w:bCs/>
          <w:color w:val="auto"/>
          <w:sz w:val="24"/>
        </w:rPr>
      </w:pP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四、项目实施要求</w:t>
      </w: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1、项目管理要求</w:t>
      </w:r>
    </w:p>
    <w:p>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（1）成交供应商必须接受并服从采购方的监督、管理要求。无条件接受采购方提出的整改要求，并承担相应责任。</w:t>
      </w:r>
    </w:p>
    <w:p>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（2）成交供应商在实施过程中应加强施工管理，特别对采购方提出的问题应在约定的时间内及时解决，并提交书面报告，否则由此导致的延迟责任由成交供应商承担。</w:t>
      </w:r>
    </w:p>
    <w:p>
      <w:pPr>
        <w:spacing w:line="400" w:lineRule="exact"/>
        <w:ind w:firstLine="480" w:firstLineChars="200"/>
        <w:rPr>
          <w:rFonts w:ascii="宋体" w:hAnsi="宋体" w:eastAsia="宋体" w:cs="宋体"/>
          <w:color w:val="auto"/>
          <w:sz w:val="24"/>
        </w:rPr>
      </w:pPr>
      <w:r>
        <w:rPr>
          <w:rFonts w:hint="eastAsia" w:ascii="宋体" w:hAnsi="宋体" w:eastAsia="宋体" w:cs="宋体"/>
          <w:bCs/>
          <w:color w:val="auto"/>
          <w:sz w:val="24"/>
        </w:rPr>
        <w:t>（3）</w:t>
      </w:r>
      <w:r>
        <w:rPr>
          <w:rFonts w:hint="eastAsia" w:ascii="宋体" w:hAnsi="宋体" w:eastAsia="宋体" w:cs="宋体"/>
          <w:color w:val="auto"/>
          <w:sz w:val="24"/>
        </w:rPr>
        <w:t>成交供应商须按采购方所规定的时间将设备安装到位并调试运行。成交供应商在项目实施过程中出现资源、进度、质量协调控制不力并影响到项目工期的，采购方有权与供应商终止合同，供应商并须承担相应责任。</w:t>
      </w:r>
    </w:p>
    <w:p>
      <w:pPr>
        <w:spacing w:line="400" w:lineRule="exact"/>
        <w:rPr>
          <w:rFonts w:ascii="宋体" w:hAnsi="宋体" w:eastAsia="宋体" w:cs="宋体"/>
          <w:b/>
          <w:bCs/>
          <w:color w:val="auto"/>
          <w:kern w:val="0"/>
          <w:sz w:val="24"/>
        </w:rPr>
      </w:pPr>
    </w:p>
    <w:p>
      <w:pPr>
        <w:spacing w:line="400" w:lineRule="exact"/>
        <w:rPr>
          <w:rFonts w:ascii="宋体" w:hAnsi="宋体" w:eastAsia="宋体" w:cs="宋体"/>
          <w:b/>
          <w:bCs/>
          <w:color w:val="auto"/>
          <w:kern w:val="0"/>
          <w:sz w:val="24"/>
        </w:rPr>
      </w:pPr>
      <w:r>
        <w:rPr>
          <w:rFonts w:hint="eastAsia" w:ascii="宋体" w:hAnsi="宋体" w:eastAsia="宋体" w:cs="宋体"/>
          <w:b/>
          <w:bCs/>
          <w:color w:val="auto"/>
          <w:kern w:val="0"/>
          <w:sz w:val="24"/>
        </w:rPr>
        <w:t>2、项目保密要求</w:t>
      </w:r>
    </w:p>
    <w:p>
      <w:pPr>
        <w:spacing w:line="40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供应商必须承诺对实施过程中的文档、资料、数据均有保密义务，由于成交供应商及其实施人员泄露、冒用、误用或违法使用而造成的一切责任和损失，均由成交供应商承担。</w:t>
      </w:r>
    </w:p>
    <w:p>
      <w:pPr>
        <w:spacing w:line="400" w:lineRule="exact"/>
        <w:rPr>
          <w:rFonts w:ascii="宋体" w:hAnsi="宋体" w:eastAsia="宋体" w:cs="宋体"/>
          <w:bCs/>
          <w:color w:val="auto"/>
          <w:sz w:val="28"/>
          <w:szCs w:val="28"/>
        </w:rPr>
      </w:pP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五、保修期及售后服务</w:t>
      </w:r>
    </w:p>
    <w:p>
      <w:pPr>
        <w:spacing w:line="400" w:lineRule="exact"/>
        <w:ind w:firstLine="480" w:firstLineChars="200"/>
        <w:rPr>
          <w:rFonts w:ascii="宋体" w:hAnsi="宋体" w:eastAsia="宋体" w:cs="宋体"/>
          <w:bCs/>
          <w:color w:val="auto"/>
          <w:kern w:val="0"/>
          <w:sz w:val="24"/>
        </w:rPr>
      </w:pPr>
      <w:r>
        <w:rPr>
          <w:rFonts w:hint="eastAsia" w:ascii="宋体" w:hAnsi="宋体" w:eastAsia="宋体" w:cs="宋体"/>
          <w:bCs/>
          <w:color w:val="auto"/>
          <w:kern w:val="0"/>
          <w:sz w:val="24"/>
        </w:rPr>
        <w:t>1.提供3年原厂质保服务及我公司项目整体免费上门质保服务，在免费保修期内发生故障，成交供应商应免费提供咨询、更换损坏的零件和维修服务。</w:t>
      </w:r>
    </w:p>
    <w:p>
      <w:pPr>
        <w:spacing w:line="400" w:lineRule="exact"/>
        <w:ind w:firstLine="480" w:firstLineChars="200"/>
        <w:rPr>
          <w:rFonts w:ascii="宋体" w:hAnsi="宋体" w:eastAsia="宋体" w:cs="宋体"/>
          <w:bCs/>
          <w:color w:val="auto"/>
          <w:kern w:val="0"/>
          <w:sz w:val="24"/>
        </w:rPr>
      </w:pPr>
      <w:r>
        <w:rPr>
          <w:rFonts w:hint="eastAsia" w:ascii="宋体" w:hAnsi="宋体" w:eastAsia="宋体" w:cs="宋体"/>
          <w:bCs/>
          <w:color w:val="auto"/>
          <w:kern w:val="0"/>
          <w:sz w:val="24"/>
        </w:rPr>
        <w:t>2.为保障项目稳定运行，成交供应商须负责相关设施故障或损坏后的修复，使相关设备设施无告警和异常，保持安全、稳定、高效运行。每月不少于一次预防性检查和维护。</w:t>
      </w:r>
    </w:p>
    <w:p>
      <w:pPr>
        <w:spacing w:line="400" w:lineRule="exact"/>
        <w:ind w:firstLine="480" w:firstLineChars="200"/>
        <w:rPr>
          <w:rFonts w:ascii="宋体" w:hAnsi="宋体" w:eastAsia="宋体" w:cs="宋体"/>
          <w:bCs/>
          <w:color w:val="auto"/>
          <w:kern w:val="0"/>
          <w:sz w:val="24"/>
        </w:rPr>
      </w:pPr>
      <w:r>
        <w:rPr>
          <w:rFonts w:hint="eastAsia" w:ascii="宋体" w:hAnsi="宋体" w:eastAsia="宋体" w:cs="宋体"/>
          <w:bCs/>
          <w:color w:val="auto"/>
          <w:kern w:val="0"/>
          <w:sz w:val="24"/>
        </w:rPr>
        <w:t>3.出现故障接通知后10分钟内响应，需在1小时内到达到现场；提供7X24小时现场服务，备件24小时到位；一般问题到达现场后2小时内解决，所有问题解决时间不得超过24小时。</w:t>
      </w:r>
    </w:p>
    <w:p>
      <w:pPr>
        <w:spacing w:line="400" w:lineRule="exact"/>
        <w:ind w:firstLine="480" w:firstLineChars="200"/>
        <w:rPr>
          <w:rFonts w:ascii="宋体" w:hAnsi="宋体" w:eastAsia="宋体" w:cs="宋体"/>
          <w:bCs/>
          <w:color w:val="auto"/>
          <w:kern w:val="0"/>
          <w:sz w:val="24"/>
        </w:rPr>
      </w:pPr>
      <w:r>
        <w:rPr>
          <w:rFonts w:hint="eastAsia" w:ascii="宋体" w:hAnsi="宋体" w:eastAsia="宋体" w:cs="宋体"/>
          <w:bCs/>
          <w:color w:val="auto"/>
          <w:kern w:val="0"/>
          <w:sz w:val="24"/>
        </w:rPr>
        <w:t>4.质保期内维护设备、配件、设施和服务不再收取任何其他相关费用，如配件费、维修费、劳务费、交通费、培训费等。</w:t>
      </w:r>
    </w:p>
    <w:p>
      <w:pPr>
        <w:spacing w:line="400" w:lineRule="exact"/>
        <w:ind w:firstLine="480" w:firstLineChars="200"/>
        <w:rPr>
          <w:rFonts w:ascii="宋体" w:hAnsi="宋体" w:eastAsia="宋体" w:cs="宋体"/>
          <w:bCs/>
          <w:color w:val="auto"/>
          <w:kern w:val="0"/>
          <w:sz w:val="24"/>
        </w:rPr>
      </w:pPr>
    </w:p>
    <w:p>
      <w:pPr>
        <w:rPr>
          <w:rFonts w:ascii="宋体" w:hAnsi="宋体" w:eastAsia="宋体"/>
          <w:b/>
          <w:bCs/>
          <w:color w:val="auto"/>
          <w:sz w:val="24"/>
        </w:rPr>
      </w:pPr>
      <w:r>
        <w:rPr>
          <w:rFonts w:hint="eastAsia" w:ascii="宋体" w:hAnsi="宋体" w:eastAsia="宋体"/>
          <w:b/>
          <w:bCs/>
          <w:color w:val="auto"/>
          <w:sz w:val="24"/>
        </w:rPr>
        <w:t>六、项目完工期限</w:t>
      </w:r>
    </w:p>
    <w:p>
      <w:pPr>
        <w:spacing w:line="400" w:lineRule="exact"/>
        <w:ind w:firstLine="480" w:firstLineChars="200"/>
        <w:rPr>
          <w:rFonts w:ascii="宋体" w:hAnsi="宋体" w:eastAsia="宋体" w:cs="宋体"/>
          <w:bCs/>
          <w:color w:val="auto"/>
          <w:kern w:val="0"/>
          <w:sz w:val="24"/>
        </w:rPr>
      </w:pPr>
      <w:r>
        <w:rPr>
          <w:rFonts w:hint="eastAsia" w:ascii="宋体" w:hAnsi="宋体" w:eastAsia="宋体" w:cs="宋体"/>
          <w:bCs/>
          <w:color w:val="auto"/>
          <w:kern w:val="0"/>
          <w:sz w:val="24"/>
        </w:rPr>
        <w:t>签订合同后</w:t>
      </w:r>
      <w:r>
        <w:rPr>
          <w:rFonts w:ascii="宋体" w:hAnsi="宋体" w:eastAsia="宋体" w:cs="宋体"/>
          <w:bCs/>
          <w:color w:val="auto"/>
          <w:kern w:val="0"/>
          <w:sz w:val="24"/>
        </w:rPr>
        <w:t>6</w:t>
      </w:r>
      <w:r>
        <w:rPr>
          <w:rFonts w:hint="eastAsia" w:ascii="宋体" w:hAnsi="宋体" w:eastAsia="宋体" w:cs="宋体"/>
          <w:bCs/>
          <w:color w:val="auto"/>
          <w:kern w:val="0"/>
          <w:sz w:val="24"/>
        </w:rPr>
        <w:t>0个自然日内。</w:t>
      </w:r>
    </w:p>
    <w:p>
      <w:pPr>
        <w:rPr>
          <w:rFonts w:hint="eastAsia" w:ascii="宋体" w:hAnsi="宋体" w:eastAsia="宋体"/>
          <w:b/>
          <w:bCs/>
          <w:color w:val="auto"/>
          <w:sz w:val="24"/>
        </w:rPr>
      </w:pPr>
    </w:p>
    <w:p>
      <w:pPr>
        <w:rPr>
          <w:rFonts w:ascii="宋体" w:hAnsi="宋体" w:eastAsia="宋体"/>
          <w:b/>
          <w:bCs/>
          <w:color w:val="auto"/>
          <w:sz w:val="24"/>
        </w:rPr>
      </w:pPr>
      <w:r>
        <w:rPr>
          <w:rFonts w:hint="eastAsia" w:ascii="宋体" w:hAnsi="宋体" w:eastAsia="宋体"/>
          <w:b/>
          <w:bCs/>
          <w:color w:val="auto"/>
          <w:sz w:val="24"/>
        </w:rPr>
        <w:t>七、完工地点</w:t>
      </w:r>
    </w:p>
    <w:p>
      <w:pPr>
        <w:spacing w:line="400" w:lineRule="exact"/>
        <w:ind w:firstLine="480" w:firstLineChars="200"/>
        <w:rPr>
          <w:rFonts w:ascii="宋体" w:hAnsi="宋体" w:eastAsia="宋体" w:cs="宋体"/>
          <w:color w:val="auto"/>
          <w:sz w:val="28"/>
          <w:szCs w:val="28"/>
        </w:rPr>
      </w:pPr>
      <w:r>
        <w:rPr>
          <w:rFonts w:hint="eastAsia" w:ascii="宋体" w:hAnsi="宋体" w:eastAsia="宋体" w:cs="宋体"/>
          <w:color w:val="auto"/>
          <w:sz w:val="24"/>
        </w:rPr>
        <w:t>采购单位指定</w:t>
      </w:r>
    </w:p>
    <w:p>
      <w:pPr>
        <w:spacing w:line="400" w:lineRule="exact"/>
        <w:rPr>
          <w:rFonts w:hint="eastAsia" w:ascii="宋体" w:hAnsi="宋体" w:eastAsia="宋体" w:cs="宋体"/>
          <w:b/>
          <w:bCs/>
          <w:color w:val="auto"/>
          <w:sz w:val="24"/>
        </w:rPr>
      </w:pP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八、付款方式</w:t>
      </w:r>
    </w:p>
    <w:p>
      <w:pPr>
        <w:spacing w:line="400" w:lineRule="exact"/>
        <w:ind w:firstLine="480" w:firstLineChars="200"/>
        <w:rPr>
          <w:rFonts w:ascii="宋体" w:hAnsi="宋体" w:eastAsia="宋体" w:cs="宋体"/>
          <w:bCs/>
          <w:color w:val="auto"/>
          <w:kern w:val="0"/>
          <w:sz w:val="24"/>
        </w:rPr>
      </w:pPr>
      <w:r>
        <w:rPr>
          <w:rFonts w:hint="eastAsia" w:ascii="宋体" w:hAnsi="宋体" w:eastAsia="宋体" w:cs="宋体"/>
          <w:bCs/>
          <w:color w:val="auto"/>
          <w:kern w:val="0"/>
          <w:sz w:val="24"/>
        </w:rPr>
        <w:t>合同签订后付款50%，项目竣工验收合格后付款</w:t>
      </w:r>
      <w:r>
        <w:rPr>
          <w:rFonts w:ascii="宋体" w:hAnsi="宋体" w:eastAsia="宋体" w:cs="宋体"/>
          <w:bCs/>
          <w:color w:val="auto"/>
          <w:kern w:val="0"/>
          <w:sz w:val="24"/>
        </w:rPr>
        <w:t>40</w:t>
      </w:r>
      <w:r>
        <w:rPr>
          <w:rFonts w:hint="eastAsia" w:ascii="宋体" w:hAnsi="宋体" w:eastAsia="宋体" w:cs="宋体"/>
          <w:bCs/>
          <w:color w:val="auto"/>
          <w:kern w:val="0"/>
          <w:sz w:val="24"/>
        </w:rPr>
        <w:t>%，验收合格满一年后支付</w:t>
      </w:r>
      <w:r>
        <w:rPr>
          <w:rFonts w:ascii="宋体" w:hAnsi="宋体" w:eastAsia="宋体" w:cs="宋体"/>
          <w:bCs/>
          <w:color w:val="auto"/>
          <w:kern w:val="0"/>
          <w:sz w:val="24"/>
        </w:rPr>
        <w:t>10</w:t>
      </w:r>
      <w:r>
        <w:rPr>
          <w:rFonts w:hint="eastAsia" w:ascii="宋体" w:hAnsi="宋体" w:eastAsia="宋体" w:cs="宋体"/>
          <w:bCs/>
          <w:color w:val="auto"/>
          <w:kern w:val="0"/>
          <w:sz w:val="24"/>
        </w:rPr>
        <w:t>%尾款。</w:t>
      </w:r>
    </w:p>
    <w:p>
      <w:pPr>
        <w:spacing w:line="400" w:lineRule="exact"/>
        <w:rPr>
          <w:rFonts w:hint="eastAsia" w:ascii="宋体" w:hAnsi="宋体" w:eastAsia="宋体" w:cs="宋体"/>
          <w:b/>
          <w:bCs/>
          <w:color w:val="auto"/>
          <w:sz w:val="24"/>
        </w:rPr>
      </w:pPr>
    </w:p>
    <w:p>
      <w:pPr>
        <w:spacing w:line="400" w:lineRule="exact"/>
        <w:rPr>
          <w:rFonts w:ascii="宋体" w:hAnsi="宋体" w:eastAsia="宋体" w:cs="宋体"/>
          <w:b/>
          <w:bCs/>
          <w:color w:val="auto"/>
          <w:sz w:val="24"/>
        </w:rPr>
      </w:pPr>
      <w:r>
        <w:rPr>
          <w:rFonts w:hint="eastAsia" w:ascii="宋体" w:hAnsi="宋体" w:eastAsia="宋体" w:cs="宋体"/>
          <w:b/>
          <w:bCs/>
          <w:color w:val="auto"/>
          <w:sz w:val="24"/>
        </w:rPr>
        <w:t>九、其他相关要求</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1.项目实施过程中所需的采购文件中未列出的相关辅助材料和费用应由供应商在报价时一并考虑，项目施工过程中不再单独结算。</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2.本次项目供应商严格按照等保2.0要求，对本次项目进行充分调研分析，结合江南水务集团系统架构及系统实际情况，制定详细合理的方案、完成整个项目的实施工作，必须确保项目通过等保2.0测评。</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3.本次项目用于江南水务集团平台，必须充分结合该平台系统架构及系统实际情况，在部署实施后不能对集团平台上的系统业务产生影响、降低性能。如果产生影响，成交供应商进行相应整改，费用由成交供应商负责承担。</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4.项目完成后，根据采购人要求组织验收，相关费用由成交供应商承担。</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5.供应商可对现场进行勘查（不统一组织、因供应商不进行现场勘查造成辅材附件费用计算不准等的后果均由供应商负责，现场勘查联系人及电话：刘先生0510-</w:t>
      </w:r>
      <w:r>
        <w:rPr>
          <w:rFonts w:ascii="宋体" w:hAnsi="宋体" w:eastAsia="宋体" w:cs="宋体"/>
          <w:color w:val="auto"/>
          <w:sz w:val="24"/>
        </w:rPr>
        <w:t>88011005</w:t>
      </w:r>
      <w:r>
        <w:rPr>
          <w:rFonts w:hint="eastAsia" w:ascii="宋体" w:hAnsi="宋体" w:eastAsia="宋体" w:cs="宋体"/>
          <w:color w:val="auto"/>
          <w:sz w:val="24"/>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roman"/>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7390B"/>
    <w:multiLevelType w:val="multilevel"/>
    <w:tmpl w:val="3897390B"/>
    <w:lvl w:ilvl="0" w:tentative="0">
      <w:start w:val="1"/>
      <w:numFmt w:val="chineseCountingThousand"/>
      <w:pStyle w:val="3"/>
      <w:lvlText w:val="%1. "/>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EBB3C91"/>
    <w:multiLevelType w:val="multilevel"/>
    <w:tmpl w:val="3EBB3C91"/>
    <w:lvl w:ilvl="0" w:tentative="0">
      <w:start w:val="1"/>
      <w:numFmt w:val="decimal"/>
      <w:pStyle w:val="36"/>
      <w:suff w:val="space"/>
      <w:lvlText w:val="%1."/>
      <w:lvlJc w:val="left"/>
      <w:pPr>
        <w:ind w:left="5868" w:hanging="907"/>
      </w:pPr>
      <w:rPr>
        <w:rFonts w:ascii="Arial" w:hAnsi="Arial" w:eastAsia="黑体" w:cs="Times New Roman"/>
      </w:rPr>
    </w:lvl>
    <w:lvl w:ilvl="1" w:tentative="0">
      <w:start w:val="1"/>
      <w:numFmt w:val="decimal"/>
      <w:pStyle w:val="34"/>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418"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7D"/>
    <w:rsid w:val="00006D6B"/>
    <w:rsid w:val="000604F7"/>
    <w:rsid w:val="000B055B"/>
    <w:rsid w:val="000D07ED"/>
    <w:rsid w:val="000F2A67"/>
    <w:rsid w:val="001D2162"/>
    <w:rsid w:val="00227D4E"/>
    <w:rsid w:val="00246CB3"/>
    <w:rsid w:val="00264F97"/>
    <w:rsid w:val="00313918"/>
    <w:rsid w:val="003260DF"/>
    <w:rsid w:val="00352BC0"/>
    <w:rsid w:val="00370390"/>
    <w:rsid w:val="0038654C"/>
    <w:rsid w:val="003A4372"/>
    <w:rsid w:val="003C1875"/>
    <w:rsid w:val="00453D46"/>
    <w:rsid w:val="00481A0D"/>
    <w:rsid w:val="004B2A56"/>
    <w:rsid w:val="004B75C5"/>
    <w:rsid w:val="004C5C13"/>
    <w:rsid w:val="004E1AC2"/>
    <w:rsid w:val="0050087D"/>
    <w:rsid w:val="00521527"/>
    <w:rsid w:val="006E6191"/>
    <w:rsid w:val="006E6A84"/>
    <w:rsid w:val="006F50D7"/>
    <w:rsid w:val="00765A0D"/>
    <w:rsid w:val="007E262E"/>
    <w:rsid w:val="007F6242"/>
    <w:rsid w:val="007F7D8A"/>
    <w:rsid w:val="008101CF"/>
    <w:rsid w:val="008C46E3"/>
    <w:rsid w:val="009073C4"/>
    <w:rsid w:val="00934A88"/>
    <w:rsid w:val="00A151BE"/>
    <w:rsid w:val="00A16DF2"/>
    <w:rsid w:val="00A307B8"/>
    <w:rsid w:val="00A442BF"/>
    <w:rsid w:val="00AB5F31"/>
    <w:rsid w:val="00B30E53"/>
    <w:rsid w:val="00BB3266"/>
    <w:rsid w:val="00D017A1"/>
    <w:rsid w:val="00DA22F4"/>
    <w:rsid w:val="00DC0F82"/>
    <w:rsid w:val="00E10C47"/>
    <w:rsid w:val="00ED3959"/>
    <w:rsid w:val="00F63412"/>
    <w:rsid w:val="00F80218"/>
    <w:rsid w:val="00FA50CD"/>
    <w:rsid w:val="00FB3B77"/>
    <w:rsid w:val="00FD7DD6"/>
    <w:rsid w:val="01347E10"/>
    <w:rsid w:val="02152634"/>
    <w:rsid w:val="03BF09ED"/>
    <w:rsid w:val="05915340"/>
    <w:rsid w:val="05B905FC"/>
    <w:rsid w:val="05F04365"/>
    <w:rsid w:val="062E0E37"/>
    <w:rsid w:val="07041848"/>
    <w:rsid w:val="0ADD1856"/>
    <w:rsid w:val="0B1F2390"/>
    <w:rsid w:val="0E3F54C2"/>
    <w:rsid w:val="0F2C6394"/>
    <w:rsid w:val="0FC237B6"/>
    <w:rsid w:val="10830E7A"/>
    <w:rsid w:val="11DA724D"/>
    <w:rsid w:val="127D0C86"/>
    <w:rsid w:val="128E233B"/>
    <w:rsid w:val="158E7646"/>
    <w:rsid w:val="15B51A8A"/>
    <w:rsid w:val="17D63742"/>
    <w:rsid w:val="18913712"/>
    <w:rsid w:val="18C60A2F"/>
    <w:rsid w:val="1CF11BA1"/>
    <w:rsid w:val="22DA7988"/>
    <w:rsid w:val="23AE15C5"/>
    <w:rsid w:val="259F2C20"/>
    <w:rsid w:val="26F865C4"/>
    <w:rsid w:val="2776672D"/>
    <w:rsid w:val="28B65734"/>
    <w:rsid w:val="28CE397A"/>
    <w:rsid w:val="2973117C"/>
    <w:rsid w:val="29CF393B"/>
    <w:rsid w:val="29FC221E"/>
    <w:rsid w:val="2B6A27F3"/>
    <w:rsid w:val="2BAE5925"/>
    <w:rsid w:val="2D793041"/>
    <w:rsid w:val="2E7B6F9F"/>
    <w:rsid w:val="2EDB29EC"/>
    <w:rsid w:val="2F0A5F8D"/>
    <w:rsid w:val="31747EB9"/>
    <w:rsid w:val="31A72699"/>
    <w:rsid w:val="3345185C"/>
    <w:rsid w:val="34277236"/>
    <w:rsid w:val="347855E4"/>
    <w:rsid w:val="34D801FA"/>
    <w:rsid w:val="357C66FD"/>
    <w:rsid w:val="36A57849"/>
    <w:rsid w:val="38586983"/>
    <w:rsid w:val="391166DF"/>
    <w:rsid w:val="3A12197A"/>
    <w:rsid w:val="3A9E3B25"/>
    <w:rsid w:val="3B1E13CB"/>
    <w:rsid w:val="3B5232FD"/>
    <w:rsid w:val="3C4E7200"/>
    <w:rsid w:val="3CE15A8A"/>
    <w:rsid w:val="3DA1058A"/>
    <w:rsid w:val="40AC19FE"/>
    <w:rsid w:val="416114CD"/>
    <w:rsid w:val="42AE5A80"/>
    <w:rsid w:val="43280AA6"/>
    <w:rsid w:val="458C1DA6"/>
    <w:rsid w:val="45F76B3B"/>
    <w:rsid w:val="46B93B36"/>
    <w:rsid w:val="480557C6"/>
    <w:rsid w:val="491666D3"/>
    <w:rsid w:val="495A5861"/>
    <w:rsid w:val="49F33C4C"/>
    <w:rsid w:val="4BA050E3"/>
    <w:rsid w:val="4DD242CC"/>
    <w:rsid w:val="4E637E9D"/>
    <w:rsid w:val="4F2E21BA"/>
    <w:rsid w:val="4FFD7382"/>
    <w:rsid w:val="51AA74E1"/>
    <w:rsid w:val="53035211"/>
    <w:rsid w:val="534224F7"/>
    <w:rsid w:val="546A2FBE"/>
    <w:rsid w:val="55CD5308"/>
    <w:rsid w:val="56792118"/>
    <w:rsid w:val="5AAC7ED7"/>
    <w:rsid w:val="5B1C4310"/>
    <w:rsid w:val="5BD006A8"/>
    <w:rsid w:val="5CB9506E"/>
    <w:rsid w:val="5D742EEC"/>
    <w:rsid w:val="5E752470"/>
    <w:rsid w:val="5EC1493F"/>
    <w:rsid w:val="5EEE448F"/>
    <w:rsid w:val="61D8782E"/>
    <w:rsid w:val="629076F3"/>
    <w:rsid w:val="636B2F6C"/>
    <w:rsid w:val="65681F3B"/>
    <w:rsid w:val="658C476D"/>
    <w:rsid w:val="6C3A4808"/>
    <w:rsid w:val="6CB47396"/>
    <w:rsid w:val="6DE44256"/>
    <w:rsid w:val="6EA27644"/>
    <w:rsid w:val="71307E28"/>
    <w:rsid w:val="715D6D04"/>
    <w:rsid w:val="71B75C0D"/>
    <w:rsid w:val="72D76DBC"/>
    <w:rsid w:val="731618D8"/>
    <w:rsid w:val="74052A71"/>
    <w:rsid w:val="74A96571"/>
    <w:rsid w:val="75564DE2"/>
    <w:rsid w:val="76D912AB"/>
    <w:rsid w:val="770D7F87"/>
    <w:rsid w:val="7775399C"/>
    <w:rsid w:val="78A84083"/>
    <w:rsid w:val="79276846"/>
    <w:rsid w:val="792A7267"/>
    <w:rsid w:val="7983763E"/>
    <w:rsid w:val="7B5F5365"/>
    <w:rsid w:val="7C2A3F06"/>
    <w:rsid w:val="A7FB8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pBdr>
        <w:bottom w:val="single" w:color="auto" w:sz="48" w:space="1"/>
      </w:pBdr>
      <w:spacing w:before="600" w:after="330" w:line="578" w:lineRule="auto"/>
      <w:outlineLvl w:val="0"/>
    </w:pPr>
    <w:rPr>
      <w:rFonts w:eastAsia="黑体"/>
      <w:b/>
      <w:bCs/>
      <w:kern w:val="44"/>
      <w:sz w:val="44"/>
      <w:szCs w:val="44"/>
    </w:rPr>
  </w:style>
  <w:style w:type="paragraph" w:styleId="4">
    <w:name w:val="heading 2"/>
    <w:basedOn w:val="5"/>
    <w:next w:val="1"/>
    <w:qFormat/>
    <w:uiPriority w:val="9"/>
    <w:pPr>
      <w:keepNext/>
      <w:keepLines/>
      <w:widowControl w:val="0"/>
      <w:numPr>
        <w:ilvl w:val="1"/>
        <w:numId w:val="1"/>
      </w:numPr>
      <w:spacing w:before="260" w:after="260"/>
      <w:outlineLvl w:val="1"/>
    </w:pPr>
    <w:rPr>
      <w:rFonts w:eastAsia="黑体"/>
      <w:b/>
      <w:kern w:val="2"/>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pBdr>
        <w:bottom w:val="single" w:color="auto" w:sz="4" w:space="1"/>
      </w:pBdr>
      <w:contextualSpacing/>
    </w:pPr>
    <w:rPr>
      <w:rFonts w:ascii="等线 Light" w:hAnsi="等线 Light" w:eastAsia="等线 Light"/>
      <w:spacing w:val="5"/>
      <w:sz w:val="52"/>
      <w:szCs w:val="52"/>
    </w:rPr>
  </w:style>
  <w:style w:type="paragraph" w:customStyle="1" w:styleId="5">
    <w:name w:val="正文（公司）"/>
    <w:qFormat/>
    <w:uiPriority w:val="0"/>
    <w:pPr>
      <w:spacing w:line="300" w:lineRule="auto"/>
    </w:pPr>
    <w:rPr>
      <w:rFonts w:ascii="Arial" w:hAnsi="Arial" w:eastAsia="宋体" w:cs="Times New Roman"/>
      <w:sz w:val="24"/>
      <w:szCs w:val="21"/>
      <w:lang w:val="en-US" w:eastAsia="zh-CN" w:bidi="ar-SA"/>
    </w:rPr>
  </w:style>
  <w:style w:type="paragraph" w:styleId="6">
    <w:name w:val="Normal Indent"/>
    <w:basedOn w:val="1"/>
    <w:qFormat/>
    <w:uiPriority w:val="99"/>
    <w:pPr>
      <w:ind w:firstLine="420"/>
    </w:pPr>
    <w:rPr>
      <w:rFonts w:ascii="Times New Roman" w:hAnsi="Times New Roman"/>
      <w:kern w:val="0"/>
      <w:sz w:val="20"/>
      <w:szCs w:val="20"/>
    </w:rPr>
  </w:style>
  <w:style w:type="paragraph" w:styleId="7">
    <w:name w:val="annotation text"/>
    <w:basedOn w:val="1"/>
    <w:link w:val="43"/>
    <w:unhideWhenUsed/>
    <w:qFormat/>
    <w:uiPriority w:val="0"/>
  </w:style>
  <w:style w:type="paragraph" w:styleId="8">
    <w:name w:val="Balloon Text"/>
    <w:basedOn w:val="1"/>
    <w:link w:val="46"/>
    <w:semiHidden/>
    <w:unhideWhenUsed/>
    <w:qFormat/>
    <w:uiPriority w:val="99"/>
    <w:rPr>
      <w:rFonts w:ascii="宋体" w:eastAsia="宋体"/>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45"/>
    <w:semiHidden/>
    <w:unhideWhenUsed/>
    <w:qFormat/>
    <w:uiPriority w:val="99"/>
    <w:pPr>
      <w:jc w:val="left"/>
    </w:pPr>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FollowedHyperlink"/>
    <w:basedOn w:val="14"/>
    <w:semiHidden/>
    <w:unhideWhenUsed/>
    <w:qFormat/>
    <w:uiPriority w:val="99"/>
    <w:rPr>
      <w:color w:val="800080"/>
      <w:u w:val="none"/>
    </w:rPr>
  </w:style>
  <w:style w:type="character" w:styleId="17">
    <w:name w:val="Emphasis"/>
    <w:basedOn w:val="14"/>
    <w:qFormat/>
    <w:uiPriority w:val="20"/>
    <w:rPr>
      <w:b/>
    </w:rPr>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semiHidden/>
    <w:unhideWhenUsed/>
    <w:qFormat/>
    <w:uiPriority w:val="99"/>
    <w:rPr>
      <w:color w:val="0000FF"/>
      <w:u w:val="none"/>
    </w:rPr>
  </w:style>
  <w:style w:type="character" w:styleId="23">
    <w:name w:val="HTML Code"/>
    <w:basedOn w:val="14"/>
    <w:semiHidden/>
    <w:unhideWhenUsed/>
    <w:qFormat/>
    <w:uiPriority w:val="99"/>
    <w:rPr>
      <w:rFonts w:hint="default" w:ascii="monospace" w:hAnsi="monospace" w:eastAsia="monospace" w:cs="monospace"/>
      <w:sz w:val="20"/>
    </w:rPr>
  </w:style>
  <w:style w:type="character" w:styleId="24">
    <w:name w:val="annotation reference"/>
    <w:basedOn w:val="14"/>
    <w:unhideWhenUsed/>
    <w:qFormat/>
    <w:uiPriority w:val="0"/>
    <w:rPr>
      <w:sz w:val="21"/>
      <w:szCs w:val="21"/>
    </w:rPr>
  </w:style>
  <w:style w:type="character" w:styleId="25">
    <w:name w:val="HTML Cite"/>
    <w:basedOn w:val="14"/>
    <w:semiHidden/>
    <w:unhideWhenUsed/>
    <w:qFormat/>
    <w:uiPriority w:val="99"/>
  </w:style>
  <w:style w:type="character" w:styleId="26">
    <w:name w:val="HTML Keyboard"/>
    <w:basedOn w:val="14"/>
    <w:semiHidden/>
    <w:unhideWhenUsed/>
    <w:qFormat/>
    <w:uiPriority w:val="99"/>
    <w:rPr>
      <w:rFonts w:hint="default" w:ascii="monospace" w:hAnsi="monospace" w:eastAsia="monospace" w:cs="monospace"/>
      <w:sz w:val="20"/>
    </w:rPr>
  </w:style>
  <w:style w:type="character" w:styleId="27">
    <w:name w:val="HTML Sample"/>
    <w:basedOn w:val="14"/>
    <w:semiHidden/>
    <w:unhideWhenUsed/>
    <w:qFormat/>
    <w:uiPriority w:val="99"/>
    <w:rPr>
      <w:rFonts w:ascii="monospace" w:hAnsi="monospace" w:eastAsia="monospace" w:cs="monospace"/>
    </w:rPr>
  </w:style>
  <w:style w:type="paragraph" w:styleId="28">
    <w:name w:val="List Paragraph"/>
    <w:basedOn w:val="1"/>
    <w:qFormat/>
    <w:uiPriority w:val="34"/>
    <w:pPr>
      <w:ind w:firstLine="420" w:firstLineChars="200"/>
    </w:pPr>
  </w:style>
  <w:style w:type="paragraph" w:customStyle="1" w:styleId="29">
    <w:name w:val="List Paragraph1"/>
    <w:basedOn w:val="1"/>
    <w:qFormat/>
    <w:uiPriority w:val="99"/>
    <w:pPr>
      <w:ind w:firstLine="420" w:firstLineChars="200"/>
    </w:pPr>
    <w:rPr>
      <w:rFonts w:ascii="Times New Roman" w:hAnsi="Times New Roman"/>
      <w:szCs w:val="21"/>
    </w:rPr>
  </w:style>
  <w:style w:type="paragraph" w:customStyle="1" w:styleId="30">
    <w:name w:val="公司正文"/>
    <w:basedOn w:val="1"/>
    <w:qFormat/>
    <w:uiPriority w:val="0"/>
    <w:pPr>
      <w:spacing w:line="590" w:lineRule="exact"/>
      <w:ind w:firstLine="883" w:firstLineChars="200"/>
    </w:pPr>
    <w:rPr>
      <w:rFonts w:ascii="Calibri" w:hAnsi="Calibri" w:eastAsia="方正仿宋_GBK"/>
      <w:sz w:val="32"/>
    </w:rPr>
  </w:style>
  <w:style w:type="character" w:customStyle="1" w:styleId="31">
    <w:name w:val="mini-outputtext1"/>
    <w:basedOn w:val="14"/>
    <w:qFormat/>
    <w:uiPriority w:val="0"/>
  </w:style>
  <w:style w:type="paragraph" w:customStyle="1" w:styleId="32">
    <w:name w:val="正文首行缩进（公司）"/>
    <w:basedOn w:val="5"/>
    <w:qFormat/>
    <w:uiPriority w:val="0"/>
    <w:pPr>
      <w:spacing w:after="50"/>
      <w:ind w:firstLine="200" w:firstLineChars="200"/>
    </w:p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标题 2（公司）"/>
    <w:basedOn w:val="4"/>
    <w:next w:val="5"/>
    <w:qFormat/>
    <w:uiPriority w:val="0"/>
    <w:pPr>
      <w:numPr>
        <w:numId w:val="2"/>
      </w:numPr>
      <w:spacing w:line="415" w:lineRule="auto"/>
    </w:pPr>
    <w:rPr>
      <w:szCs w:val="32"/>
    </w:rPr>
  </w:style>
  <w:style w:type="paragraph" w:customStyle="1" w:styleId="35">
    <w:name w:val="正文内容"/>
    <w:basedOn w:val="1"/>
    <w:qFormat/>
    <w:uiPriority w:val="0"/>
    <w:pPr>
      <w:spacing w:beforeLines="50" w:afterLines="50" w:line="360" w:lineRule="auto"/>
      <w:ind w:firstLine="480" w:firstLineChars="200"/>
    </w:pPr>
    <w:rPr>
      <w:rFonts w:ascii="Times New Roman" w:hAnsi="Times New Roman"/>
      <w:sz w:val="24"/>
      <w:szCs w:val="20"/>
    </w:rPr>
  </w:style>
  <w:style w:type="paragraph" w:customStyle="1" w:styleId="36">
    <w:name w:val="标题 1（公司）"/>
    <w:basedOn w:val="3"/>
    <w:next w:val="5"/>
    <w:qFormat/>
    <w:uiPriority w:val="0"/>
    <w:pPr>
      <w:numPr>
        <w:numId w:val="2"/>
      </w:numPr>
      <w:pBdr>
        <w:bottom w:val="none" w:color="auto" w:sz="0" w:space="0"/>
      </w:pBdr>
      <w:spacing w:line="576" w:lineRule="auto"/>
    </w:pPr>
  </w:style>
  <w:style w:type="paragraph" w:customStyle="1" w:styleId="3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38">
    <w:name w:val="Table Normal"/>
    <w:qFormat/>
    <w:uiPriority w:val="0"/>
    <w:tblPr>
      <w:tblCellMar>
        <w:top w:w="0" w:type="dxa"/>
        <w:left w:w="0" w:type="dxa"/>
        <w:bottom w:w="0" w:type="dxa"/>
        <w:right w:w="0" w:type="dxa"/>
      </w:tblCellMar>
    </w:tblPr>
  </w:style>
  <w:style w:type="paragraph" w:customStyle="1" w:styleId="39">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
    <w:name w:val="默认"/>
    <w:qFormat/>
    <w:uiPriority w:val="0"/>
    <w:rPr>
      <w:rFonts w:ascii="Helvetica Neue" w:hAnsi="Helvetica Neue" w:eastAsia="Helvetica Neue" w:cs="Helvetica Neue"/>
      <w:color w:val="000000"/>
      <w:sz w:val="22"/>
      <w:szCs w:val="22"/>
      <w:lang w:val="en-US" w:eastAsia="zh-CN" w:bidi="ar-SA"/>
    </w:rPr>
  </w:style>
  <w:style w:type="table" w:customStyle="1" w:styleId="41">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15"/>
    <w:basedOn w:val="14"/>
    <w:qFormat/>
    <w:uiPriority w:val="0"/>
    <w:rPr>
      <w:rFonts w:hint="default" w:ascii="Times New Roman" w:hAnsi="Times New Roman" w:cs="Times New Roman"/>
      <w:b/>
    </w:rPr>
  </w:style>
  <w:style w:type="character" w:customStyle="1" w:styleId="43">
    <w:name w:val="批注文字 字符"/>
    <w:basedOn w:val="14"/>
    <w:link w:val="7"/>
    <w:qFormat/>
    <w:uiPriority w:val="0"/>
    <w:rPr>
      <w:rFonts w:asciiTheme="minorHAnsi" w:hAnsiTheme="minorHAnsi" w:eastAsiaTheme="minorEastAsia" w:cstheme="minorBidi"/>
      <w:kern w:val="2"/>
      <w:sz w:val="21"/>
      <w:szCs w:val="24"/>
    </w:rPr>
  </w:style>
  <w:style w:type="paragraph" w:customStyle="1" w:styleId="44">
    <w:name w:val="彩色列表 - 着色 11"/>
    <w:basedOn w:val="1"/>
    <w:qFormat/>
    <w:uiPriority w:val="34"/>
    <w:pPr>
      <w:widowControl/>
      <w:ind w:firstLine="420" w:firstLineChars="200"/>
      <w:jc w:val="left"/>
    </w:pPr>
    <w:rPr>
      <w:rFonts w:ascii="Times New Roman" w:hAnsi="Times New Roman" w:cs="Times New Roman"/>
      <w:kern w:val="0"/>
      <w:sz w:val="24"/>
      <w:lang w:eastAsia="en-US"/>
    </w:rPr>
  </w:style>
  <w:style w:type="character" w:customStyle="1" w:styleId="45">
    <w:name w:val="批注主题 字符"/>
    <w:basedOn w:val="43"/>
    <w:link w:val="11"/>
    <w:semiHidden/>
    <w:qFormat/>
    <w:uiPriority w:val="99"/>
    <w:rPr>
      <w:rFonts w:asciiTheme="minorHAnsi" w:hAnsiTheme="minorHAnsi" w:eastAsiaTheme="minorEastAsia" w:cstheme="minorBidi"/>
      <w:b/>
      <w:bCs/>
      <w:kern w:val="2"/>
      <w:sz w:val="21"/>
      <w:szCs w:val="24"/>
    </w:rPr>
  </w:style>
  <w:style w:type="character" w:customStyle="1" w:styleId="46">
    <w:name w:val="批注框文本 字符"/>
    <w:basedOn w:val="14"/>
    <w:link w:val="8"/>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3122</Words>
  <Characters>17800</Characters>
  <Lines>148</Lines>
  <Paragraphs>41</Paragraphs>
  <TotalTime>4</TotalTime>
  <ScaleCrop>false</ScaleCrop>
  <LinksUpToDate>false</LinksUpToDate>
  <CharactersWithSpaces>20881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2021-04-20T08:22:00Z</dcterms:created>
  <dc:creator>office2016mac34183</dc:creator>
  <cp:lastModifiedBy>Administrator</cp:lastModifiedBy>
  <dcterms:modified xsi:type="dcterms:W3CDTF">2021-07-19T01:02:48Z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0_btnclosed</vt:lpwstr>
  </property>
  <property fmtid="{D5CDD505-2E9C-101B-9397-08002B2CF9AE}" pid="4" name="ICV">
    <vt:lpwstr>FA9BFFDC9C15410B986A4489E5F5C61F</vt:lpwstr>
  </property>
</Properties>
</file>