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r>
        <w:rPr>
          <w:rFonts w:hint="eastAsia" w:eastAsia="方正黑体_GBK"/>
        </w:rPr>
        <w:t>附件1</w:t>
      </w:r>
    </w:p>
    <w:p/>
    <w:p/>
    <w:p/>
    <w:p/>
    <w:p/>
    <w:p/>
    <w:p>
      <w:pPr>
        <w:jc w:val="center"/>
        <w:rPr>
          <w:rFonts w:eastAsia="方正小标宋_GBK"/>
          <w:sz w:val="52"/>
          <w:szCs w:val="52"/>
        </w:rPr>
      </w:pPr>
      <w:r>
        <w:rPr>
          <w:rFonts w:hint="eastAsia" w:eastAsia="方正小标宋_GBK"/>
          <w:sz w:val="52"/>
          <w:szCs w:val="52"/>
        </w:rPr>
        <w:t>江阴市财政局2021年度部门预算公开</w:t>
      </w:r>
    </w:p>
    <w:p/>
    <w:p/>
    <w:p/>
    <w:p/>
    <w:p>
      <w:pPr>
        <w:widowControl/>
        <w:jc w:val="left"/>
      </w:pPr>
      <w:r>
        <w:br w:type="page"/>
      </w:r>
    </w:p>
    <w:p>
      <w:pPr>
        <w:jc w:val="center"/>
        <w:rPr>
          <w:rFonts w:eastAsia="方正小标宋_GBK"/>
          <w:sz w:val="44"/>
          <w:szCs w:val="44"/>
        </w:rPr>
      </w:pPr>
      <w:r>
        <w:rPr>
          <w:rFonts w:hint="eastAsia" w:eastAsia="方正小标宋_GBK"/>
          <w:sz w:val="44"/>
          <w:szCs w:val="44"/>
        </w:rPr>
        <w:t>目    录</w:t>
      </w:r>
    </w:p>
    <w:p/>
    <w:p>
      <w:pPr>
        <w:rPr>
          <w:rFonts w:eastAsia="方正黑体_GBK"/>
        </w:rPr>
      </w:pPr>
      <w:r>
        <w:rPr>
          <w:rFonts w:hint="eastAsia" w:eastAsia="方正黑体_GBK"/>
        </w:rPr>
        <w:t>第一部分  部门概况</w:t>
      </w:r>
    </w:p>
    <w:p>
      <w:r>
        <w:rPr>
          <w:rFonts w:hint="eastAsia"/>
        </w:rPr>
        <w:t>一、主要职能</w:t>
      </w:r>
    </w:p>
    <w:p>
      <w:r>
        <w:rPr>
          <w:rFonts w:hint="eastAsia"/>
        </w:rPr>
        <w:t>二、部门机构设置及预算单位构成情况</w:t>
      </w:r>
    </w:p>
    <w:p>
      <w:r>
        <w:rPr>
          <w:rFonts w:hint="eastAsia"/>
        </w:rPr>
        <w:t>三、2021年度部门主要工作任务及目标</w:t>
      </w:r>
    </w:p>
    <w:p>
      <w:pPr>
        <w:rPr>
          <w:rFonts w:eastAsia="方正黑体_GBK"/>
        </w:rPr>
      </w:pPr>
      <w:r>
        <w:rPr>
          <w:rFonts w:hint="eastAsia" w:eastAsia="方正黑体_GBK"/>
        </w:rPr>
        <w:t>第二部分  2021年度部门预算表</w:t>
      </w:r>
    </w:p>
    <w:p>
      <w:r>
        <w:rPr>
          <w:rFonts w:hint="eastAsia"/>
        </w:rPr>
        <w:t>一、收支总表</w:t>
      </w:r>
    </w:p>
    <w:p>
      <w:r>
        <w:rPr>
          <w:rFonts w:hint="eastAsia"/>
        </w:rPr>
        <w:t>二、收入总表</w:t>
      </w:r>
    </w:p>
    <w:p>
      <w:r>
        <w:rPr>
          <w:rFonts w:hint="eastAsia"/>
        </w:rPr>
        <w:t>三、支出总表</w:t>
      </w:r>
    </w:p>
    <w:p>
      <w:r>
        <w:rPr>
          <w:rFonts w:hint="eastAsia"/>
        </w:rPr>
        <w:t>四、财政拨款收支总表</w:t>
      </w:r>
    </w:p>
    <w:p>
      <w:r>
        <w:rPr>
          <w:rFonts w:hint="eastAsia"/>
        </w:rPr>
        <w:t>五、财政拨款支出表（功能科目）</w:t>
      </w:r>
    </w:p>
    <w:p>
      <w:r>
        <w:rPr>
          <w:rFonts w:hint="eastAsia"/>
        </w:rPr>
        <w:t>六、财政拨款基本支出表（经济科目）</w:t>
      </w:r>
    </w:p>
    <w:p>
      <w:r>
        <w:rPr>
          <w:rFonts w:hint="eastAsia"/>
        </w:rPr>
        <w:t>七、一般公共预算支出表</w:t>
      </w:r>
    </w:p>
    <w:p>
      <w:r>
        <w:rPr>
          <w:rFonts w:hint="eastAsia"/>
        </w:rPr>
        <w:t>八、一般公共预算基本支出表</w:t>
      </w:r>
    </w:p>
    <w:p>
      <w:r>
        <w:rPr>
          <w:rFonts w:hint="eastAsia"/>
        </w:rPr>
        <w:t>九、一般公共预算“三公”经费、会议费、培训费支出表</w:t>
      </w:r>
    </w:p>
    <w:p>
      <w:r>
        <w:rPr>
          <w:rFonts w:hint="eastAsia"/>
        </w:rPr>
        <w:t>十、政府性基金预算支出表</w:t>
      </w:r>
    </w:p>
    <w:p>
      <w:r>
        <w:rPr>
          <w:rFonts w:hint="eastAsia"/>
        </w:rPr>
        <w:t>十一、一般公共预算机关运行经费支出表</w:t>
      </w:r>
    </w:p>
    <w:p>
      <w:r>
        <w:rPr>
          <w:rFonts w:hint="eastAsia"/>
        </w:rPr>
        <w:t>十二、政府采购支出表</w:t>
      </w:r>
    </w:p>
    <w:p>
      <w:pPr>
        <w:rPr>
          <w:rFonts w:eastAsia="方正黑体_GBK"/>
        </w:rPr>
      </w:pPr>
      <w:r>
        <w:rPr>
          <w:rFonts w:hint="eastAsia" w:eastAsia="方正黑体_GBK"/>
        </w:rPr>
        <w:t>第三部分  2021年度部门预算情况说明</w:t>
      </w:r>
    </w:p>
    <w:p>
      <w:pPr>
        <w:rPr>
          <w:rFonts w:eastAsia="方正黑体_GBK"/>
        </w:rPr>
      </w:pPr>
      <w:r>
        <w:rPr>
          <w:rFonts w:hint="eastAsia" w:eastAsia="方正黑体_GBK"/>
        </w:rPr>
        <w:t>第四部分  名词解释</w:t>
      </w:r>
    </w:p>
    <w:p>
      <w:pPr>
        <w:widowControl/>
        <w:jc w:val="left"/>
        <w:sectPr>
          <w:pgSz w:w="11906" w:h="16838"/>
          <w:pgMar w:top="2041" w:right="1588" w:bottom="1418" w:left="1871" w:header="1134" w:footer="1418" w:gutter="0"/>
          <w:cols w:space="425" w:num="1"/>
          <w:docGrid w:type="linesAndChars" w:linePitch="581" w:charSpace="-3753"/>
        </w:sectPr>
      </w:pPr>
    </w:p>
    <w:p>
      <w:pPr>
        <w:jc w:val="center"/>
        <w:rPr>
          <w:rFonts w:eastAsia="方正小标宋_GBK"/>
          <w:sz w:val="44"/>
          <w:szCs w:val="44"/>
        </w:rPr>
      </w:pPr>
      <w:r>
        <w:rPr>
          <w:rFonts w:hint="eastAsia" w:eastAsia="方正小标宋_GBK"/>
          <w:sz w:val="44"/>
          <w:szCs w:val="44"/>
        </w:rPr>
        <w:t>第一部分  部门概况</w:t>
      </w:r>
    </w:p>
    <w:p>
      <w:pPr>
        <w:overflowPunct w:val="0"/>
        <w:ind w:firstLine="604" w:firstLineChars="200"/>
      </w:pPr>
    </w:p>
    <w:p>
      <w:pPr>
        <w:overflowPunct w:val="0"/>
        <w:ind w:firstLine="604" w:firstLineChars="200"/>
        <w:rPr>
          <w:rFonts w:eastAsia="方正黑体_GBK"/>
        </w:rPr>
      </w:pPr>
      <w:r>
        <w:rPr>
          <w:rFonts w:hint="eastAsia" w:eastAsia="方正黑体_GBK"/>
        </w:rPr>
        <w:t>一、主要职能</w:t>
      </w:r>
    </w:p>
    <w:p>
      <w:pPr>
        <w:overflowPunct w:val="0"/>
        <w:ind w:firstLine="604" w:firstLineChars="200"/>
      </w:pPr>
      <w:r>
        <w:rPr>
          <w:rFonts w:hint="eastAsia"/>
        </w:rPr>
        <w:t>（一）拟订全市财政政策、中期财政规划和改革方案并组织实施。分析预测财政经济形势，研究提出运用财政政策推进高质量发展、综合平衡社会财力、促进镇街园区协调发展和推进基本公共服务均等化等方面建议。研究完善鼓励公益事业发展的财政政策。参与研究社会收入分配政策。</w:t>
      </w:r>
    </w:p>
    <w:p>
      <w:pPr>
        <w:overflowPunct w:val="0"/>
        <w:ind w:firstLine="604" w:firstLineChars="200"/>
      </w:pPr>
      <w:r>
        <w:rPr>
          <w:rFonts w:hint="eastAsia"/>
        </w:rPr>
        <w:t>（二）拟订财政、财务、会计、有关国有资产管理的政策规定。改革完善市对镇街园区财政管理体制，指导镇街园区财政部门开展财政管理工作。</w:t>
      </w:r>
    </w:p>
    <w:p>
      <w:pPr>
        <w:overflowPunct w:val="0"/>
        <w:ind w:firstLine="604" w:firstLineChars="200"/>
      </w:pPr>
      <w:r>
        <w:rPr>
          <w:rFonts w:hint="eastAsia"/>
        </w:rPr>
        <w:t>（三）负责市级各项财政收支管理。编制年度市级预决算草案并组织执行。受市政府委托向市人民代表大会及其常委会报告全市和市级年度预算、执行和决算情况。组织制定经费开支标准、定额，审核批复部门（单位）的年度预决算。组织实施市级预决算公开。</w:t>
      </w:r>
    </w:p>
    <w:p>
      <w:pPr>
        <w:overflowPunct w:val="0"/>
        <w:ind w:firstLine="604" w:firstLineChars="200"/>
      </w:pPr>
      <w:r>
        <w:rPr>
          <w:rFonts w:hint="eastAsia"/>
        </w:rPr>
        <w:t>（四）组织实施预算绩效管理。研究建立全方位、全过程、全覆盖的预算绩效管理体系。负责拟订预算绩效管理工作的有关政策、制度和实施办法。组织开展市级预算绩效管理工作。</w:t>
      </w:r>
    </w:p>
    <w:p>
      <w:pPr>
        <w:overflowPunct w:val="0"/>
        <w:ind w:firstLine="604" w:firstLineChars="200"/>
      </w:pPr>
      <w:r>
        <w:rPr>
          <w:rFonts w:hint="eastAsia"/>
        </w:rPr>
        <w:t>（五）负责政府非税收入管理。按规定管理政府性基金、行政事业性收费和其他非税收入，负责政府性基金预算编制和管理工作，管理财政票据，按规定管理彩票有关资金。</w:t>
      </w:r>
    </w:p>
    <w:p>
      <w:pPr>
        <w:overflowPunct w:val="0"/>
        <w:ind w:firstLine="604" w:firstLineChars="200"/>
      </w:pPr>
      <w:r>
        <w:rPr>
          <w:rFonts w:hint="eastAsia"/>
        </w:rPr>
        <w:t>（六）拟订并组织实施国库管理、国库集中收付制度，指导和监督国库市支库业务，按规定开展国库现金管理工作。组织编制政府财务报告。组织实施政府采购政策、制度并监督管理。</w:t>
      </w:r>
    </w:p>
    <w:p>
      <w:pPr>
        <w:overflowPunct w:val="0"/>
        <w:ind w:firstLine="604" w:firstLineChars="200"/>
      </w:pPr>
      <w:r>
        <w:rPr>
          <w:rFonts w:hint="eastAsia"/>
        </w:rPr>
        <w:t>（七）承担地方政府债务管理工作。负责政府债务余额限额管理，组织开展地方债券相关工作。防范化解政府隐性债务风险。</w:t>
      </w:r>
    </w:p>
    <w:p>
      <w:pPr>
        <w:overflowPunct w:val="0"/>
        <w:ind w:firstLine="604" w:firstLineChars="200"/>
      </w:pPr>
      <w:r>
        <w:rPr>
          <w:rFonts w:hint="eastAsia"/>
        </w:rPr>
        <w:t>（八）代表市政府履行国有企业出资人职责。制定有关国有资产监督管理的行政措施和管理制度，确保国有资产保值增值。指导推进国有企业改革和重组，推进国有企业的现代企业制度建设，完善公司治理结构。建立符合社会主义市场经济体制和现代企业制度要求的选人用人机制，完善经营者激励和约束制度。建立和完善国有资产保值增值指标体系，制定考核标准，负责国有企业工资分配管理工作，制定国有企业负责人收入分配政策并组织实施。负责审核和汇总编制全市国有资本经营预决算草案。制定国有资本经营预算的制度和办法，监管、收缴国有资产产权收益。贯彻实施企业财务管理相关制度。拟订全市行政事业单位国有资产管理政策，组织开展市级行政事业单位国有资产管理工作。牵头编制国有资产管理情况报告。负责督促检查所监管企业贯彻落实国家安全生产方针政策及有关法律法规、标准等工作。</w:t>
      </w:r>
    </w:p>
    <w:p>
      <w:pPr>
        <w:overflowPunct w:val="0"/>
        <w:ind w:firstLine="604" w:firstLineChars="200"/>
      </w:pPr>
      <w:r>
        <w:rPr>
          <w:rFonts w:hint="eastAsia"/>
        </w:rPr>
        <w:t>（九）拟订并组织实施支持产业发展、促进产业结构调整的财政政策。负责办理和监督市级财政经济发展支出、政府性投资项目财政拨款。拟订促进地方金融业发展和引导金融支持实体经济的财政政策并组织实施。承担全市政府与社会资本合作管理工作。承担市级政府投资基金管理工作，负责政府投资基金市级财政出资的资产管理。</w:t>
      </w:r>
    </w:p>
    <w:p>
      <w:pPr>
        <w:overflowPunct w:val="0"/>
        <w:ind w:firstLine="604" w:firstLineChars="200"/>
      </w:pPr>
      <w:r>
        <w:rPr>
          <w:rFonts w:hint="eastAsia"/>
        </w:rPr>
        <w:t>（十）研究拟订支持行政政法、教科文等改革与发展的财政政策。拟订行政事业性经费财务管理制度，监督执行行政事业单位财务会计制度。</w:t>
      </w:r>
    </w:p>
    <w:p>
      <w:pPr>
        <w:overflowPunct w:val="0"/>
        <w:ind w:firstLine="604" w:firstLineChars="200"/>
      </w:pPr>
      <w:r>
        <w:rPr>
          <w:rFonts w:hint="eastAsia"/>
        </w:rPr>
        <w:t>（十一）参与拟订市级基建投资的有关政策，制定基本建设财务制度。负责相关政策性补贴和专项储备资金财政管理工作。负责拟订政府投资评审政策，管理和监督投资评审活动。参与拟订自然资源和生态环境领域发展规划和政策。</w:t>
      </w:r>
    </w:p>
    <w:p>
      <w:pPr>
        <w:overflowPunct w:val="0"/>
        <w:ind w:firstLine="604" w:firstLineChars="200"/>
      </w:pPr>
      <w:r>
        <w:rPr>
          <w:rFonts w:hint="eastAsia"/>
        </w:rPr>
        <w:t>（十二）参与拟订有关社会保障政策。负责审核和汇总编制全市社会保险基金预决算草案，拟订和执行社会保障资金（基金）财务管理制度，承担社会保障资金（基金）财政监管工作。</w:t>
      </w:r>
    </w:p>
    <w:p>
      <w:pPr>
        <w:overflowPunct w:val="0"/>
        <w:ind w:firstLine="604" w:firstLineChars="200"/>
      </w:pPr>
      <w:r>
        <w:rPr>
          <w:rFonts w:hint="eastAsia"/>
        </w:rPr>
        <w:t>（十三）研究拟订财政支持农业农村发展和农村综合改革政策并负责相关资金管理。拟订财政支农资金管理制度，承担财政支持实施乡村振兴战略相关工作。指导全市镇街园区财政建设工作。</w:t>
      </w:r>
    </w:p>
    <w:p>
      <w:pPr>
        <w:overflowPunct w:val="0"/>
        <w:ind w:firstLine="604" w:firstLineChars="200"/>
      </w:pPr>
      <w:r>
        <w:rPr>
          <w:rFonts w:hint="eastAsia"/>
        </w:rPr>
        <w:t>（十四）会同有关部门拟订国有土地、户外广告、政府性投资公共停车泊位等国有资源收入政策，参与国有土地、户外广告、政府性投资公共停车泊位等国有资源使用政策的研究和制度改革。参与住房保障政策研究，管理住房改革预算资金。</w:t>
      </w:r>
    </w:p>
    <w:p>
      <w:pPr>
        <w:overflowPunct w:val="0"/>
        <w:ind w:firstLine="604" w:firstLineChars="200"/>
      </w:pPr>
      <w:r>
        <w:rPr>
          <w:rFonts w:hint="eastAsia"/>
        </w:rPr>
        <w:t>（十五）依法管理全市会计工作。监督和规范会计行为，组织实施国家统一的会计制度，指导和监督注册会计师和会计师事务所的业务。</w:t>
      </w:r>
    </w:p>
    <w:p>
      <w:pPr>
        <w:overflowPunct w:val="0"/>
        <w:ind w:firstLine="604" w:firstLineChars="200"/>
      </w:pPr>
      <w:r>
        <w:rPr>
          <w:rFonts w:hint="eastAsia"/>
        </w:rPr>
        <w:t>（十六）承担财税法律法规、规章和政策执行情况、预算管理有关监督工作，反映财政收支管理中的重大问题，提出加强财政管理的政策建议，依法处理财政违纪违规行为。</w:t>
      </w:r>
    </w:p>
    <w:p>
      <w:pPr>
        <w:overflowPunct w:val="0"/>
        <w:ind w:firstLine="604" w:firstLineChars="200"/>
      </w:pPr>
      <w:r>
        <w:rPr>
          <w:rFonts w:hint="eastAsia"/>
        </w:rPr>
        <w:t>（十七）制定财政科学研究和教育规划，组织财政人才培训，负责财政信息化管理和财政信息宣传工作。</w:t>
      </w:r>
    </w:p>
    <w:p>
      <w:pPr>
        <w:overflowPunct w:val="0"/>
        <w:ind w:firstLine="604" w:firstLineChars="200"/>
      </w:pPr>
      <w:r>
        <w:rPr>
          <w:rFonts w:hint="eastAsia"/>
        </w:rPr>
        <w:t>（十八）承担公共安全体系建设的相关任务。</w:t>
      </w:r>
    </w:p>
    <w:p>
      <w:pPr>
        <w:overflowPunct w:val="0"/>
        <w:ind w:firstLine="604" w:firstLineChars="200"/>
      </w:pPr>
      <w:r>
        <w:rPr>
          <w:rFonts w:hint="eastAsia"/>
        </w:rPr>
        <w:t>（十九）完成市委、市政府交办的其他任务。</w:t>
      </w:r>
    </w:p>
    <w:p>
      <w:pPr>
        <w:overflowPunct w:val="0"/>
        <w:ind w:firstLine="604" w:firstLineChars="200"/>
      </w:pPr>
      <w:r>
        <w:rPr>
          <w:rFonts w:hint="eastAsia"/>
        </w:rPr>
        <w:t>（二十）职能转变</w:t>
      </w:r>
    </w:p>
    <w:p>
      <w:pPr>
        <w:overflowPunct w:val="0"/>
        <w:ind w:firstLine="604" w:firstLineChars="200"/>
      </w:pPr>
      <w:r>
        <w:rPr>
          <w:rFonts w:hint="eastAsia"/>
        </w:rPr>
        <w:t>1．强化财政经济形势分析，建立健全重大问题研究和政策储备工作机制，综合运用信息化等手段，提升财政经济分析预测能力。</w:t>
      </w:r>
    </w:p>
    <w:p>
      <w:pPr>
        <w:overflowPunct w:val="0"/>
        <w:ind w:firstLine="604" w:firstLineChars="200"/>
      </w:pPr>
      <w:r>
        <w:rPr>
          <w:rFonts w:hint="eastAsia"/>
        </w:rPr>
        <w:t>2．深化财税体制改革。进一步转变职能，深化简政放权、放管结合、优化服务，优化营商环境，创新监管方式，加强事中事后监管。加快建立现代财政制度，完善转移支付制度，优化支出结构，全面实施绩效管理，建立全面规范透明、标准科学、约束有力的预算制度。推进市对镇街园区财政事权和支出责任划分改革，建立权责清晰、财力协调、区域均衡的市和镇街园区财政关系。落实国家、省深化税收制度改革部署，全面推行政府性基金和行政事业性收费清单管理，完善监督制度。</w:t>
      </w:r>
    </w:p>
    <w:p>
      <w:pPr>
        <w:overflowPunct w:val="0"/>
        <w:ind w:firstLine="604" w:firstLineChars="200"/>
      </w:pPr>
      <w:r>
        <w:rPr>
          <w:rFonts w:hint="eastAsia"/>
        </w:rPr>
        <w:t>3．防范化解地方政府债务风险。规范举债融资机制，构建“闭环”管理体系，严控法定限额内债务风险，着力防控隐性债务风险，督促镇街园区有效落实隐性债务化解方案，牢牢守住不发生系统性风险的底线。</w:t>
      </w:r>
    </w:p>
    <w:p>
      <w:pPr>
        <w:overflowPunct w:val="0"/>
        <w:ind w:firstLine="604" w:firstLineChars="200"/>
        <w:rPr>
          <w:rFonts w:eastAsia="方正黑体_GBK"/>
        </w:rPr>
      </w:pPr>
      <w:r>
        <w:rPr>
          <w:rFonts w:hint="eastAsia" w:eastAsia="方正黑体_GBK"/>
        </w:rPr>
        <w:t>二、部门机构设置及预算单位构成情况</w:t>
      </w:r>
    </w:p>
    <w:p>
      <w:pPr>
        <w:overflowPunct w:val="0"/>
        <w:ind w:firstLine="604" w:firstLineChars="200"/>
      </w:pPr>
      <w:r>
        <w:rPr>
          <w:rFonts w:hint="eastAsia"/>
        </w:rPr>
        <w:t>1．根据部门职责分工，本部门内设机构包括办公室、法规科、预算科、国库科、政府采购管理科、综合科（挂“非税收入征收管理科”牌子）、政府债务管理科、经济建设科、财政监督检查科、工贸发展科、行教文科、社会保障科、农业农村科 、资产管理科、会计科、绩效管理科、人事教育科、安全生产科。</w:t>
      </w:r>
    </w:p>
    <w:p>
      <w:pPr>
        <w:overflowPunct w:val="0"/>
        <w:ind w:firstLine="604" w:firstLineChars="200"/>
      </w:pPr>
      <w:r>
        <w:rPr>
          <w:rFonts w:hint="eastAsia"/>
        </w:rPr>
        <w:t>本部门下属单位包括：江阴市财政预算审核中心、江阴市非税收入管理结算中心、江阴市财政国库集中支付中心、江阴市财政稽查大队、江阴市财政信息中心、江阴市会计管理中心、江阴市国有企业改革发展服务中心。</w:t>
      </w:r>
    </w:p>
    <w:p>
      <w:pPr>
        <w:overflowPunct w:val="0"/>
        <w:ind w:firstLine="604" w:firstLineChars="200"/>
      </w:pPr>
      <w:r>
        <w:rPr>
          <w:rFonts w:hint="eastAsia"/>
        </w:rPr>
        <w:t>2．从预算单位构成看，纳入本部门2021年部门汇总预算编制范围的预算单位共计8家，具体包括：江阴市财政局本级、江阴市财政预算审核中心、江阴市非税收入管理结算中心、江阴市财政国库集中支付中心、江阴市财政稽查大队、江阴市财政信息中心、江阴市会计管理中心、江阴市国有企业改革发展服务中心。</w:t>
      </w:r>
    </w:p>
    <w:p>
      <w:pPr>
        <w:overflowPunct w:val="0"/>
        <w:ind w:firstLine="604" w:firstLineChars="200"/>
        <w:rPr>
          <w:rFonts w:eastAsia="方正黑体_GBK"/>
        </w:rPr>
      </w:pPr>
      <w:r>
        <w:rPr>
          <w:rFonts w:hint="eastAsia" w:eastAsia="方正黑体_GBK"/>
        </w:rPr>
        <w:t>三、2021年部门主要工作任务及目标</w:t>
      </w:r>
    </w:p>
    <w:p>
      <w:pPr>
        <w:overflowPunct w:val="0"/>
        <w:ind w:firstLine="604" w:firstLineChars="200"/>
      </w:pPr>
      <w:r>
        <w:rPr>
          <w:rFonts w:hint="eastAsia"/>
        </w:rPr>
        <w:t>今年是“十四五”开局之年，</w:t>
      </w:r>
      <w:r>
        <w:rPr>
          <w:rFonts w:hint="eastAsia"/>
          <w:lang w:eastAsia="zh-CN"/>
        </w:rPr>
        <w:t>市财政局将</w:t>
      </w:r>
      <w:r>
        <w:rPr>
          <w:rFonts w:hint="eastAsia"/>
        </w:rPr>
        <w:t>认真贯彻市委十三届十一次全会精神，紧紧围绕“勇当新时代县域高质量发展排头兵、社会主义现代化建设先行军、区域一体化发展领跑者”的战略目标，把握新发展阶段、贯彻新发展理念、融入新发展格局，为江阴高质量发展提供坚实的财政保障。</w:t>
      </w:r>
    </w:p>
    <w:p>
      <w:pPr>
        <w:overflowPunct w:val="0"/>
        <w:ind w:firstLine="604" w:firstLineChars="200"/>
      </w:pPr>
      <w:r>
        <w:rPr>
          <w:rFonts w:hint="eastAsia"/>
        </w:rPr>
        <w:t>一</w:t>
      </w:r>
      <w:r>
        <w:rPr>
          <w:rFonts w:hint="eastAsia"/>
          <w:lang w:eastAsia="zh-CN"/>
        </w:rPr>
        <w:t>是</w:t>
      </w:r>
      <w:r>
        <w:rPr>
          <w:rFonts w:hint="eastAsia"/>
        </w:rPr>
        <w:t>坚持新发展理念，充分发挥财政在构建新发展格局中的引领带动作用。进入新发展阶段，科技创新、产业革命、国家战略布局和区域竞争格局发生新的变化，对财政改革发展提出了新的要求。我们将坚持新发展理念，推动积极的财政政策提质增效、更可持续，为融入长三角一体化、锡澄一体化和“南征北战、东西互搏”发展战略提供全面保障；坚持跳出财政看财政，跳出江阴看江阴，既算经济账，又算政治账、社会账、民生账、生态账；坚持精准施策，实施财政政策、财政资金双轮驱动，发挥好财政资金“四两拨千斤”作用，综合运用财政专项资金、政府债券资金、政府投资基金等政策工具，今年财政重点要设立好政府投资母基金，通过股权投资、贷款贴息、风险补偿、PPP等手段，积极引导社会资本投入，落实好减税降费政策，支持创新发展和产业强市战略，支持重大项目招引，夯实经济基本盘，培育经济新动能，助推发展高质量。</w:t>
      </w:r>
    </w:p>
    <w:p>
      <w:pPr>
        <w:overflowPunct w:val="0"/>
        <w:ind w:firstLine="604" w:firstLineChars="200"/>
      </w:pPr>
      <w:r>
        <w:rPr>
          <w:rFonts w:hint="eastAsia"/>
        </w:rPr>
        <w:t>二</w:t>
      </w:r>
      <w:r>
        <w:rPr>
          <w:rFonts w:hint="eastAsia"/>
          <w:lang w:eastAsia="zh-CN"/>
        </w:rPr>
        <w:t>是</w:t>
      </w:r>
      <w:r>
        <w:rPr>
          <w:rFonts w:hint="eastAsia"/>
        </w:rPr>
        <w:t>科学组织收入，以收入高质量为江阴经济社会发展提供有力支撑。推动“税收、土地、国资”三大财政并进突破。税收财政方面，坚持依法治税理念，不断提高税收规范化、协调化、法治化水平。加大新兴税源经济培育力度，聚焦纳税百强企业培优解困，关注好限售股减持、股权转让和企业兼并重组等一次性税源，强化流动税源管控，力争“十四五”实现税收新突破。土地财政方面，发挥多种要素资源集聚效应，借力锡澄协同发展战略布局，特别是霞客湾科学城规划建设，放大高铁、S1线等重大交通基础设施的辐射带动效应，拉开城市空间格局，提升城市功能品质价值，今年努力实现一般公共预算收入、土地出让收入1:1，对财政收入形成有力支撑。国资财政方面，充分发挥国有资本在促进地方经济发展中的重要作用，推动“资源资产化、资产资本化、资本证券化”，提升国企利税贡献，到2022年，力争实现国资收益上缴财政比例、市属国企资产证券化率两个30%。</w:t>
      </w:r>
    </w:p>
    <w:p>
      <w:pPr>
        <w:overflowPunct w:val="0"/>
        <w:ind w:firstLine="604" w:firstLineChars="200"/>
      </w:pPr>
      <w:r>
        <w:rPr>
          <w:rFonts w:hint="eastAsia"/>
        </w:rPr>
        <w:t>三</w:t>
      </w:r>
      <w:r>
        <w:rPr>
          <w:rFonts w:hint="eastAsia"/>
          <w:lang w:eastAsia="zh-CN"/>
        </w:rPr>
        <w:t>是</w:t>
      </w:r>
      <w:r>
        <w:rPr>
          <w:rFonts w:hint="eastAsia"/>
        </w:rPr>
        <w:t>突出民生导向，切实用政府的“紧日子”换取老百姓的“好日子”。妥善处理好“雪中送炭”和“锦上添花”的关系，突出保基本、促均衡、可持续。把机关过紧日子作为长期方针政策，将更多财力投入民生保障，补齐民生短板，兜牢民生底线。深化健康江阴建设，落实疫情常态化防控要求，加快实施中医院异地新建、市妇幼保健院改扩建等重点工程。落实社保费减免缓缴、失业保险稳岗返还等政策，帮扶企业、稳定就业、促进创业。支持办好民生实事，不断增强人民群众获得感幸福感安全感。实施教育优先发展，有序推进多模式集团化办学。强化环境治理资金保障，支持打好蓝天、碧水、净土保卫战。支持城市更新，优化资金投入机制，切实保障城市更新有序实施。</w:t>
      </w:r>
    </w:p>
    <w:p>
      <w:pPr>
        <w:overflowPunct w:val="0"/>
        <w:ind w:firstLine="604" w:firstLineChars="200"/>
      </w:pPr>
      <w:r>
        <w:rPr>
          <w:rFonts w:hint="eastAsia"/>
        </w:rPr>
        <w:t>四</w:t>
      </w:r>
      <w:r>
        <w:rPr>
          <w:rFonts w:hint="eastAsia"/>
          <w:lang w:eastAsia="zh-CN"/>
        </w:rPr>
        <w:t>是</w:t>
      </w:r>
      <w:r>
        <w:rPr>
          <w:rFonts w:hint="eastAsia"/>
        </w:rPr>
        <w:t>有效防范风险，确保财政平稳健康运行。坚决兜牢“三保”底线，承担起“三保”主体责任，把“三保”支出放在财政支出首位，做到预算编制时“打足”预算、预算执行中严格规范。抓实化解债务风险工作，严格落实中央、省和无锡市部署要求，坚决不踩违法违规举债的红线，牢牢守住不发生系统性风险的底线。加大新增债券争取力度，做好债务结构调优、利率调低、资金资产资源盘活等工作，增加化债资金来源，确保债务总量和债务率稳步下降。</w:t>
      </w:r>
    </w:p>
    <w:p>
      <w:pPr>
        <w:overflowPunct w:val="0"/>
        <w:ind w:firstLine="604" w:firstLineChars="200"/>
      </w:pPr>
      <w:r>
        <w:rPr>
          <w:rFonts w:hint="eastAsia"/>
        </w:rPr>
        <w:t>五</w:t>
      </w:r>
      <w:r>
        <w:rPr>
          <w:rFonts w:hint="eastAsia"/>
          <w:lang w:eastAsia="zh-CN"/>
        </w:rPr>
        <w:t>是</w:t>
      </w:r>
      <w:r>
        <w:rPr>
          <w:rFonts w:hint="eastAsia"/>
        </w:rPr>
        <w:t>深化从严治党，为财政高质量发展提供强大政治保障。要坚持“党建+业务”双推进，强化以财资政、党建引领、业务融合，着力引导党员干部在重点任务、重点项目、重点改革中担当作为、攻坚突破。要坚持“党建+作风”双促进，强化以人民为中心的出发点、便民惠企的落脚点、优化营商环境的突破点，持续深入开展“三转一提”活动。要坚持“党建+队伍”双优化，继续组织好党员干部挂职锻炼、轮岗交流、提拔使用、业务培训，促进干部“立体化成长”。要坚持“党建+群团”双联动，以党建引领带动群团工作，广泛开展党员活动日、工会、志愿服务、财政会计学会等方面活动，激发党员干部的工作热情和创造活力。</w:t>
      </w:r>
    </w:p>
    <w:p>
      <w:pPr>
        <w:widowControl/>
        <w:jc w:val="left"/>
      </w:pPr>
      <w:r>
        <w:br w:type="page"/>
      </w:r>
    </w:p>
    <w:p>
      <w:pPr>
        <w:jc w:val="center"/>
        <w:rPr>
          <w:w w:val="95"/>
          <w:sz w:val="44"/>
          <w:szCs w:val="44"/>
        </w:rPr>
      </w:pPr>
      <w:r>
        <w:rPr>
          <w:rFonts w:eastAsia="方正小标宋_GBK" w:cs="Times New Roman"/>
          <w:w w:val="95"/>
          <w:kern w:val="0"/>
          <w:sz w:val="44"/>
          <w:szCs w:val="44"/>
        </w:rPr>
        <w:t>第二部分</w:t>
      </w:r>
      <w:r>
        <w:rPr>
          <w:rFonts w:hint="eastAsia" w:eastAsia="方正小标宋_GBK" w:cs="Times New Roman"/>
          <w:w w:val="95"/>
          <w:kern w:val="0"/>
          <w:sz w:val="44"/>
          <w:szCs w:val="44"/>
        </w:rPr>
        <w:t xml:space="preserve">  江阴市财政局</w:t>
      </w:r>
      <w:r>
        <w:rPr>
          <w:rFonts w:eastAsia="方正小标宋_GBK" w:cs="Times New Roman"/>
          <w:w w:val="95"/>
          <w:kern w:val="0"/>
          <w:sz w:val="44"/>
          <w:szCs w:val="44"/>
        </w:rPr>
        <w:t>2021年度部门预算表</w:t>
      </w:r>
    </w:p>
    <w:p>
      <w:pPr>
        <w:widowControl/>
        <w:tabs>
          <w:tab w:val="left" w:pos="3073"/>
          <w:tab w:val="left" w:pos="4793"/>
          <w:tab w:val="left" w:pos="8033"/>
        </w:tabs>
        <w:jc w:val="left"/>
        <w:rPr>
          <w:rFonts w:eastAsia="宋体" w:cs="Arial"/>
          <w:kern w:val="0"/>
          <w:sz w:val="22"/>
        </w:rPr>
      </w:pPr>
      <w:r>
        <w:rPr>
          <w:rFonts w:hint="eastAsia" w:eastAsia="宋体" w:cs="Arial"/>
          <w:color w:val="000000"/>
          <w:kern w:val="0"/>
          <w:sz w:val="22"/>
        </w:rPr>
        <w:t>公开01表</w:t>
      </w:r>
    </w:p>
    <w:p>
      <w:pPr>
        <w:widowControl/>
        <w:jc w:val="center"/>
        <w:rPr>
          <w:rFonts w:eastAsia="方正小标宋_GBK" w:cs="Arial"/>
          <w:bCs/>
          <w:color w:val="000000"/>
          <w:kern w:val="0"/>
          <w:sz w:val="36"/>
          <w:szCs w:val="36"/>
        </w:rPr>
      </w:pPr>
      <w:r>
        <w:rPr>
          <w:rFonts w:hint="eastAsia" w:eastAsia="方正小标宋_GBK" w:cs="Arial"/>
          <w:bCs/>
          <w:color w:val="000000"/>
          <w:kern w:val="0"/>
          <w:sz w:val="36"/>
          <w:szCs w:val="36"/>
        </w:rPr>
        <w:t>收支总表</w:t>
      </w:r>
    </w:p>
    <w:p>
      <w:pPr>
        <w:widowControl/>
        <w:tabs>
          <w:tab w:val="left" w:pos="3073"/>
          <w:tab w:val="left" w:pos="8033"/>
        </w:tabs>
        <w:jc w:val="left"/>
        <w:rPr>
          <w:rFonts w:eastAsia="宋体" w:cs="Arial"/>
          <w:color w:val="000000"/>
          <w:kern w:val="0"/>
          <w:sz w:val="22"/>
        </w:rPr>
      </w:pPr>
      <w:r>
        <w:rPr>
          <w:rFonts w:hint="eastAsia" w:eastAsia="宋体" w:cs="Arial"/>
          <w:color w:val="000000"/>
          <w:kern w:val="0"/>
          <w:sz w:val="22"/>
          <w:lang w:eastAsia="zh-CN"/>
        </w:rPr>
        <w:t>部门</w:t>
      </w:r>
      <w:r>
        <w:rPr>
          <w:rFonts w:hint="eastAsia" w:eastAsia="宋体" w:cs="Arial"/>
          <w:color w:val="000000"/>
          <w:kern w:val="0"/>
          <w:sz w:val="22"/>
        </w:rPr>
        <w:t>名称：江阴市财政局                                                   单位：万元</w:t>
      </w:r>
    </w:p>
    <w:tbl>
      <w:tblPr>
        <w:tblStyle w:val="5"/>
        <w:tblW w:w="86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70"/>
        <w:gridCol w:w="1313"/>
        <w:gridCol w:w="3240"/>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083" w:type="dxa"/>
            <w:gridSpan w:val="2"/>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收入</w:t>
            </w:r>
          </w:p>
        </w:tc>
        <w:tc>
          <w:tcPr>
            <w:tcW w:w="4591" w:type="dxa"/>
            <w:gridSpan w:val="2"/>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w:t>
            </w:r>
          </w:p>
        </w:tc>
        <w:tc>
          <w:tcPr>
            <w:tcW w:w="1313"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预算数</w:t>
            </w:r>
          </w:p>
        </w:tc>
        <w:tc>
          <w:tcPr>
            <w:tcW w:w="324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w:t>
            </w:r>
          </w:p>
        </w:tc>
        <w:tc>
          <w:tcPr>
            <w:tcW w:w="1351"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一、一般公共预算拨款收入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一、一般公共服务支出</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二、政府性基金预算拨款收入</w:t>
            </w:r>
          </w:p>
        </w:tc>
        <w:tc>
          <w:tcPr>
            <w:tcW w:w="1313"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二、外交支出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三、国有资本经营预算拨款收入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三、国防支出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四、财政专户管理资金收入</w:t>
            </w:r>
          </w:p>
        </w:tc>
        <w:tc>
          <w:tcPr>
            <w:tcW w:w="1313"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四、公共安全支出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五、事业收入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五、教育支出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六、事业单位经营收入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六、科学技术支出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七、上级补助收入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七、文化旅游体育与传媒支出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八、附属单位上缴收入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八、社会保障和就业支出</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九、其他收入</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九、卫生健康支出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十、节能环保支出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十一、城乡社区支出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十二、农林水支出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十三、交通运输支出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十四、资源勘探工业信息等支出</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十五、商业服务业等支出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十六、金融支出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十七、援助其他地区支出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十八、自然资源海洋气象等支出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十九、住房保障支出</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二十、粮油物资储备支出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二十一、灾害防治及应急管理支出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二十二、预备费</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二十三、其他支出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二十四、转移性支出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二十五、债务还本支出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二十六、债务付息支出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二十七、债务发行费用支出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二十八、抗疫特别国债安排的支出</w:t>
            </w:r>
          </w:p>
        </w:tc>
        <w:tc>
          <w:tcPr>
            <w:tcW w:w="1351"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本年收入合计</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本年支出小计</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上年结转结余</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年终结转结余</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7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收入总计</w:t>
            </w:r>
          </w:p>
        </w:tc>
        <w:tc>
          <w:tcPr>
            <w:tcW w:w="13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支出合计</w:t>
            </w:r>
          </w:p>
        </w:tc>
        <w:tc>
          <w:tcPr>
            <w:tcW w:w="135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r>
    </w:tbl>
    <w:p>
      <w:pPr>
        <w:ind w:firstLine="604" w:firstLineChars="200"/>
        <w:sectPr>
          <w:footerReference r:id="rId3" w:type="default"/>
          <w:pgSz w:w="11906" w:h="16838"/>
          <w:pgMar w:top="2041" w:right="1588" w:bottom="1418" w:left="1871" w:header="1134" w:footer="1418" w:gutter="0"/>
          <w:pgNumType w:start="1"/>
          <w:cols w:space="425" w:num="1"/>
          <w:docGrid w:type="linesAndChars" w:linePitch="581" w:charSpace="-3753"/>
        </w:sectPr>
      </w:pPr>
    </w:p>
    <w:p>
      <w:pPr>
        <w:widowControl/>
        <w:tabs>
          <w:tab w:val="left" w:pos="1373"/>
          <w:tab w:val="left" w:pos="4283"/>
          <w:tab w:val="left" w:pos="5457"/>
          <w:tab w:val="left" w:pos="6303"/>
          <w:tab w:val="left" w:pos="7059"/>
          <w:tab w:val="left" w:pos="7695"/>
          <w:tab w:val="left" w:pos="8271"/>
          <w:tab w:val="left" w:pos="8907"/>
          <w:tab w:val="left" w:pos="9404"/>
          <w:tab w:val="left" w:pos="10000"/>
          <w:tab w:val="left" w:pos="10477"/>
          <w:tab w:val="left" w:pos="10994"/>
          <w:tab w:val="left" w:pos="11451"/>
          <w:tab w:val="left" w:pos="11988"/>
          <w:tab w:val="left" w:pos="12465"/>
          <w:tab w:val="left" w:pos="12982"/>
          <w:tab w:val="left" w:pos="13520"/>
          <w:tab w:val="left" w:pos="14038"/>
        </w:tabs>
        <w:jc w:val="left"/>
        <w:rPr>
          <w:rFonts w:cs="Arial" w:eastAsiaTheme="minorEastAsia"/>
          <w:color w:val="000000"/>
          <w:kern w:val="0"/>
          <w:sz w:val="22"/>
        </w:rPr>
      </w:pPr>
      <w:r>
        <w:rPr>
          <w:rFonts w:hint="eastAsia" w:cs="Arial" w:eastAsiaTheme="minorEastAsia"/>
          <w:color w:val="000000"/>
          <w:kern w:val="0"/>
          <w:sz w:val="22"/>
        </w:rPr>
        <w:t>公开02表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收入总表</w:t>
      </w:r>
    </w:p>
    <w:p>
      <w:pPr>
        <w:widowControl/>
        <w:tabs>
          <w:tab w:val="left" w:pos="1373"/>
          <w:tab w:val="left" w:pos="4283"/>
          <w:tab w:val="left" w:pos="5457"/>
          <w:tab w:val="left" w:pos="6303"/>
          <w:tab w:val="left" w:pos="7059"/>
          <w:tab w:val="left" w:pos="7695"/>
          <w:tab w:val="left" w:pos="8271"/>
          <w:tab w:val="left" w:pos="8907"/>
          <w:tab w:val="left" w:pos="9404"/>
          <w:tab w:val="left" w:pos="10000"/>
          <w:tab w:val="left" w:pos="10477"/>
          <w:tab w:val="left" w:pos="10994"/>
          <w:tab w:val="left" w:pos="11451"/>
          <w:tab w:val="left" w:pos="11988"/>
          <w:tab w:val="left" w:pos="12465"/>
          <w:tab w:val="left" w:pos="13400"/>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单位：万元</w:t>
      </w:r>
    </w:p>
    <w:tbl>
      <w:tblPr>
        <w:tblStyle w:val="5"/>
        <w:tblW w:w="14582" w:type="dxa"/>
        <w:jc w:val="center"/>
        <w:tblLayout w:type="autofit"/>
        <w:tblCellMar>
          <w:top w:w="0" w:type="dxa"/>
          <w:left w:w="108" w:type="dxa"/>
          <w:bottom w:w="0" w:type="dxa"/>
          <w:right w:w="108" w:type="dxa"/>
        </w:tblCellMar>
      </w:tblPr>
      <w:tblGrid>
        <w:gridCol w:w="1280"/>
        <w:gridCol w:w="3051"/>
        <w:gridCol w:w="1174"/>
        <w:gridCol w:w="866"/>
        <w:gridCol w:w="816"/>
        <w:gridCol w:w="636"/>
        <w:gridCol w:w="576"/>
        <w:gridCol w:w="636"/>
        <w:gridCol w:w="497"/>
        <w:gridCol w:w="596"/>
        <w:gridCol w:w="477"/>
        <w:gridCol w:w="517"/>
        <w:gridCol w:w="457"/>
        <w:gridCol w:w="537"/>
        <w:gridCol w:w="477"/>
        <w:gridCol w:w="517"/>
        <w:gridCol w:w="538"/>
        <w:gridCol w:w="518"/>
        <w:gridCol w:w="416"/>
      </w:tblGrid>
      <w:tr>
        <w:tblPrEx>
          <w:tblCellMar>
            <w:top w:w="0" w:type="dxa"/>
            <w:left w:w="108" w:type="dxa"/>
            <w:bottom w:w="0" w:type="dxa"/>
            <w:right w:w="108" w:type="dxa"/>
          </w:tblCellMar>
        </w:tblPrEx>
        <w:trPr>
          <w:trHeight w:val="92" w:hRule="atLeast"/>
          <w:jc w:val="center"/>
        </w:trPr>
        <w:tc>
          <w:tcPr>
            <w:tcW w:w="128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部门（单位）代码</w:t>
            </w:r>
          </w:p>
        </w:tc>
        <w:tc>
          <w:tcPr>
            <w:tcW w:w="305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部门（单位）名称</w:t>
            </w:r>
          </w:p>
        </w:tc>
        <w:tc>
          <w:tcPr>
            <w:tcW w:w="117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6074" w:type="dxa"/>
            <w:gridSpan w:val="10"/>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本年收入</w:t>
            </w:r>
          </w:p>
        </w:tc>
        <w:tc>
          <w:tcPr>
            <w:tcW w:w="3003"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上年结转结余</w:t>
            </w:r>
          </w:p>
        </w:tc>
      </w:tr>
      <w:tr>
        <w:tblPrEx>
          <w:tblCellMar>
            <w:top w:w="0" w:type="dxa"/>
            <w:left w:w="108" w:type="dxa"/>
            <w:bottom w:w="0" w:type="dxa"/>
            <w:right w:w="108" w:type="dxa"/>
          </w:tblCellMar>
        </w:tblPrEx>
        <w:trPr>
          <w:trHeight w:val="454" w:hRule="atLeast"/>
          <w:jc w:val="center"/>
        </w:trPr>
        <w:tc>
          <w:tcPr>
            <w:tcW w:w="12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left"/>
              <w:rPr>
                <w:rFonts w:eastAsia="方正黑体_GBK" w:cs="Arial"/>
                <w:color w:val="000000"/>
                <w:kern w:val="0"/>
                <w:sz w:val="20"/>
                <w:szCs w:val="20"/>
              </w:rPr>
            </w:pPr>
          </w:p>
        </w:tc>
        <w:tc>
          <w:tcPr>
            <w:tcW w:w="3051"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left"/>
              <w:rPr>
                <w:rFonts w:eastAsia="方正黑体_GBK" w:cs="Arial"/>
                <w:color w:val="000000"/>
                <w:kern w:val="0"/>
                <w:sz w:val="20"/>
                <w:szCs w:val="20"/>
              </w:rPr>
            </w:pPr>
          </w:p>
        </w:tc>
        <w:tc>
          <w:tcPr>
            <w:tcW w:w="1174"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0" w:lineRule="atLeast"/>
              <w:jc w:val="left"/>
              <w:rPr>
                <w:rFonts w:eastAsia="方正黑体_GBK" w:cs="Arial"/>
                <w:color w:val="000000"/>
                <w:kern w:val="0"/>
                <w:sz w:val="20"/>
                <w:szCs w:val="20"/>
              </w:rPr>
            </w:pPr>
          </w:p>
        </w:tc>
        <w:tc>
          <w:tcPr>
            <w:tcW w:w="86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小计</w:t>
            </w:r>
          </w:p>
        </w:tc>
        <w:tc>
          <w:tcPr>
            <w:tcW w:w="81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一般公共预算</w:t>
            </w:r>
          </w:p>
        </w:tc>
        <w:tc>
          <w:tcPr>
            <w:tcW w:w="63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政府性基金预算</w:t>
            </w:r>
          </w:p>
        </w:tc>
        <w:tc>
          <w:tcPr>
            <w:tcW w:w="57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国有资本经营预算</w:t>
            </w:r>
          </w:p>
        </w:tc>
        <w:tc>
          <w:tcPr>
            <w:tcW w:w="63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财政专户管理资金</w:t>
            </w:r>
          </w:p>
        </w:tc>
        <w:tc>
          <w:tcPr>
            <w:tcW w:w="49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事业收入</w:t>
            </w:r>
          </w:p>
        </w:tc>
        <w:tc>
          <w:tcPr>
            <w:tcW w:w="59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事业单位经营收入</w:t>
            </w:r>
          </w:p>
        </w:tc>
        <w:tc>
          <w:tcPr>
            <w:tcW w:w="47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上级补助收入</w:t>
            </w:r>
          </w:p>
        </w:tc>
        <w:tc>
          <w:tcPr>
            <w:tcW w:w="51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附属单位上缴收入</w:t>
            </w:r>
          </w:p>
        </w:tc>
        <w:tc>
          <w:tcPr>
            <w:tcW w:w="45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其他收入</w:t>
            </w:r>
          </w:p>
        </w:tc>
        <w:tc>
          <w:tcPr>
            <w:tcW w:w="53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小计</w:t>
            </w:r>
          </w:p>
        </w:tc>
        <w:tc>
          <w:tcPr>
            <w:tcW w:w="47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一般公共预算</w:t>
            </w:r>
          </w:p>
        </w:tc>
        <w:tc>
          <w:tcPr>
            <w:tcW w:w="517"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政府性基金预算</w:t>
            </w:r>
          </w:p>
        </w:tc>
        <w:tc>
          <w:tcPr>
            <w:tcW w:w="538"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国有资本经营预算</w:t>
            </w:r>
          </w:p>
        </w:tc>
        <w:tc>
          <w:tcPr>
            <w:tcW w:w="518"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财政专户管理资金</w:t>
            </w:r>
          </w:p>
        </w:tc>
        <w:tc>
          <w:tcPr>
            <w:tcW w:w="416" w:type="dxa"/>
            <w:tcBorders>
              <w:top w:val="nil"/>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单位资金</w:t>
            </w:r>
          </w:p>
        </w:tc>
      </w:tr>
      <w:tr>
        <w:tblPrEx>
          <w:tblCellMar>
            <w:top w:w="0" w:type="dxa"/>
            <w:left w:w="108" w:type="dxa"/>
            <w:bottom w:w="0" w:type="dxa"/>
            <w:right w:w="108" w:type="dxa"/>
          </w:tblCellMar>
        </w:tblPrEx>
        <w:trPr>
          <w:trHeight w:val="454"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3051"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174"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hint="default" w:eastAsia="宋体" w:cs="Arial"/>
                <w:color w:val="000000"/>
                <w:kern w:val="0"/>
                <w:sz w:val="20"/>
                <w:szCs w:val="20"/>
                <w:lang w:val="en-US" w:eastAsia="zh-CN"/>
              </w:rPr>
            </w:pPr>
            <w:r>
              <w:rPr>
                <w:rFonts w:hint="eastAsia" w:eastAsia="宋体" w:cs="Arial"/>
                <w:color w:val="000000"/>
                <w:kern w:val="0"/>
                <w:sz w:val="20"/>
                <w:szCs w:val="20"/>
                <w:lang w:val="en-US" w:eastAsia="zh-CN"/>
              </w:rPr>
              <w:t>5645.25</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318</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江阴市财政局</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hint="default" w:eastAsia="宋体" w:cs="Arial"/>
                <w:color w:val="000000"/>
                <w:kern w:val="0"/>
                <w:sz w:val="20"/>
                <w:szCs w:val="20"/>
                <w:lang w:val="en-US" w:eastAsia="zh-CN"/>
              </w:rPr>
            </w:pPr>
            <w:r>
              <w:rPr>
                <w:rFonts w:hint="eastAsia" w:eastAsia="宋体" w:cs="Arial"/>
                <w:color w:val="000000"/>
                <w:kern w:val="0"/>
                <w:sz w:val="20"/>
                <w:szCs w:val="20"/>
                <w:lang w:val="en-US" w:eastAsia="zh-CN"/>
              </w:rPr>
              <w:t>5645.25</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318002</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江阴市财政局机关</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3030.07</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3030.07</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hint="default" w:eastAsia="宋体" w:cs="Arial"/>
                <w:color w:val="000000"/>
                <w:kern w:val="0"/>
                <w:sz w:val="20"/>
                <w:szCs w:val="20"/>
                <w:lang w:val="en-US" w:eastAsia="zh-CN"/>
              </w:rPr>
            </w:pPr>
            <w:r>
              <w:rPr>
                <w:rFonts w:hint="eastAsia" w:eastAsia="宋体" w:cs="Arial"/>
                <w:color w:val="000000"/>
                <w:kern w:val="0"/>
                <w:sz w:val="20"/>
                <w:szCs w:val="20"/>
                <w:lang w:val="en-US" w:eastAsia="zh-CN"/>
              </w:rPr>
              <w:t>3030.07</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318004</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江阴市非税收入管理结算中心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69.97</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69.97</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69.97</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318005</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江阴市会计管理中心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503.25</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503.25</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503.25</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318007</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江阴市财政稽查大队</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314.49</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314.49</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314.49</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318009</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江阴市财政预算审核中心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166.26</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166.26</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166.26</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318011</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江阴市财政国库支付中心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296.03</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296.03</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296.03</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318012</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江阴市财政信息中心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833.28</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833.28</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833.28</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28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318016</w:t>
            </w:r>
          </w:p>
        </w:tc>
        <w:tc>
          <w:tcPr>
            <w:tcW w:w="305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江阴市国有企业改革发展服务中心</w:t>
            </w:r>
          </w:p>
        </w:tc>
        <w:tc>
          <w:tcPr>
            <w:tcW w:w="1174"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431.9</w:t>
            </w:r>
          </w:p>
        </w:tc>
        <w:tc>
          <w:tcPr>
            <w:tcW w:w="86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431.9</w:t>
            </w:r>
          </w:p>
        </w:tc>
        <w:tc>
          <w:tcPr>
            <w:tcW w:w="8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431.9</w:t>
            </w: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7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63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9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9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5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7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3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518"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c>
          <w:tcPr>
            <w:tcW w:w="41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p>
        </w:tc>
      </w:tr>
    </w:tbl>
    <w:p>
      <w:pPr>
        <w:widowControl/>
        <w:spacing w:line="20" w:lineRule="exact"/>
        <w:jc w:val="left"/>
        <w:rPr>
          <w:rFonts w:eastAsia="宋体" w:cs="Arial"/>
          <w:color w:val="000000"/>
          <w:kern w:val="0"/>
          <w:sz w:val="18"/>
          <w:szCs w:val="18"/>
        </w:rPr>
      </w:pPr>
      <w:r>
        <w:rPr>
          <w:rFonts w:eastAsia="宋体" w:cs="Arial"/>
          <w:color w:val="000000"/>
          <w:kern w:val="0"/>
          <w:sz w:val="18"/>
          <w:szCs w:val="18"/>
        </w:rPr>
        <w:br w:type="page"/>
      </w:r>
    </w:p>
    <w:p>
      <w:pPr>
        <w:widowControl/>
        <w:tabs>
          <w:tab w:val="left" w:pos="1813"/>
          <w:tab w:val="left" w:pos="5083"/>
          <w:tab w:val="left" w:pos="6570"/>
          <w:tab w:val="left" w:pos="7953"/>
          <w:tab w:val="left" w:pos="9396"/>
          <w:tab w:val="left" w:pos="10652"/>
          <w:tab w:val="left" w:pos="11893"/>
        </w:tabs>
        <w:jc w:val="left"/>
        <w:rPr>
          <w:rFonts w:cs="Arial" w:eastAsiaTheme="minorEastAsia"/>
          <w:color w:val="000000"/>
          <w:kern w:val="0"/>
          <w:sz w:val="22"/>
        </w:rPr>
      </w:pPr>
      <w:r>
        <w:rPr>
          <w:rFonts w:hint="eastAsia" w:cs="Arial" w:eastAsiaTheme="minorEastAsia"/>
          <w:color w:val="000000"/>
          <w:kern w:val="0"/>
          <w:sz w:val="22"/>
        </w:rPr>
        <w:t>公开03表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支出总表</w:t>
      </w:r>
    </w:p>
    <w:p>
      <w:pPr>
        <w:widowControl/>
        <w:tabs>
          <w:tab w:val="left" w:pos="1813"/>
          <w:tab w:val="left" w:pos="6570"/>
          <w:tab w:val="left" w:pos="7953"/>
          <w:tab w:val="left" w:pos="9396"/>
          <w:tab w:val="left" w:pos="10652"/>
          <w:tab w:val="left" w:pos="1189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单位：万元</w:t>
      </w:r>
    </w:p>
    <w:tbl>
      <w:tblPr>
        <w:tblStyle w:val="5"/>
        <w:tblW w:w="13340" w:type="dxa"/>
        <w:jc w:val="center"/>
        <w:tblLayout w:type="autofit"/>
        <w:tblCellMar>
          <w:top w:w="0" w:type="dxa"/>
          <w:left w:w="108" w:type="dxa"/>
          <w:bottom w:w="0" w:type="dxa"/>
          <w:right w:w="108" w:type="dxa"/>
        </w:tblCellMar>
      </w:tblPr>
      <w:tblGrid>
        <w:gridCol w:w="1720"/>
        <w:gridCol w:w="3270"/>
        <w:gridCol w:w="1487"/>
        <w:gridCol w:w="1383"/>
        <w:gridCol w:w="1443"/>
        <w:gridCol w:w="1256"/>
        <w:gridCol w:w="1241"/>
        <w:gridCol w:w="1540"/>
      </w:tblGrid>
      <w:tr>
        <w:tblPrEx>
          <w:tblCellMar>
            <w:top w:w="0" w:type="dxa"/>
            <w:left w:w="108" w:type="dxa"/>
            <w:bottom w:w="0" w:type="dxa"/>
            <w:right w:w="108" w:type="dxa"/>
          </w:tblCellMar>
        </w:tblPrEx>
        <w:trPr>
          <w:trHeight w:val="312" w:hRule="atLeast"/>
          <w:jc w:val="center"/>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3270"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1487"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基本支出</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项目支出</w:t>
            </w:r>
          </w:p>
        </w:tc>
        <w:tc>
          <w:tcPr>
            <w:tcW w:w="1256"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事业单位</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经营支出</w:t>
            </w:r>
          </w:p>
        </w:tc>
        <w:tc>
          <w:tcPr>
            <w:tcW w:w="1241"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上缴上级</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支出</w:t>
            </w:r>
          </w:p>
        </w:tc>
        <w:tc>
          <w:tcPr>
            <w:tcW w:w="1540" w:type="dxa"/>
            <w:tcBorders>
              <w:top w:val="single" w:color="000000" w:sz="4" w:space="0"/>
              <w:left w:val="nil"/>
              <w:bottom w:val="single" w:color="000000" w:sz="4" w:space="0"/>
              <w:right w:val="single" w:color="000000" w:sz="4" w:space="0"/>
            </w:tcBorders>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对附属单位</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补助支出</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4140.31</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1504.94</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201</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一般公共服务</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财政事务</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2010601</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行政运行</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2010602</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一般行政管理事务</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2010607</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信息化建设</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2010650</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事业运行</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2010699</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其他财政事务支出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208</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社会保障和就业支出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行政事业单位离退休</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2080505</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2080506</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机关事业单位职业年金缴费支出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215</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资源勘探信息等支出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国有资产监管</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2150799</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其他国有资产监管支出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221</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住房保障支出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住房改革支出</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2210201</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2210202</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提租补贴</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17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2210203</w:t>
            </w:r>
          </w:p>
        </w:tc>
        <w:tc>
          <w:tcPr>
            <w:tcW w:w="327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购房补贴</w:t>
            </w:r>
          </w:p>
        </w:tc>
        <w:tc>
          <w:tcPr>
            <w:tcW w:w="1487"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38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443"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56"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41"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bl>
    <w:p>
      <w:pPr>
        <w:sectPr>
          <w:pgSz w:w="16838" w:h="11906" w:orient="landscape"/>
          <w:pgMar w:top="1134" w:right="1134" w:bottom="1134" w:left="1134" w:header="1134" w:footer="992" w:gutter="0"/>
          <w:cols w:space="425" w:num="1"/>
          <w:docGrid w:type="lines" w:linePitch="581" w:charSpace="-3753"/>
        </w:sectPr>
      </w:pPr>
    </w:p>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公开04表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财政拨款收支总表</w:t>
      </w:r>
    </w:p>
    <w:p>
      <w:pPr>
        <w:widowControl/>
        <w:tabs>
          <w:tab w:val="left" w:pos="307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8646" w:type="dxa"/>
        <w:jc w:val="center"/>
        <w:tblLayout w:type="autofit"/>
        <w:tblCellMar>
          <w:top w:w="0" w:type="dxa"/>
          <w:left w:w="108" w:type="dxa"/>
          <w:bottom w:w="0" w:type="dxa"/>
          <w:right w:w="108" w:type="dxa"/>
        </w:tblCellMar>
      </w:tblPr>
      <w:tblGrid>
        <w:gridCol w:w="2764"/>
        <w:gridCol w:w="1280"/>
        <w:gridCol w:w="3240"/>
        <w:gridCol w:w="1362"/>
      </w:tblGrid>
      <w:tr>
        <w:tblPrEx>
          <w:tblCellMar>
            <w:top w:w="0" w:type="dxa"/>
            <w:left w:w="108" w:type="dxa"/>
            <w:bottom w:w="0" w:type="dxa"/>
            <w:right w:w="108" w:type="dxa"/>
          </w:tblCellMar>
        </w:tblPrEx>
        <w:trPr>
          <w:trHeight w:val="312" w:hRule="atLeast"/>
          <w:jc w:val="center"/>
        </w:trPr>
        <w:tc>
          <w:tcPr>
            <w:tcW w:w="4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收入</w:t>
            </w:r>
          </w:p>
        </w:tc>
        <w:tc>
          <w:tcPr>
            <w:tcW w:w="4602"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 xml:space="preserve">  支出</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nil"/>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w:t>
            </w:r>
          </w:p>
        </w:tc>
        <w:tc>
          <w:tcPr>
            <w:tcW w:w="1280" w:type="dxa"/>
            <w:tcBorders>
              <w:top w:val="nil"/>
              <w:left w:val="nil"/>
              <w:bottom w:val="nil"/>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预算数</w:t>
            </w:r>
          </w:p>
        </w:tc>
        <w:tc>
          <w:tcPr>
            <w:tcW w:w="3240" w:type="dxa"/>
            <w:tcBorders>
              <w:top w:val="nil"/>
              <w:left w:val="nil"/>
              <w:bottom w:val="nil"/>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w:t>
            </w:r>
          </w:p>
        </w:tc>
        <w:tc>
          <w:tcPr>
            <w:tcW w:w="1362" w:type="dxa"/>
            <w:tcBorders>
              <w:top w:val="nil"/>
              <w:left w:val="nil"/>
              <w:bottom w:val="nil"/>
              <w:right w:val="single" w:color="000000" w:sz="4" w:space="0"/>
            </w:tcBorders>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预算数</w:t>
            </w:r>
          </w:p>
        </w:tc>
      </w:tr>
      <w:tr>
        <w:tblPrEx>
          <w:tblCellMar>
            <w:top w:w="0" w:type="dxa"/>
            <w:left w:w="108" w:type="dxa"/>
            <w:bottom w:w="0" w:type="dxa"/>
            <w:right w:w="108" w:type="dxa"/>
          </w:tblCellMar>
        </w:tblPrEx>
        <w:trPr>
          <w:trHeight w:val="312" w:hRule="atLeast"/>
          <w:jc w:val="center"/>
        </w:trPr>
        <w:tc>
          <w:tcPr>
            <w:tcW w:w="276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一、本年收入</w:t>
            </w:r>
          </w:p>
        </w:tc>
        <w:tc>
          <w:tcPr>
            <w:tcW w:w="1280" w:type="dxa"/>
            <w:tcBorders>
              <w:top w:val="single" w:color="000000" w:sz="4" w:space="0"/>
              <w:left w:val="nil"/>
              <w:bottom w:val="nil"/>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tcBorders>
              <w:top w:val="single" w:color="000000" w:sz="4" w:space="0"/>
              <w:left w:val="nil"/>
              <w:bottom w:val="nil"/>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一、本年支出</w:t>
            </w:r>
          </w:p>
        </w:tc>
        <w:tc>
          <w:tcPr>
            <w:tcW w:w="1362" w:type="dxa"/>
            <w:tcBorders>
              <w:top w:val="single" w:color="000000" w:sz="4" w:space="0"/>
              <w:left w:val="nil"/>
              <w:bottom w:val="nil"/>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r>
      <w:tr>
        <w:tblPrEx>
          <w:tblCellMar>
            <w:top w:w="0" w:type="dxa"/>
            <w:left w:w="108" w:type="dxa"/>
            <w:bottom w:w="0" w:type="dxa"/>
            <w:right w:w="108" w:type="dxa"/>
          </w:tblCellMar>
        </w:tblPrEx>
        <w:trPr>
          <w:trHeight w:val="312" w:hRule="atLeast"/>
          <w:jc w:val="center"/>
        </w:trPr>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（一）一般公共预算拨款</w:t>
            </w:r>
          </w:p>
        </w:tc>
        <w:tc>
          <w:tcPr>
            <w:tcW w:w="12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（一）一般公共服务支出</w:t>
            </w:r>
          </w:p>
        </w:tc>
        <w:tc>
          <w:tcPr>
            <w:tcW w:w="136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（二）政府性基金预算拨款</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（二）外交支出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（三）国有资本经营预算拨款</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（三）国防支出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nil"/>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二、上年结转</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（四）公共安全支出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（一）一般公共预算拨款</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（五）教育支出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（二）政府性基金预算拨款</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（六）科学技术支出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（三）国有资本经营预算拨款</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（七）文化旅游体育与传媒支出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（八）社会保障和就业支出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（九）卫生健康支出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（十）节能环保支出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（十一）城乡社区支出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（十二）农林水支出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（十三）交通运输支出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（十四）资源勘探工业信息等支出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（十五）商业服务业等支出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（十六）金融支出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（十七）援助其他地区支出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（十八）自然资源海洋气象等支出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（十九）住房保障支出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（二十）粮油物资储备支出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（二十一）灾害防治及应急管理支出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（二十二）预备费</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（二十三）其他支出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（二十四）转移性支出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（二十五）债务还本支出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（二十六）债务付息支出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（二十七）债务发行费用支出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（二十八）抗疫特别国债安排的支出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　</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二、年终结转结余</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2764"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收入总计</w:t>
            </w:r>
          </w:p>
        </w:tc>
        <w:tc>
          <w:tcPr>
            <w:tcW w:w="128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3240"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center"/>
              <w:rPr>
                <w:rFonts w:eastAsia="宋体" w:cs="Arial"/>
                <w:color w:val="000000"/>
                <w:kern w:val="0"/>
                <w:sz w:val="20"/>
                <w:szCs w:val="20"/>
              </w:rPr>
            </w:pPr>
            <w:r>
              <w:rPr>
                <w:rFonts w:hint="eastAsia" w:eastAsia="宋体" w:cs="Arial"/>
                <w:color w:val="000000"/>
                <w:kern w:val="0"/>
                <w:sz w:val="20"/>
                <w:szCs w:val="20"/>
              </w:rPr>
              <w:t>支出合计</w:t>
            </w:r>
          </w:p>
        </w:tc>
        <w:tc>
          <w:tcPr>
            <w:tcW w:w="1362" w:type="dxa"/>
            <w:tcBorders>
              <w:top w:val="nil"/>
              <w:left w:val="nil"/>
              <w:bottom w:val="single" w:color="000000" w:sz="4" w:space="0"/>
              <w:right w:val="single" w:color="000000" w:sz="4" w:space="0"/>
            </w:tcBorders>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r>
    </w:tbl>
    <w:p>
      <w:pPr>
        <w:spacing w:line="20" w:lineRule="exact"/>
      </w:pPr>
    </w:p>
    <w:p>
      <w:pPr>
        <w:spacing w:line="20" w:lineRule="exact"/>
        <w:sectPr>
          <w:pgSz w:w="11906" w:h="16838"/>
          <w:pgMar w:top="2041" w:right="1588" w:bottom="1418" w:left="1871" w:header="1134" w:footer="1418" w:gutter="0"/>
          <w:cols w:space="425" w:num="1"/>
          <w:docGrid w:type="linesAndChars" w:linePitch="581" w:charSpace="-3753"/>
        </w:sectPr>
      </w:pPr>
    </w:p>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公开05表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财政拨款支出表（功能科目）</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rPr>
        <w:t>部门名称：江阴市财政局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3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1"/>
        <w:gridCol w:w="3270"/>
        <w:gridCol w:w="2455"/>
        <w:gridCol w:w="1366"/>
        <w:gridCol w:w="1294"/>
        <w:gridCol w:w="1561"/>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3270"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2455"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4221" w:type="dxa"/>
            <w:gridSpan w:val="3"/>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基本支出</w:t>
            </w:r>
          </w:p>
        </w:tc>
        <w:tc>
          <w:tcPr>
            <w:tcW w:w="1913"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327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2455"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366"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小计</w:t>
            </w:r>
          </w:p>
        </w:tc>
        <w:tc>
          <w:tcPr>
            <w:tcW w:w="1294"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人员经费</w:t>
            </w:r>
          </w:p>
        </w:tc>
        <w:tc>
          <w:tcPr>
            <w:tcW w:w="1561"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公用经费</w:t>
            </w:r>
          </w:p>
        </w:tc>
        <w:tc>
          <w:tcPr>
            <w:tcW w:w="1913"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4140.31</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3850.55</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1504.94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一般公共服务</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2736.88</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财政事务</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2736.88</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行政运行</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1589.81</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187.31</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一般行政管理事务</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2010607</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信息化建设</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2010650</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事业运行</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1147.08</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102.45</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2010699</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其他财政事务支出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208</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社会保障和就业支出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行政事业单位离退休</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2080506</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机关事业单位职业年金缴费支出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215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资源勘探信息等支出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国有资产监管</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2150799</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其他国有资产监管支出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221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住房保障支出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住房改革支出</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提租补贴</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1"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2210203</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购房补贴</w:t>
            </w:r>
          </w:p>
        </w:tc>
        <w:tc>
          <w:tcPr>
            <w:tcW w:w="245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3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29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56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bl>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公开06表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财政拨款基本支出表（经济科目）</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3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20"/>
        <w:gridCol w:w="4093"/>
        <w:gridCol w:w="2343"/>
        <w:gridCol w:w="2235"/>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6513" w:type="dxa"/>
            <w:gridSpan w:val="2"/>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部门预算支出经济分类科目</w:t>
            </w:r>
          </w:p>
        </w:tc>
        <w:tc>
          <w:tcPr>
            <w:tcW w:w="7010" w:type="dxa"/>
            <w:gridSpan w:val="3"/>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本年财政拨款基本支出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242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4093"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2343"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2235"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人员经费</w:t>
            </w:r>
          </w:p>
        </w:tc>
        <w:tc>
          <w:tcPr>
            <w:tcW w:w="2432"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4140.31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3850.55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工资福利支出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3757.54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3757.54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基本工资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国标工资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津贴补贴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997.41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997.41</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特殊岗位津贴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行政单位津贴补贴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507.35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507.35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3010206</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临时性补贴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9.76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9.76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3010207</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警衔补贴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3010208</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在职人员购房补贴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268.68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268.68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奖金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1237.97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1237.97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十三月工资（年度考核奖）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94.27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94.27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目标绩效考核奖及休假补贴等</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1143.7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1143.7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伙食补助费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午餐补贴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396.24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396.24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事业单位基础性绩效工资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事业单位奖励性绩效工资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204.53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204.53</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养老保险费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职工基本医疗保险缴费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其他社会保障缴费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11.97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11.97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失业保险费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工伤保险费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生育保险费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在职职工医疗费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其他工资福利支出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编外用工经费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商品和服务支出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286.49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30205</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30206</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电费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30214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租赁费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被装购置（非采购）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公务用车运行维护费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117.29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上下班交通补贴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65.4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车改补贴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37.49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其他商品和服务支出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166.05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商品和服务支出定额补足部分</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11.88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老干部费用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3029908</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离退休老干部专项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对个人和家庭的补助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93.01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93.01</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离休人员生活性补贴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离休人员其他支出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3030106</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88.4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88.4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退休人员其他支出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81.92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81.92</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3030206</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6.48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6.48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抚恤金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丧葬费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抚恤金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职工和遗属生活补助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羁押对象费用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3030503</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其他人员生活补助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30307</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离退休职工医疗费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助学金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助学金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青少年业余体校学员伙食补助费和生活费补贴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其他对个人和家庭的补助支出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2.35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2.35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儿童医疗统筹费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幼托管理费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310</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资本性支出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3109901</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3109902</w:t>
            </w:r>
          </w:p>
        </w:tc>
        <w:tc>
          <w:tcPr>
            <w:tcW w:w="409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其他资本性支出（非采购）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w:t>
            </w:r>
          </w:p>
        </w:tc>
      </w:tr>
    </w:tbl>
    <w:p>
      <w:pPr>
        <w:widowControl/>
        <w:jc w:val="left"/>
      </w:pPr>
      <w:r>
        <w:br w:type="page"/>
      </w:r>
    </w:p>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公开07表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一般公共预算支出表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rPr>
        <w:t>部门名称：江阴市财政局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3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20"/>
        <w:gridCol w:w="3282"/>
        <w:gridCol w:w="2449"/>
        <w:gridCol w:w="1365"/>
        <w:gridCol w:w="1293"/>
        <w:gridCol w:w="1560"/>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3282"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2449"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4218" w:type="dxa"/>
            <w:gridSpan w:val="3"/>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基本支出</w:t>
            </w:r>
          </w:p>
        </w:tc>
        <w:tc>
          <w:tcPr>
            <w:tcW w:w="1911"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3282"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2449"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365"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小计</w:t>
            </w:r>
          </w:p>
        </w:tc>
        <w:tc>
          <w:tcPr>
            <w:tcW w:w="1293"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人员经费</w:t>
            </w:r>
          </w:p>
        </w:tc>
        <w:tc>
          <w:tcPr>
            <w:tcW w:w="156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公用经费</w:t>
            </w:r>
          </w:p>
        </w:tc>
        <w:tc>
          <w:tcPr>
            <w:tcW w:w="1911"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合计</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5645.25</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4140.31</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3850.55</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1504.94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201</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一般公共服务</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2736.88</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财政事务</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4496.72</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3026.64</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2736.88</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1470.08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2010601</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行政运行</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1777.11</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1589.81</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187.31</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2010602</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一般行政管理事务</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567.61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2010607</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信息化建设</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572.47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2010650</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事业运行</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1249.53</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1147.08</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102.45</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2010699</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其他财政事务支出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208</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社会保障和就业支出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20805</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行政事业单位离退休</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331.31</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2080505</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2080506</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机关事业单位职业年金缴费支出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215</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资源勘探信息等支出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21507</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国有资产监管</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2150799</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其他国有资产监管支出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221</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住房保障支出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22102</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住房改革支出</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782.36</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2210201</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2210202</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提租补贴</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350.6</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20"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2210203</w:t>
            </w:r>
          </w:p>
        </w:tc>
        <w:tc>
          <w:tcPr>
            <w:tcW w:w="3282" w:type="dxa"/>
            <w:shd w:val="clear" w:color="auto" w:fill="auto"/>
            <w:noWrap/>
            <w:vAlign w:val="center"/>
          </w:tcPr>
          <w:p>
            <w:pPr>
              <w:widowControl/>
              <w:spacing w:line="0" w:lineRule="atLeast"/>
              <w:rPr>
                <w:rFonts w:eastAsia="宋体" w:cs="Arial"/>
                <w:color w:val="000000"/>
                <w:kern w:val="0"/>
                <w:sz w:val="20"/>
                <w:szCs w:val="20"/>
              </w:rPr>
            </w:pPr>
            <w:r>
              <w:rPr>
                <w:rFonts w:hint="eastAsia" w:eastAsia="宋体" w:cs="Arial"/>
                <w:color w:val="000000"/>
                <w:kern w:val="0"/>
                <w:sz w:val="20"/>
                <w:szCs w:val="20"/>
              </w:rPr>
              <w:t xml:space="preserve">    购房补贴</w:t>
            </w:r>
          </w:p>
        </w:tc>
        <w:tc>
          <w:tcPr>
            <w:tcW w:w="2449"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3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29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91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bl>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公开08表</w:t>
      </w:r>
    </w:p>
    <w:p>
      <w:pPr>
        <w:widowControl/>
        <w:jc w:val="center"/>
        <w:rPr>
          <w:rFonts w:eastAsia="方正小标宋_GBK" w:cs="Arial"/>
          <w:color w:val="000000"/>
          <w:kern w:val="0"/>
          <w:sz w:val="36"/>
          <w:szCs w:val="36"/>
        </w:rPr>
      </w:pPr>
      <w:r>
        <w:rPr>
          <w:rFonts w:hint="eastAsia" w:eastAsia="方正小标宋_GBK" w:cs="Arial"/>
          <w:color w:val="000000"/>
          <w:kern w:val="0"/>
          <w:sz w:val="36"/>
          <w:szCs w:val="36"/>
        </w:rPr>
        <w:t>一般公共预算基本支出表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3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20"/>
        <w:gridCol w:w="3990"/>
        <w:gridCol w:w="2343"/>
        <w:gridCol w:w="2235"/>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6410" w:type="dxa"/>
            <w:gridSpan w:val="2"/>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部门预算支出经济分类科目</w:t>
            </w:r>
          </w:p>
        </w:tc>
        <w:tc>
          <w:tcPr>
            <w:tcW w:w="7010" w:type="dxa"/>
            <w:gridSpan w:val="3"/>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本年一般公共预算基本支出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242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399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2343"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2235"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人员经费</w:t>
            </w:r>
          </w:p>
        </w:tc>
        <w:tc>
          <w:tcPr>
            <w:tcW w:w="2432"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4140.31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3850.55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工资福利支出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3757.54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3757.54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基本工资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国标工资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416.17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津贴补贴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997.41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997.41</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特殊岗位津贴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行政单位津贴补贴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507.35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507.35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3010206</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临时性补贴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9.76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9.76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3010207</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警衔补贴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3010208</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在职人员购房补贴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210.57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268.68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268.68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奖金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1237.97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1237.97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十三月工资（年度考核奖）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94.27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94.27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目标绩效考核奖及休假补贴等</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1143.7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1143.7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伙食补助费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午餐补贴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43.16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396.24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396.24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事业单位基础性绩效工资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191.7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191.7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事业单位奖励性绩效工资</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204.53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204.53</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养老保险费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220.87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110.44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职工基本医疗保险缴费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医疗保险缴费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86.67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其他社会保障缴费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11.97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11.97</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失业保险费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工伤保险费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生育保险费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221.19</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在职职工医疗费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5.45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其他工资福利支出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编外用工经费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商品和服务支出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286.49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286.49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30205</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水费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30206</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电费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30214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租赁费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3022402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被装购置（非采购）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公务用车运行维护费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117.29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上下班交通补贴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65.4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车改补贴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37.49</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其他商品和服务支出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166.05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144.87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商品和服务支出定额补足部分</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11.88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老干部费用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3029908</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离退休老干部专项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对个人和家庭的补助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93.01</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93.01</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离休人员生活性补贴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离休人员其他支出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3030106</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离休人员交通补贴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88.4</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88.4</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退休人员其他支出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退休人员提租补贴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81.92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81.92</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3030206</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退休人员交通补贴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6.48</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6.48</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抚恤金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丧葬费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3030402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抚恤金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职工和遗属生活补助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2.26</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羁押对象费用</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3030503</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其他人员生活补助</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30307</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离退休职工医疗费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助学金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助学金</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3030802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青少年业余体校学员伙食补助费和生活费补贴</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其他对个人和家庭的补助支出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2.35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2.35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儿童医疗统筹费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2.15</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2.15</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幼托管理费</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0.2</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310</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资本性支出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3109901</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2.07</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3109902</w:t>
            </w:r>
          </w:p>
        </w:tc>
        <w:tc>
          <w:tcPr>
            <w:tcW w:w="39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其他资本性支出（非采购）</w:t>
            </w:r>
          </w:p>
        </w:tc>
        <w:tc>
          <w:tcPr>
            <w:tcW w:w="234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w:t>
            </w:r>
          </w:p>
        </w:tc>
        <w:tc>
          <w:tcPr>
            <w:tcW w:w="223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32"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1.2</w:t>
            </w:r>
          </w:p>
        </w:tc>
      </w:tr>
    </w:tbl>
    <w:p/>
    <w:p>
      <w:pPr>
        <w:widowControl/>
        <w:jc w:val="left"/>
      </w:pPr>
      <w:r>
        <w:br w:type="page"/>
      </w:r>
    </w:p>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公开09表</w:t>
      </w:r>
    </w:p>
    <w:p>
      <w:pPr>
        <w:widowControl/>
        <w:tabs>
          <w:tab w:val="left" w:pos="3073"/>
          <w:tab w:val="left" w:pos="4793"/>
          <w:tab w:val="left" w:pos="8033"/>
        </w:tabs>
        <w:jc w:val="center"/>
        <w:rPr>
          <w:rFonts w:eastAsia="方正小标宋_GBK" w:cs="Arial"/>
          <w:color w:val="000000"/>
          <w:kern w:val="0"/>
          <w:sz w:val="36"/>
          <w:szCs w:val="36"/>
        </w:rPr>
      </w:pPr>
      <w:r>
        <w:rPr>
          <w:rFonts w:hint="eastAsia" w:eastAsia="方正小标宋_GBK" w:cs="Arial"/>
          <w:color w:val="000000"/>
          <w:kern w:val="0"/>
          <w:sz w:val="36"/>
          <w:szCs w:val="36"/>
        </w:rPr>
        <w:t>一般公共预算“三公”经费、会议费、培训费支出表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0"/>
        <w:gridCol w:w="2320"/>
        <w:gridCol w:w="1500"/>
        <w:gridCol w:w="1560"/>
        <w:gridCol w:w="1840"/>
        <w:gridCol w:w="1440"/>
        <w:gridCol w:w="1600"/>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2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“三公”经费合计</w:t>
            </w:r>
          </w:p>
        </w:tc>
        <w:tc>
          <w:tcPr>
            <w:tcW w:w="232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因公出国（境）费</w:t>
            </w:r>
          </w:p>
        </w:tc>
        <w:tc>
          <w:tcPr>
            <w:tcW w:w="4900" w:type="dxa"/>
            <w:gridSpan w:val="3"/>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公务用车购置及运行维护费</w:t>
            </w:r>
          </w:p>
        </w:tc>
        <w:tc>
          <w:tcPr>
            <w:tcW w:w="144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公务接待费</w:t>
            </w:r>
          </w:p>
        </w:tc>
        <w:tc>
          <w:tcPr>
            <w:tcW w:w="160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会议费</w:t>
            </w:r>
          </w:p>
        </w:tc>
        <w:tc>
          <w:tcPr>
            <w:tcW w:w="182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培训费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2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232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500"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小计</w:t>
            </w:r>
          </w:p>
        </w:tc>
        <w:tc>
          <w:tcPr>
            <w:tcW w:w="1560"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公务用车</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购置费</w:t>
            </w:r>
          </w:p>
        </w:tc>
        <w:tc>
          <w:tcPr>
            <w:tcW w:w="1840"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公务用车运行</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维护费</w:t>
            </w:r>
          </w:p>
        </w:tc>
        <w:tc>
          <w:tcPr>
            <w:tcW w:w="144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60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82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5.95</w:t>
            </w:r>
          </w:p>
        </w:tc>
        <w:tc>
          <w:tcPr>
            <w:tcW w:w="23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56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84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144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5.95</w:t>
            </w:r>
          </w:p>
        </w:tc>
        <w:tc>
          <w:tcPr>
            <w:tcW w:w="1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7.0</w:t>
            </w:r>
          </w:p>
        </w:tc>
        <w:tc>
          <w:tcPr>
            <w:tcW w:w="18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18.0</w:t>
            </w:r>
          </w:p>
        </w:tc>
      </w:tr>
    </w:tbl>
    <w:p/>
    <w:p>
      <w:pPr>
        <w:widowControl/>
        <w:jc w:val="left"/>
      </w:pPr>
      <w:r>
        <w:br w:type="page"/>
      </w:r>
    </w:p>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公开10表</w:t>
      </w:r>
    </w:p>
    <w:p>
      <w:pPr>
        <w:widowControl/>
        <w:tabs>
          <w:tab w:val="left" w:pos="3073"/>
          <w:tab w:val="left" w:pos="4793"/>
          <w:tab w:val="left" w:pos="8033"/>
        </w:tabs>
        <w:jc w:val="center"/>
        <w:rPr>
          <w:rFonts w:eastAsia="方正小标宋_GBK" w:cs="Arial"/>
          <w:color w:val="000000"/>
          <w:kern w:val="0"/>
          <w:sz w:val="36"/>
          <w:szCs w:val="36"/>
        </w:rPr>
      </w:pPr>
      <w:r>
        <w:rPr>
          <w:rFonts w:hint="eastAsia" w:eastAsia="方正小标宋_GBK" w:cs="Arial"/>
          <w:color w:val="000000"/>
          <w:kern w:val="0"/>
          <w:sz w:val="36"/>
          <w:szCs w:val="36"/>
        </w:rPr>
        <w:t>政府性基金预算支出表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w:t>
      </w:r>
      <w:r>
        <w:rPr>
          <w:rFonts w:cs="Arial" w:eastAsiaTheme="minorEastAsia"/>
          <w:color w:val="000000"/>
          <w:kern w:val="0"/>
          <w:sz w:val="22"/>
        </w:rPr>
        <w:tab/>
      </w:r>
      <w:r>
        <w:rPr>
          <w:rFonts w:hint="eastAsia" w:cs="Arial" w:eastAsiaTheme="minorEastAsia"/>
          <w:color w:val="000000"/>
          <w:kern w:val="0"/>
          <w:sz w:val="22"/>
        </w:rPr>
        <w:t xml:space="preserve">                                  单位：万元</w:t>
      </w:r>
    </w:p>
    <w:tbl>
      <w:tblPr>
        <w:tblStyle w:val="5"/>
        <w:tblW w:w="13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20"/>
        <w:gridCol w:w="3270"/>
        <w:gridCol w:w="2600"/>
        <w:gridCol w:w="2465"/>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3270" w:type="dxa"/>
            <w:vMerge w:val="restart"/>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7730" w:type="dxa"/>
            <w:gridSpan w:val="3"/>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本年政府性基金预算支出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327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260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合计</w:t>
            </w:r>
          </w:p>
        </w:tc>
        <w:tc>
          <w:tcPr>
            <w:tcW w:w="2465"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基本支出</w:t>
            </w:r>
          </w:p>
        </w:tc>
        <w:tc>
          <w:tcPr>
            <w:tcW w:w="2665"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一般公共服务</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财政事务</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行政运行</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一般行政管理事务</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2010607</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信息化建设</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2010650</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事业运行</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2010699</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其他财政事务支出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208</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社会保障和就业支出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行政事业单位离退休</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2080506</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机关事业单位职业年金缴费支出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215</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资源勘探信息等支出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国有资产监管</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2150799</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其他国有资产监管支出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221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住房保障支出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住房改革支出</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2210201</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2210202</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提租补贴</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4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2210203</w:t>
            </w:r>
          </w:p>
        </w:tc>
        <w:tc>
          <w:tcPr>
            <w:tcW w:w="327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购房补贴</w:t>
            </w:r>
          </w:p>
        </w:tc>
        <w:tc>
          <w:tcPr>
            <w:tcW w:w="260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4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2665"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bl>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公开11表</w:t>
      </w:r>
    </w:p>
    <w:p>
      <w:pPr>
        <w:widowControl/>
        <w:tabs>
          <w:tab w:val="left" w:pos="3073"/>
          <w:tab w:val="left" w:pos="4793"/>
          <w:tab w:val="left" w:pos="8033"/>
        </w:tabs>
        <w:jc w:val="center"/>
        <w:rPr>
          <w:rFonts w:eastAsia="方正小标宋_GBK" w:cs="Arial"/>
          <w:color w:val="000000"/>
          <w:kern w:val="0"/>
          <w:sz w:val="36"/>
          <w:szCs w:val="36"/>
        </w:rPr>
      </w:pPr>
      <w:r>
        <w:rPr>
          <w:rFonts w:hint="eastAsia" w:eastAsia="方正小标宋_GBK" w:cs="Arial"/>
          <w:color w:val="000000"/>
          <w:kern w:val="0"/>
          <w:sz w:val="36"/>
          <w:szCs w:val="36"/>
        </w:rPr>
        <w:t>一般公共预算机关运行经费支出预算表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rPr>
        <w:t>部门名称：江阴市财政局                                                                             单位：万元</w:t>
      </w:r>
    </w:p>
    <w:tbl>
      <w:tblPr>
        <w:tblStyle w:val="5"/>
        <w:tblW w:w="129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20"/>
        <w:gridCol w:w="4740"/>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332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科目编码</w:t>
            </w:r>
          </w:p>
        </w:tc>
        <w:tc>
          <w:tcPr>
            <w:tcW w:w="474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科目名称</w:t>
            </w:r>
          </w:p>
        </w:tc>
        <w:tc>
          <w:tcPr>
            <w:tcW w:w="4920" w:type="dxa"/>
            <w:shd w:val="clear" w:color="auto" w:fill="auto"/>
            <w:noWrap/>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机关运行经费支出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工资福利支出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基本工资</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3010101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国标工资</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津贴补贴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特殊岗位津贴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行政单位津贴补贴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3010206</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临时性补贴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3010208</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在职人员购房补贴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3010209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在职人员提租补贴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奖金</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十三月工资（年度考核奖）</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3010302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目标绩效考核奖及休假补贴等</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伙食补助费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3010601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午餐补贴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绩效工资</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事业单位基础性绩效工资</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3010702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事业单位奖励性绩效工资</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机关事业单位基本养老保险缴费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3010801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养老保险费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3010901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职业年金</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职工基本医疗保险缴费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3011001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医疗保险缴费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其他社会保障缴费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失业保险费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工伤保险费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3011203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生育保险费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3011301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住房公积金</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医疗费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3011401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在职职工医疗费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其他工资福利支出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3019901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编外用工经费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商品和服务支出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30205</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水费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30206</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电费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上下班交通补贴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车改补贴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3023903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其他交通费用</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其他商品和服务支出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114.59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其他商品和服务支出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商品和服务支出定额补足部分</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3029908</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离退休老干部专项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303</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对个人和家庭的补助</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3030204</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退休人员提租补贴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3030206</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退休人员交通补贴</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生活补助</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3030501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职工和遗属生活补助</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其他对个人和家庭的补助支出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儿童医疗统筹费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3039902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幼托管理费</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310</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资本性支出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3109901</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其他资本性支出（采购）</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2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3109902</w:t>
            </w:r>
          </w:p>
        </w:tc>
        <w:tc>
          <w:tcPr>
            <w:tcW w:w="474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其他资本性支出（非采购）</w:t>
            </w:r>
          </w:p>
        </w:tc>
        <w:tc>
          <w:tcPr>
            <w:tcW w:w="492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0.3</w:t>
            </w:r>
          </w:p>
        </w:tc>
      </w:tr>
    </w:tbl>
    <w:p>
      <w:pPr>
        <w:widowControl/>
        <w:tabs>
          <w:tab w:val="left" w:pos="3073"/>
          <w:tab w:val="left" w:pos="4793"/>
          <w:tab w:val="left" w:pos="8033"/>
        </w:tabs>
        <w:rPr>
          <w:rFonts w:cs="Arial" w:eastAsiaTheme="minorEastAsia"/>
          <w:color w:val="000000"/>
          <w:kern w:val="0"/>
          <w:sz w:val="22"/>
        </w:rPr>
      </w:pPr>
      <w:r>
        <w:rPr>
          <w:rFonts w:hint="eastAsia" w:cs="Arial" w:eastAsiaTheme="minorEastAsia"/>
          <w:color w:val="000000"/>
          <w:kern w:val="0"/>
          <w:sz w:val="22"/>
        </w:rPr>
        <w:t>公开12表</w:t>
      </w:r>
    </w:p>
    <w:p>
      <w:pPr>
        <w:widowControl/>
        <w:tabs>
          <w:tab w:val="left" w:pos="3073"/>
          <w:tab w:val="left" w:pos="4793"/>
          <w:tab w:val="left" w:pos="8033"/>
        </w:tabs>
        <w:jc w:val="center"/>
        <w:rPr>
          <w:rFonts w:eastAsia="方正小标宋_GBK" w:cs="Arial"/>
          <w:color w:val="000000"/>
          <w:kern w:val="0"/>
          <w:sz w:val="36"/>
          <w:szCs w:val="36"/>
        </w:rPr>
      </w:pPr>
      <w:r>
        <w:rPr>
          <w:rFonts w:hint="eastAsia" w:eastAsia="方正小标宋_GBK" w:cs="Arial"/>
          <w:color w:val="000000"/>
          <w:kern w:val="0"/>
          <w:sz w:val="36"/>
          <w:szCs w:val="36"/>
        </w:rPr>
        <w:t>政府采购支出预算表</w:t>
      </w:r>
    </w:p>
    <w:p>
      <w:pPr>
        <w:widowControl/>
        <w:tabs>
          <w:tab w:val="left" w:pos="3073"/>
          <w:tab w:val="left" w:pos="4793"/>
          <w:tab w:val="left" w:pos="8033"/>
        </w:tabs>
        <w:jc w:val="center"/>
        <w:rPr>
          <w:rFonts w:cs="Arial" w:eastAsiaTheme="minorEastAsia"/>
          <w:color w:val="000000"/>
          <w:kern w:val="0"/>
          <w:sz w:val="22"/>
        </w:rPr>
      </w:pPr>
      <w:r>
        <w:rPr>
          <w:rFonts w:hint="eastAsia" w:cs="Arial" w:eastAsiaTheme="minorEastAsia"/>
          <w:color w:val="000000"/>
          <w:kern w:val="0"/>
          <w:sz w:val="22"/>
          <w:lang w:eastAsia="zh-CN"/>
        </w:rPr>
        <w:t>部门</w:t>
      </w:r>
      <w:r>
        <w:rPr>
          <w:rFonts w:hint="eastAsia" w:cs="Arial" w:eastAsiaTheme="minorEastAsia"/>
          <w:color w:val="000000"/>
          <w:kern w:val="0"/>
          <w:sz w:val="22"/>
        </w:rPr>
        <w:t>名称：江阴市财政局                                                                                                    单位：万元</w:t>
      </w:r>
    </w:p>
    <w:tbl>
      <w:tblPr>
        <w:tblStyle w:val="5"/>
        <w:tblW w:w="148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0"/>
        <w:gridCol w:w="5290"/>
        <w:gridCol w:w="1788"/>
        <w:gridCol w:w="1583"/>
        <w:gridCol w:w="750"/>
        <w:gridCol w:w="766"/>
        <w:gridCol w:w="633"/>
        <w:gridCol w:w="634"/>
        <w:gridCol w:w="641"/>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180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采购品目大类</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（此列单位手工</w:t>
            </w:r>
          </w:p>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填列）</w:t>
            </w:r>
          </w:p>
        </w:tc>
        <w:tc>
          <w:tcPr>
            <w:tcW w:w="529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专项名称（此列单位手工修改）</w:t>
            </w:r>
          </w:p>
        </w:tc>
        <w:tc>
          <w:tcPr>
            <w:tcW w:w="1788"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经济科目</w:t>
            </w:r>
          </w:p>
        </w:tc>
        <w:tc>
          <w:tcPr>
            <w:tcW w:w="1583"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采购物品名称</w:t>
            </w:r>
          </w:p>
        </w:tc>
        <w:tc>
          <w:tcPr>
            <w:tcW w:w="75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采购组织形式</w:t>
            </w:r>
          </w:p>
        </w:tc>
        <w:tc>
          <w:tcPr>
            <w:tcW w:w="2674" w:type="dxa"/>
            <w:gridSpan w:val="4"/>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资金来源</w:t>
            </w:r>
          </w:p>
        </w:tc>
        <w:tc>
          <w:tcPr>
            <w:tcW w:w="930" w:type="dxa"/>
            <w:vMerge w:val="restart"/>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180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529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788"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1583"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75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c>
          <w:tcPr>
            <w:tcW w:w="766"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一般公共预算资金</w:t>
            </w:r>
          </w:p>
        </w:tc>
        <w:tc>
          <w:tcPr>
            <w:tcW w:w="633"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政府性基金</w:t>
            </w:r>
          </w:p>
        </w:tc>
        <w:tc>
          <w:tcPr>
            <w:tcW w:w="634"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其他资金</w:t>
            </w:r>
          </w:p>
        </w:tc>
        <w:tc>
          <w:tcPr>
            <w:tcW w:w="641" w:type="dxa"/>
            <w:shd w:val="clear" w:color="auto" w:fill="auto"/>
            <w:vAlign w:val="center"/>
          </w:tcPr>
          <w:p>
            <w:pPr>
              <w:widowControl/>
              <w:spacing w:line="0" w:lineRule="atLeast"/>
              <w:jc w:val="center"/>
              <w:rPr>
                <w:rFonts w:eastAsia="方正黑体_GBK" w:cs="Arial"/>
                <w:color w:val="000000"/>
                <w:kern w:val="0"/>
                <w:sz w:val="20"/>
                <w:szCs w:val="20"/>
              </w:rPr>
            </w:pPr>
            <w:r>
              <w:rPr>
                <w:rFonts w:hint="eastAsia" w:eastAsia="方正黑体_GBK" w:cs="Arial"/>
                <w:color w:val="000000"/>
                <w:kern w:val="0"/>
                <w:sz w:val="20"/>
                <w:szCs w:val="20"/>
              </w:rPr>
              <w:t>上年结转和结余资金</w:t>
            </w:r>
          </w:p>
        </w:tc>
        <w:tc>
          <w:tcPr>
            <w:tcW w:w="930" w:type="dxa"/>
            <w:vMerge w:val="continue"/>
            <w:shd w:val="clear" w:color="auto" w:fill="auto"/>
            <w:vAlign w:val="center"/>
          </w:tcPr>
          <w:p>
            <w:pPr>
              <w:widowControl/>
              <w:spacing w:line="0" w:lineRule="atLeast"/>
              <w:jc w:val="left"/>
              <w:rPr>
                <w:rFonts w:eastAsia="方正黑体_GBK" w:cs="Arial"/>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合计</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1009.4</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hint="eastAsia" w:eastAsia="宋体" w:cs="Arial"/>
                <w:color w:val="000000"/>
                <w:kern w:val="0"/>
                <w:sz w:val="20"/>
                <w:szCs w:val="20"/>
                <w:lang w:val="en-US" w:eastAsia="zh-CN"/>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 年江阴市财政平台第三等级测评费用_318012]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[2021年江阴市财政局信息化运维汇总][信息化建设][其他商品和服务支出][2021财税库系统运维_318012]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13.25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[2021年江阴市财政局信息化运维汇总][信息化建设][其他商品和服务支出][2021江阴市财政局OA运维_318012]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[2021年江阴市财政局信息化运维汇总][信息化建设][其他商品和服务支出][2021江阴市产业强市发展专项资金申报和服务平台运维_318012]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24.24</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[2021年江阴市财政局信息化运维汇总][信息化建设][其他商品和服务支出][2021江阴市政府采购网上商城运维（含国企）_318012]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8.55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[2021年江阴市财政局信息化运维汇总][信息化建设][其他商品和服务支出][2021年财政平台运维改造-工资统发系统与银行接口改造等_318012]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60.0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[2021年江阴市财政局信息化运维汇总][信息化建设][其他商品和服务支出][2021人防数据备份_318012]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2.54</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[2021年江阴市财政局信息化运维汇总][信息化建设][其他商品和服务支出][2021土地出让金系统运维_318012]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[2021年江阴市财政局信息化运维汇总][信息化建设][其他商品和服务支出][财政平台银行账户管理系统_318012]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18.2</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[2021年江阴市财政局信息化运维汇总][信息化建设][其他商品和服务支出][江阴市产业强市发展专项资金申报和服务平台业务升级_318012]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60.0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hint="default" w:eastAsia="宋体" w:cs="Arial"/>
                <w:color w:val="000000"/>
                <w:kern w:val="0"/>
                <w:sz w:val="20"/>
                <w:szCs w:val="20"/>
                <w:lang w:val="en-US" w:eastAsia="zh-CN"/>
              </w:rPr>
            </w:pPr>
            <w:r>
              <w:rPr>
                <w:rFonts w:hint="eastAsia" w:eastAsia="宋体" w:cs="Arial"/>
                <w:color w:val="000000"/>
                <w:kern w:val="0"/>
                <w:sz w:val="20"/>
                <w:szCs w:val="20"/>
                <w:lang w:val="en-US" w:eastAsia="zh-CN"/>
              </w:rPr>
              <w:t>A02通用设备</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[商品支出定额][事业运行][其他资本性支出（采购）]</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其他资本性支出（采购）</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台式机</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0.74</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A02通用设备</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[商品支出定额][行政运行][其他资本性支出（采购）]</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其他资本性支出（采购）</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便携式计算机</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0.48</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A02通用设备</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[商品支出定额][行政运行][其他资本性支出（采购）]</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其他资本性支出（采购）</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便携式计算机</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0.48</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A02通用设备</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[商品支出定额][行政运行][其他资本性支出（采购）]</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其他资本性支出（采购）</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台式机</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0.37</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hint="default" w:eastAsia="宋体" w:cs="Arial"/>
                <w:color w:val="000000"/>
                <w:kern w:val="0"/>
                <w:sz w:val="20"/>
                <w:szCs w:val="20"/>
                <w:lang w:val="en-US" w:eastAsia="zh-CN"/>
              </w:rPr>
            </w:pPr>
            <w:r>
              <w:rPr>
                <w:rFonts w:hint="eastAsia" w:eastAsia="宋体" w:cs="Arial"/>
                <w:color w:val="000000"/>
                <w:kern w:val="0"/>
                <w:sz w:val="20"/>
                <w:szCs w:val="20"/>
                <w:lang w:val="en-US" w:eastAsia="zh-CN"/>
              </w:rPr>
              <w:t>C09专业技术服务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[市级财政项目绩效评价专项][一般行政管理事务][其他商品和服务支出][绩效评价招投标费用_]</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xml:space="preserve"> 其他</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300.0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[行政事业单位固定资产清查条形码录入][一般行政管理事务][其他商品和服务支出]</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[以前年度采购项目][其他国有资产监管支出][其他商品和服务支出][江阴市国资监管系统二次开发_318016]</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[以前年度采购项目][信息化建设][其他商品和服务支出][2019-2021国库集中支付电子化运维项目_318012]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[以前年度采购项目][信息化建设][其他商品和服务支出][2020公共网上办公平台运维_318012]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96.5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[以前年度采购项目][信息化建设][其他商品和服务支出][2020机房设备维保_318012]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32.9</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[以前年度采购项目][信息化建设][其他商品和服务支出][2020江苏兴财电子化项目安全设备运维_318012]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7.38</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[以前年度采购项目][信息化建设][其他商品和服务支出][2020江阴市采购网上商城运营费_318012]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0.95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[以前年度采购项目][信息化建设][其他商品和服务支出][2020其他运维_318012]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1.86</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[以前年度采购项目][信息化建设][其他商品和服务支出][财政资金支持项目申报服务平台改造_]</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[以前年度采购项目][信息化建设][其他商品和服务支出][绩效管理系统二期及运维_318012]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45.5</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[以前年度采购项目][信息化建设][其他商品和服务支出][江阴市代理机构全流程电子化系统_318012]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20.0</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lang w:val="en-US" w:eastAsia="zh-CN"/>
              </w:rPr>
              <w:t>C02信息技术服务</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[以前年度采购项目][信息化建设][其他商品和服务支出][江阴市非税收缴票据电子化升级改造项目_318012]</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其他计算机设备及软件</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集中采购</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145.6</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145.6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其他商品和服务支出</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0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529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1788"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其他资本性支出（采购）</w:t>
            </w:r>
          </w:p>
        </w:tc>
        <w:tc>
          <w:tcPr>
            <w:tcW w:w="1583"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50" w:type="dxa"/>
            <w:shd w:val="clear" w:color="auto" w:fill="auto"/>
            <w:noWrap/>
            <w:vAlign w:val="center"/>
          </w:tcPr>
          <w:p>
            <w:pPr>
              <w:widowControl/>
              <w:spacing w:line="0" w:lineRule="atLeast"/>
              <w:jc w:val="left"/>
              <w:rPr>
                <w:rFonts w:eastAsia="宋体" w:cs="Arial"/>
                <w:color w:val="000000"/>
                <w:kern w:val="0"/>
                <w:sz w:val="20"/>
                <w:szCs w:val="20"/>
              </w:rPr>
            </w:pPr>
            <w:r>
              <w:rPr>
                <w:rFonts w:hint="eastAsia" w:eastAsia="宋体" w:cs="Arial"/>
                <w:color w:val="000000"/>
                <w:kern w:val="0"/>
                <w:sz w:val="20"/>
                <w:szCs w:val="20"/>
              </w:rPr>
              <w:t>　</w:t>
            </w:r>
          </w:p>
        </w:tc>
        <w:tc>
          <w:tcPr>
            <w:tcW w:w="766"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3"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34"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641"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c>
          <w:tcPr>
            <w:tcW w:w="930" w:type="dxa"/>
            <w:shd w:val="clear" w:color="auto" w:fill="auto"/>
            <w:noWrap/>
            <w:vAlign w:val="center"/>
          </w:tcPr>
          <w:p>
            <w:pPr>
              <w:widowControl/>
              <w:spacing w:line="0" w:lineRule="atLeast"/>
              <w:jc w:val="right"/>
              <w:rPr>
                <w:rFonts w:eastAsia="宋体" w:cs="Arial"/>
                <w:color w:val="000000"/>
                <w:kern w:val="0"/>
                <w:sz w:val="20"/>
                <w:szCs w:val="20"/>
              </w:rPr>
            </w:pPr>
            <w:r>
              <w:rPr>
                <w:rFonts w:hint="eastAsia" w:eastAsia="宋体" w:cs="Arial"/>
                <w:color w:val="000000"/>
                <w:kern w:val="0"/>
                <w:sz w:val="20"/>
                <w:szCs w:val="20"/>
              </w:rPr>
              <w:t>　</w:t>
            </w:r>
          </w:p>
        </w:tc>
      </w:tr>
    </w:tbl>
    <w:p>
      <w:pPr>
        <w:sectPr>
          <w:pgSz w:w="16838" w:h="11906" w:orient="landscape"/>
          <w:pgMar w:top="1134" w:right="1134" w:bottom="1134" w:left="1134" w:header="1134" w:footer="992" w:gutter="0"/>
          <w:cols w:space="425" w:num="1"/>
          <w:docGrid w:type="lines" w:linePitch="581" w:charSpace="-3753"/>
        </w:sectPr>
      </w:pPr>
    </w:p>
    <w:p>
      <w:pPr>
        <w:autoSpaceDE w:val="0"/>
        <w:autoSpaceDN w:val="0"/>
        <w:snapToGrid w:val="0"/>
        <w:spacing w:before="100" w:beforeAutospacing="1" w:after="100" w:afterAutospacing="1" w:line="550" w:lineRule="exact"/>
        <w:jc w:val="center"/>
        <w:rPr>
          <w:rFonts w:eastAsia="方正小标宋_GBK" w:cs="Times New Roman"/>
          <w:kern w:val="0"/>
          <w:sz w:val="44"/>
          <w:szCs w:val="44"/>
        </w:rPr>
      </w:pPr>
      <w:r>
        <w:rPr>
          <w:rFonts w:eastAsia="方正小标宋_GBK" w:cs="Times New Roman"/>
          <w:kern w:val="0"/>
          <w:sz w:val="44"/>
          <w:szCs w:val="44"/>
        </w:rPr>
        <w:t>第三部分  2021年度部门预算情况说明</w:t>
      </w:r>
    </w:p>
    <w:p>
      <w:pPr>
        <w:overflowPunct w:val="0"/>
        <w:ind w:firstLine="604" w:firstLineChars="200"/>
        <w:rPr>
          <w:rFonts w:cs="Times New Roman"/>
          <w:kern w:val="0"/>
          <w:szCs w:val="32"/>
        </w:rPr>
      </w:pPr>
    </w:p>
    <w:p>
      <w:pPr>
        <w:overflowPunct w:val="0"/>
        <w:ind w:firstLine="604" w:firstLineChars="200"/>
        <w:rPr>
          <w:rFonts w:eastAsia="方正黑体_GBK" w:cs="Times New Roman"/>
          <w:kern w:val="0"/>
          <w:szCs w:val="32"/>
        </w:rPr>
      </w:pPr>
      <w:r>
        <w:rPr>
          <w:rFonts w:hint="eastAsia" w:eastAsia="方正黑体_GBK" w:cs="Times New Roman"/>
          <w:kern w:val="0"/>
          <w:szCs w:val="32"/>
        </w:rPr>
        <w:t>一、收支预算总体情况说明</w:t>
      </w:r>
    </w:p>
    <w:p>
      <w:pPr>
        <w:overflowPunct w:val="0"/>
        <w:ind w:firstLine="604" w:firstLineChars="200"/>
        <w:rPr>
          <w:rFonts w:cs="Times New Roman"/>
          <w:kern w:val="0"/>
          <w:szCs w:val="32"/>
        </w:rPr>
      </w:pPr>
      <w:r>
        <w:rPr>
          <w:rFonts w:hint="eastAsia" w:cs="Times New Roman"/>
          <w:kern w:val="0"/>
          <w:szCs w:val="32"/>
        </w:rPr>
        <w:t>江阴市财政局2021年度收入、支出预算总计5645.25万元，与上年相比收、支预算总计各增长20.18万元，增长0.36%。其中：</w:t>
      </w:r>
    </w:p>
    <w:p>
      <w:pPr>
        <w:overflowPunct w:val="0"/>
        <w:ind w:firstLine="604" w:firstLineChars="200"/>
        <w:rPr>
          <w:rFonts w:cs="Times New Roman"/>
          <w:kern w:val="0"/>
          <w:szCs w:val="32"/>
        </w:rPr>
      </w:pPr>
      <w:r>
        <w:rPr>
          <w:rFonts w:hint="eastAsia" w:ascii="方正楷体_GBK" w:eastAsia="方正楷体_GBK" w:cs="Times New Roman"/>
          <w:kern w:val="0"/>
          <w:szCs w:val="32"/>
        </w:rPr>
        <w:t>（一）收入预算总计5645.25万元。</w:t>
      </w:r>
      <w:r>
        <w:rPr>
          <w:rFonts w:hint="eastAsia" w:cs="Times New Roman"/>
          <w:kern w:val="0"/>
          <w:szCs w:val="32"/>
        </w:rPr>
        <w:t>包括：</w:t>
      </w:r>
    </w:p>
    <w:p>
      <w:pPr>
        <w:overflowPunct w:val="0"/>
        <w:ind w:firstLine="604" w:firstLineChars="200"/>
        <w:rPr>
          <w:rFonts w:cs="Times New Roman"/>
          <w:kern w:val="0"/>
          <w:szCs w:val="32"/>
        </w:rPr>
      </w:pPr>
      <w:r>
        <w:rPr>
          <w:rFonts w:hint="eastAsia" w:cs="Times New Roman"/>
          <w:kern w:val="0"/>
          <w:szCs w:val="32"/>
        </w:rPr>
        <w:t>1．本年收入合计5645.25万元。</w:t>
      </w:r>
    </w:p>
    <w:p>
      <w:pPr>
        <w:overflowPunct w:val="0"/>
        <w:ind w:firstLine="604" w:firstLineChars="200"/>
        <w:rPr>
          <w:rFonts w:cs="Times New Roman"/>
          <w:kern w:val="0"/>
          <w:szCs w:val="32"/>
        </w:rPr>
      </w:pPr>
      <w:r>
        <w:rPr>
          <w:rFonts w:hint="eastAsia" w:cs="Times New Roman"/>
          <w:kern w:val="0"/>
          <w:szCs w:val="32"/>
        </w:rPr>
        <w:t>（1）一般公共预算拨款收入5645.25万元，与上年相比增加20.18万元，增长0.36%。主要原因是薪金的正常</w:t>
      </w:r>
      <w:r>
        <w:rPr>
          <w:rFonts w:hint="eastAsia" w:cs="Times New Roman"/>
          <w:kern w:val="0"/>
          <w:szCs w:val="32"/>
          <w:lang w:eastAsia="zh-CN"/>
        </w:rPr>
        <w:t>增长</w:t>
      </w:r>
      <w:r>
        <w:rPr>
          <w:rFonts w:hint="eastAsia" w:cs="Times New Roman"/>
          <w:kern w:val="0"/>
          <w:szCs w:val="32"/>
        </w:rPr>
        <w:t>；公积金、住房补贴、提租补贴、养老保险职业年金、医保缴存基数正常调整；新招录一名人员。</w:t>
      </w:r>
    </w:p>
    <w:p>
      <w:pPr>
        <w:overflowPunct w:val="0"/>
        <w:ind w:firstLine="604" w:firstLineChars="200"/>
        <w:rPr>
          <w:rFonts w:cs="Times New Roman"/>
          <w:kern w:val="0"/>
          <w:szCs w:val="32"/>
        </w:rPr>
      </w:pPr>
      <w:r>
        <w:rPr>
          <w:rFonts w:hint="eastAsia" w:cs="Times New Roman"/>
          <w:kern w:val="0"/>
          <w:szCs w:val="32"/>
        </w:rPr>
        <w:t>（2）政府性基金预算拨款收入0万元，与上年相比增加（减少）0万元，增长0%。</w:t>
      </w:r>
    </w:p>
    <w:p>
      <w:pPr>
        <w:overflowPunct w:val="0"/>
        <w:ind w:firstLine="604" w:firstLineChars="200"/>
        <w:rPr>
          <w:rFonts w:cs="Times New Roman"/>
          <w:kern w:val="0"/>
          <w:szCs w:val="32"/>
        </w:rPr>
      </w:pPr>
      <w:r>
        <w:rPr>
          <w:rFonts w:hint="eastAsia" w:cs="Times New Roman"/>
          <w:kern w:val="0"/>
          <w:szCs w:val="32"/>
        </w:rPr>
        <w:t>（3）国有资本经营预算拨款收入0万元，与上年相比增加0万元，增长0%。</w:t>
      </w:r>
    </w:p>
    <w:p>
      <w:pPr>
        <w:overflowPunct w:val="0"/>
        <w:ind w:firstLine="604" w:firstLineChars="200"/>
        <w:rPr>
          <w:rFonts w:cs="Times New Roman"/>
          <w:kern w:val="0"/>
          <w:szCs w:val="32"/>
        </w:rPr>
      </w:pPr>
      <w:r>
        <w:rPr>
          <w:rFonts w:hint="eastAsia" w:cs="Times New Roman"/>
          <w:kern w:val="0"/>
          <w:szCs w:val="32"/>
        </w:rPr>
        <w:t>（4）财政专户管理资金收入0万元，与上年相比增加0万元，增长0%。</w:t>
      </w:r>
    </w:p>
    <w:p>
      <w:pPr>
        <w:overflowPunct w:val="0"/>
        <w:ind w:firstLine="604" w:firstLineChars="200"/>
        <w:rPr>
          <w:rFonts w:cs="Times New Roman"/>
          <w:kern w:val="0"/>
          <w:szCs w:val="32"/>
        </w:rPr>
      </w:pPr>
      <w:r>
        <w:rPr>
          <w:rFonts w:hint="eastAsia" w:cs="Times New Roman"/>
          <w:kern w:val="0"/>
          <w:szCs w:val="32"/>
        </w:rPr>
        <w:t>（5）事业收入0万元，与上年相比增加0万元，增长0%。</w:t>
      </w:r>
    </w:p>
    <w:p>
      <w:pPr>
        <w:overflowPunct w:val="0"/>
        <w:ind w:firstLine="604" w:firstLineChars="200"/>
        <w:rPr>
          <w:rFonts w:cs="Times New Roman"/>
          <w:kern w:val="0"/>
          <w:szCs w:val="32"/>
        </w:rPr>
      </w:pPr>
      <w:r>
        <w:rPr>
          <w:rFonts w:hint="eastAsia" w:cs="Times New Roman"/>
          <w:kern w:val="0"/>
          <w:szCs w:val="32"/>
        </w:rPr>
        <w:t>（6）事业单位经营收入0万元，与上年相比增加0万元，增长0%。</w:t>
      </w:r>
    </w:p>
    <w:p>
      <w:pPr>
        <w:overflowPunct w:val="0"/>
        <w:ind w:firstLine="604" w:firstLineChars="200"/>
        <w:rPr>
          <w:rFonts w:cs="Times New Roman"/>
          <w:spacing w:val="-2"/>
          <w:kern w:val="0"/>
          <w:szCs w:val="32"/>
        </w:rPr>
      </w:pPr>
      <w:r>
        <w:rPr>
          <w:rFonts w:hint="eastAsia" w:cs="Times New Roman"/>
          <w:kern w:val="0"/>
          <w:szCs w:val="32"/>
        </w:rPr>
        <w:t>（</w:t>
      </w:r>
      <w:r>
        <w:rPr>
          <w:rFonts w:hint="eastAsia" w:cs="Times New Roman"/>
          <w:spacing w:val="-2"/>
          <w:kern w:val="0"/>
          <w:szCs w:val="32"/>
        </w:rPr>
        <w:t>7）上级补助收入0万元，与上年相比增加0万元，增长0%。</w:t>
      </w:r>
    </w:p>
    <w:p>
      <w:pPr>
        <w:overflowPunct w:val="0"/>
        <w:ind w:firstLine="604" w:firstLineChars="200"/>
        <w:rPr>
          <w:rFonts w:cs="Times New Roman"/>
          <w:kern w:val="0"/>
          <w:szCs w:val="32"/>
        </w:rPr>
      </w:pPr>
      <w:r>
        <w:rPr>
          <w:rFonts w:hint="eastAsia" w:cs="Times New Roman"/>
          <w:kern w:val="0"/>
          <w:szCs w:val="32"/>
        </w:rPr>
        <w:t>（8）附属单位上缴收入0万元，与上年相比增加0万元，增长0%。</w:t>
      </w:r>
    </w:p>
    <w:p>
      <w:pPr>
        <w:overflowPunct w:val="0"/>
        <w:ind w:firstLine="604" w:firstLineChars="200"/>
        <w:rPr>
          <w:rFonts w:cs="Times New Roman"/>
          <w:kern w:val="0"/>
          <w:szCs w:val="32"/>
        </w:rPr>
      </w:pPr>
      <w:r>
        <w:rPr>
          <w:rFonts w:hint="eastAsia" w:cs="Times New Roman"/>
          <w:kern w:val="0"/>
          <w:szCs w:val="32"/>
        </w:rPr>
        <w:t>（9）其他收入0万元，与上年相比增加0万元，增长（减少）0%。</w:t>
      </w:r>
    </w:p>
    <w:p>
      <w:pPr>
        <w:overflowPunct w:val="0"/>
        <w:ind w:firstLine="604" w:firstLineChars="200"/>
        <w:rPr>
          <w:rFonts w:cs="Times New Roman"/>
          <w:kern w:val="0"/>
          <w:szCs w:val="32"/>
        </w:rPr>
      </w:pPr>
      <w:r>
        <w:rPr>
          <w:rFonts w:hint="eastAsia" w:cs="Times New Roman"/>
          <w:kern w:val="0"/>
          <w:szCs w:val="32"/>
        </w:rPr>
        <w:t>2．上年结转结余为0万元。与上年相比增加0万元，增长0%。</w:t>
      </w:r>
    </w:p>
    <w:p>
      <w:pPr>
        <w:overflowPunct w:val="0"/>
        <w:ind w:firstLine="604" w:firstLineChars="200"/>
        <w:rPr>
          <w:rFonts w:cs="Times New Roman"/>
          <w:kern w:val="0"/>
          <w:szCs w:val="32"/>
        </w:rPr>
      </w:pPr>
      <w:r>
        <w:rPr>
          <w:rFonts w:hint="eastAsia" w:ascii="方正楷体_GBK" w:eastAsia="方正楷体_GBK" w:cs="Times New Roman"/>
          <w:kern w:val="0"/>
          <w:szCs w:val="32"/>
        </w:rPr>
        <w:t>（二）支出预算总计5645.25万元。</w:t>
      </w:r>
      <w:r>
        <w:rPr>
          <w:rFonts w:hint="eastAsia" w:cs="Times New Roman"/>
          <w:kern w:val="0"/>
          <w:szCs w:val="32"/>
        </w:rPr>
        <w:t>包括：</w:t>
      </w:r>
    </w:p>
    <w:p>
      <w:pPr>
        <w:overflowPunct w:val="0"/>
        <w:ind w:firstLine="604" w:firstLineChars="200"/>
        <w:rPr>
          <w:rFonts w:cs="Times New Roman"/>
          <w:kern w:val="0"/>
          <w:szCs w:val="32"/>
        </w:rPr>
      </w:pPr>
      <w:r>
        <w:rPr>
          <w:rFonts w:hint="eastAsia" w:cs="Times New Roman"/>
          <w:kern w:val="0"/>
          <w:szCs w:val="32"/>
        </w:rPr>
        <w:t>1．本年支出合计5645.25万元。</w:t>
      </w:r>
    </w:p>
    <w:p>
      <w:pPr>
        <w:overflowPunct w:val="0"/>
        <w:ind w:firstLine="604" w:firstLineChars="200"/>
        <w:rPr>
          <w:rFonts w:cs="Times New Roman"/>
          <w:kern w:val="0"/>
          <w:szCs w:val="32"/>
        </w:rPr>
      </w:pPr>
      <w:r>
        <w:rPr>
          <w:rFonts w:hint="eastAsia" w:cs="Times New Roman"/>
          <w:kern w:val="0"/>
          <w:szCs w:val="32"/>
        </w:rPr>
        <w:t>（1）一般公共服务（类）支出4496.72万元，主要用于市财政局行政机关及下属事业单位开展财政事务发生的支出。与上年相比减少25.76万元，减少0.57%。主要原因是严格执行国家和省关于做好财政收支预算管理支持落实减税降费政策有关要求，牢固树立过紧日子的思想，带头压降</w:t>
      </w:r>
      <w:r>
        <w:rPr>
          <w:rFonts w:hint="eastAsia" w:cs="Times New Roman"/>
          <w:kern w:val="0"/>
          <w:szCs w:val="32"/>
          <w:lang w:eastAsia="zh-CN"/>
        </w:rPr>
        <w:t>经费</w:t>
      </w:r>
      <w:r>
        <w:rPr>
          <w:rFonts w:hint="eastAsia" w:cs="Times New Roman"/>
          <w:kern w:val="0"/>
          <w:szCs w:val="32"/>
        </w:rPr>
        <w:t>规模。</w:t>
      </w:r>
    </w:p>
    <w:p>
      <w:pPr>
        <w:overflowPunct w:val="0"/>
        <w:ind w:firstLine="604" w:firstLineChars="200"/>
        <w:rPr>
          <w:rFonts w:cs="Times New Roman"/>
          <w:kern w:val="0"/>
          <w:szCs w:val="32"/>
        </w:rPr>
      </w:pPr>
      <w:r>
        <w:rPr>
          <w:rFonts w:hint="eastAsia" w:cs="Times New Roman"/>
          <w:kern w:val="0"/>
          <w:szCs w:val="32"/>
        </w:rPr>
        <w:t>（2）社会保障和就业支出（类）支出331.31万元，主要用于主要用于机关事业单位基本养老保险、职业年金缴费。与上年相比增加5.99万元，增长1.84%。主要原因是养老保险单位、职业年金缴存基数正常调整。</w:t>
      </w:r>
    </w:p>
    <w:p>
      <w:pPr>
        <w:overflowPunct w:val="0"/>
        <w:ind w:firstLine="604" w:firstLineChars="200"/>
        <w:rPr>
          <w:rFonts w:cs="Times New Roman"/>
          <w:kern w:val="0"/>
          <w:szCs w:val="32"/>
        </w:rPr>
      </w:pPr>
      <w:r>
        <w:rPr>
          <w:rFonts w:hint="eastAsia" w:cs="Times New Roman"/>
          <w:kern w:val="0"/>
          <w:szCs w:val="32"/>
        </w:rPr>
        <w:t>（3）住房保障（类）支出782.36万元，主要用于市财政局行政机关及下属事业单位按照国家有关规定为职工缴存住房公积金、发放提租补贴以及新职工缴存的逐月补贴支出。与上年相比增加5.09万元，增长0.65%。主要原因是新职工购房补贴、老职工提租补贴缴存基数政策性调整。</w:t>
      </w:r>
    </w:p>
    <w:p>
      <w:pPr>
        <w:overflowPunct w:val="0"/>
        <w:ind w:firstLine="604" w:firstLineChars="200"/>
        <w:rPr>
          <w:rFonts w:cs="Times New Roman"/>
          <w:kern w:val="0"/>
          <w:szCs w:val="32"/>
        </w:rPr>
      </w:pPr>
      <w:r>
        <w:rPr>
          <w:rFonts w:hint="eastAsia" w:cs="Times New Roman"/>
          <w:kern w:val="0"/>
          <w:szCs w:val="32"/>
        </w:rPr>
        <w:t>（4）资源勘探信息等支出34.86万元，主要用于国有企业改革服务中心软件开发。与上年相比增加34.86万元，主要原因是此项目是</w:t>
      </w:r>
      <w:r>
        <w:rPr>
          <w:rFonts w:hint="eastAsia" w:cs="Times New Roman"/>
          <w:kern w:val="0"/>
          <w:szCs w:val="32"/>
          <w:lang w:eastAsia="zh-CN"/>
        </w:rPr>
        <w:t>以前年度采购未结项项目</w:t>
      </w:r>
      <w:r>
        <w:rPr>
          <w:rFonts w:hint="eastAsia" w:cs="Times New Roman"/>
          <w:kern w:val="0"/>
          <w:szCs w:val="32"/>
        </w:rPr>
        <w:t>，纳入2021年预算当中。</w:t>
      </w:r>
    </w:p>
    <w:p>
      <w:pPr>
        <w:overflowPunct w:val="0"/>
        <w:ind w:firstLine="604" w:firstLineChars="200"/>
        <w:rPr>
          <w:rFonts w:cs="Times New Roman"/>
          <w:kern w:val="0"/>
          <w:szCs w:val="32"/>
        </w:rPr>
      </w:pPr>
      <w:r>
        <w:rPr>
          <w:rFonts w:hint="eastAsia" w:cs="Times New Roman"/>
          <w:kern w:val="0"/>
          <w:szCs w:val="32"/>
        </w:rPr>
        <w:t>2．年终结转结余为0万元，主要原因是原则上市本级预算资金不结转下年。</w:t>
      </w:r>
    </w:p>
    <w:p>
      <w:pPr>
        <w:overflowPunct w:val="0"/>
        <w:ind w:firstLine="604" w:firstLineChars="200"/>
        <w:rPr>
          <w:rFonts w:cs="Times New Roman"/>
          <w:kern w:val="0"/>
          <w:szCs w:val="32"/>
        </w:rPr>
      </w:pPr>
      <w:r>
        <w:rPr>
          <w:rFonts w:hint="eastAsia" w:cs="Times New Roman"/>
          <w:kern w:val="0"/>
          <w:szCs w:val="32"/>
        </w:rPr>
        <w:t>此外，基本支出预算数为4140.31万元。与上年相比增加40.41万元，增长0.99%。主要原因是公积金、住房补贴、提租补贴、养老保险职业年金、医保缴存基数正常调整；薪资调整；</w:t>
      </w:r>
      <w:r>
        <w:rPr>
          <w:rFonts w:hint="eastAsia" w:cs="Times New Roman"/>
          <w:kern w:val="0"/>
          <w:szCs w:val="32"/>
          <w:lang w:eastAsia="zh-CN"/>
        </w:rPr>
        <w:t>人员变动</w:t>
      </w:r>
      <w:r>
        <w:rPr>
          <w:rFonts w:hint="eastAsia" w:cs="Times New Roman"/>
          <w:kern w:val="0"/>
          <w:szCs w:val="32"/>
        </w:rPr>
        <w:t>。</w:t>
      </w:r>
    </w:p>
    <w:p>
      <w:pPr>
        <w:overflowPunct w:val="0"/>
        <w:ind w:firstLine="604" w:firstLineChars="200"/>
        <w:rPr>
          <w:rFonts w:cs="Times New Roman"/>
          <w:kern w:val="0"/>
          <w:szCs w:val="32"/>
        </w:rPr>
      </w:pPr>
      <w:r>
        <w:rPr>
          <w:rFonts w:hint="eastAsia" w:cs="Times New Roman"/>
          <w:kern w:val="0"/>
          <w:szCs w:val="32"/>
        </w:rPr>
        <w:t>项目支出预算数为1504.94万元。与上年相比减少20.23万元，减少12.50%。主要原因是严格执行国家和省关于做好财政收支预算管理支持落实减税降费政策有关要求，牢固树立过紧日子的思想，带头压降专项资金规模。</w:t>
      </w:r>
    </w:p>
    <w:p>
      <w:pPr>
        <w:overflowPunct w:val="0"/>
        <w:ind w:firstLine="604" w:firstLineChars="200"/>
        <w:rPr>
          <w:rFonts w:cs="Times New Roman"/>
          <w:kern w:val="0"/>
          <w:szCs w:val="32"/>
        </w:rPr>
      </w:pPr>
      <w:r>
        <w:rPr>
          <w:rFonts w:hint="eastAsia" w:cs="Times New Roman"/>
          <w:kern w:val="0"/>
          <w:szCs w:val="32"/>
        </w:rPr>
        <w:t>单位预留机动经费预算数为0万元。与上年相比增加0万元，增长0%。</w:t>
      </w:r>
    </w:p>
    <w:p>
      <w:pPr>
        <w:overflowPunct w:val="0"/>
        <w:ind w:firstLine="604" w:firstLineChars="200"/>
        <w:rPr>
          <w:rFonts w:eastAsia="方正黑体_GBK" w:cs="Times New Roman"/>
          <w:kern w:val="0"/>
          <w:szCs w:val="32"/>
        </w:rPr>
      </w:pPr>
      <w:r>
        <w:rPr>
          <w:rFonts w:hint="eastAsia" w:eastAsia="方正黑体_GBK" w:cs="Times New Roman"/>
          <w:kern w:val="0"/>
          <w:szCs w:val="32"/>
        </w:rPr>
        <w:t>二、收入预算情况说明</w:t>
      </w:r>
    </w:p>
    <w:p>
      <w:pPr>
        <w:overflowPunct w:val="0"/>
        <w:ind w:firstLine="604" w:firstLineChars="200"/>
        <w:rPr>
          <w:rFonts w:cs="Times New Roman"/>
          <w:kern w:val="0"/>
          <w:szCs w:val="32"/>
        </w:rPr>
      </w:pPr>
      <w:r>
        <w:rPr>
          <w:rFonts w:hint="eastAsia" w:cs="Times New Roman"/>
          <w:kern w:val="0"/>
          <w:szCs w:val="32"/>
        </w:rPr>
        <w:t>江阴市财政局2021年收入预算合计5645.25万元，包括本年收入5645.25万元，上年结转结余0万元。</w:t>
      </w:r>
    </w:p>
    <w:p>
      <w:pPr>
        <w:overflowPunct w:val="0"/>
        <w:ind w:firstLine="604" w:firstLineChars="200"/>
        <w:rPr>
          <w:rFonts w:cs="Times New Roman"/>
          <w:kern w:val="0"/>
          <w:szCs w:val="32"/>
        </w:rPr>
      </w:pPr>
      <w:r>
        <w:rPr>
          <w:rFonts w:hint="eastAsia" w:cs="Times New Roman"/>
          <w:kern w:val="0"/>
          <w:szCs w:val="32"/>
        </w:rPr>
        <w:t>其中：</w:t>
      </w:r>
    </w:p>
    <w:p>
      <w:pPr>
        <w:overflowPunct w:val="0"/>
        <w:ind w:firstLine="604" w:firstLineChars="200"/>
        <w:rPr>
          <w:rFonts w:cs="Times New Roman"/>
          <w:kern w:val="0"/>
          <w:szCs w:val="32"/>
        </w:rPr>
      </w:pPr>
      <w:r>
        <w:rPr>
          <w:rFonts w:hint="eastAsia" w:cs="Times New Roman"/>
          <w:kern w:val="0"/>
          <w:szCs w:val="32"/>
        </w:rPr>
        <w:t>本年一般公共预算收入5645.25万元，占100%；</w:t>
      </w:r>
    </w:p>
    <w:p>
      <w:pPr>
        <w:overflowPunct w:val="0"/>
        <w:ind w:firstLine="604" w:firstLineChars="200"/>
        <w:rPr>
          <w:rFonts w:cs="Times New Roman"/>
          <w:kern w:val="0"/>
          <w:szCs w:val="32"/>
        </w:rPr>
      </w:pPr>
      <w:r>
        <w:rPr>
          <w:rFonts w:hint="eastAsia" w:cs="Times New Roman"/>
          <w:kern w:val="0"/>
          <w:szCs w:val="32"/>
        </w:rPr>
        <w:t>本年政府性基金预算收入0万元，占0%；</w:t>
      </w:r>
    </w:p>
    <w:p>
      <w:pPr>
        <w:overflowPunct w:val="0"/>
        <w:ind w:firstLine="604" w:firstLineChars="200"/>
        <w:rPr>
          <w:rFonts w:cs="Times New Roman"/>
          <w:kern w:val="0"/>
          <w:szCs w:val="32"/>
        </w:rPr>
      </w:pPr>
      <w:r>
        <w:rPr>
          <w:rFonts w:hint="eastAsia" w:cs="Times New Roman"/>
          <w:kern w:val="0"/>
          <w:szCs w:val="32"/>
        </w:rPr>
        <w:t>本年国有资本经营预算收入0万元，占0%；</w:t>
      </w:r>
    </w:p>
    <w:p>
      <w:pPr>
        <w:overflowPunct w:val="0"/>
        <w:ind w:firstLine="604" w:firstLineChars="200"/>
        <w:rPr>
          <w:rFonts w:cs="Times New Roman"/>
          <w:kern w:val="0"/>
          <w:szCs w:val="32"/>
        </w:rPr>
      </w:pPr>
      <w:r>
        <w:rPr>
          <w:rFonts w:hint="eastAsia" w:cs="Times New Roman"/>
          <w:kern w:val="0"/>
          <w:szCs w:val="32"/>
        </w:rPr>
        <w:t>本年财政专户管理资金0万元，占0%；</w:t>
      </w:r>
    </w:p>
    <w:p>
      <w:pPr>
        <w:overflowPunct w:val="0"/>
        <w:ind w:firstLine="604" w:firstLineChars="200"/>
        <w:rPr>
          <w:rFonts w:cs="Times New Roman"/>
          <w:kern w:val="0"/>
          <w:szCs w:val="32"/>
        </w:rPr>
      </w:pPr>
      <w:r>
        <w:rPr>
          <w:rFonts w:hint="eastAsia" w:cs="Times New Roman"/>
          <w:kern w:val="0"/>
          <w:szCs w:val="32"/>
        </w:rPr>
        <w:t>本年事业收入0万元，占0%；</w:t>
      </w:r>
    </w:p>
    <w:p>
      <w:pPr>
        <w:overflowPunct w:val="0"/>
        <w:ind w:firstLine="604" w:firstLineChars="200"/>
        <w:rPr>
          <w:rFonts w:cs="Times New Roman"/>
          <w:kern w:val="0"/>
          <w:szCs w:val="32"/>
        </w:rPr>
      </w:pPr>
      <w:r>
        <w:rPr>
          <w:rFonts w:hint="eastAsia" w:cs="Times New Roman"/>
          <w:kern w:val="0"/>
          <w:szCs w:val="32"/>
        </w:rPr>
        <w:t>本年事业单位经营收入0万元，占0%；</w:t>
      </w:r>
    </w:p>
    <w:p>
      <w:pPr>
        <w:overflowPunct w:val="0"/>
        <w:ind w:firstLine="604" w:firstLineChars="200"/>
        <w:rPr>
          <w:rFonts w:cs="Times New Roman"/>
          <w:kern w:val="0"/>
          <w:szCs w:val="32"/>
        </w:rPr>
      </w:pPr>
      <w:r>
        <w:rPr>
          <w:rFonts w:hint="eastAsia" w:cs="Times New Roman"/>
          <w:kern w:val="0"/>
          <w:szCs w:val="32"/>
        </w:rPr>
        <w:t>本年上级补助收入0万元，占0%；</w:t>
      </w:r>
    </w:p>
    <w:p>
      <w:pPr>
        <w:overflowPunct w:val="0"/>
        <w:ind w:firstLine="604" w:firstLineChars="200"/>
        <w:rPr>
          <w:rFonts w:cs="Times New Roman"/>
          <w:kern w:val="0"/>
          <w:szCs w:val="32"/>
        </w:rPr>
      </w:pPr>
      <w:r>
        <w:rPr>
          <w:rFonts w:hint="eastAsia" w:cs="Times New Roman"/>
          <w:kern w:val="0"/>
          <w:szCs w:val="32"/>
        </w:rPr>
        <w:t>本年附属单位上缴收入0万元，占0%；</w:t>
      </w:r>
    </w:p>
    <w:p>
      <w:pPr>
        <w:overflowPunct w:val="0"/>
        <w:ind w:firstLine="604" w:firstLineChars="200"/>
        <w:rPr>
          <w:rFonts w:cs="Times New Roman"/>
          <w:kern w:val="0"/>
          <w:szCs w:val="32"/>
        </w:rPr>
      </w:pPr>
      <w:r>
        <w:rPr>
          <w:rFonts w:hint="eastAsia" w:cs="Times New Roman"/>
          <w:kern w:val="0"/>
          <w:szCs w:val="32"/>
        </w:rPr>
        <w:t>本年其他收入0万元，占0%；</w:t>
      </w:r>
    </w:p>
    <w:p>
      <w:pPr>
        <w:overflowPunct w:val="0"/>
        <w:ind w:firstLine="604" w:firstLineChars="200"/>
        <w:rPr>
          <w:rFonts w:cs="Times New Roman"/>
          <w:kern w:val="0"/>
          <w:szCs w:val="32"/>
        </w:rPr>
      </w:pPr>
      <w:r>
        <w:rPr>
          <w:rFonts w:hint="eastAsia" w:cs="Times New Roman"/>
          <w:kern w:val="0"/>
          <w:szCs w:val="32"/>
        </w:rPr>
        <w:t>上年结转结余的一般公共预算收入0万元，占0%；</w:t>
      </w:r>
    </w:p>
    <w:p>
      <w:pPr>
        <w:overflowPunct w:val="0"/>
        <w:ind w:firstLine="604" w:firstLineChars="200"/>
        <w:rPr>
          <w:rFonts w:cs="Times New Roman"/>
          <w:kern w:val="0"/>
          <w:szCs w:val="32"/>
        </w:rPr>
      </w:pPr>
      <w:r>
        <w:rPr>
          <w:rFonts w:hint="eastAsia" w:cs="Times New Roman"/>
          <w:kern w:val="0"/>
          <w:szCs w:val="32"/>
        </w:rPr>
        <w:t>上年结转结余的政府性基金预算收入0万元，占0%；</w:t>
      </w:r>
    </w:p>
    <w:p>
      <w:pPr>
        <w:overflowPunct w:val="0"/>
        <w:ind w:firstLine="604" w:firstLineChars="200"/>
        <w:rPr>
          <w:rFonts w:cs="Times New Roman"/>
          <w:kern w:val="0"/>
          <w:szCs w:val="32"/>
        </w:rPr>
      </w:pPr>
      <w:r>
        <w:rPr>
          <w:rFonts w:hint="eastAsia" w:cs="Times New Roman"/>
          <w:kern w:val="0"/>
          <w:szCs w:val="32"/>
        </w:rPr>
        <w:t>上年结转结余的国有资本经营预算收入0万元，占0%；</w:t>
      </w:r>
    </w:p>
    <w:p>
      <w:pPr>
        <w:overflowPunct w:val="0"/>
        <w:ind w:firstLine="604" w:firstLineChars="200"/>
        <w:rPr>
          <w:rFonts w:cs="Times New Roman"/>
          <w:kern w:val="0"/>
          <w:szCs w:val="32"/>
        </w:rPr>
      </w:pPr>
      <w:r>
        <w:rPr>
          <w:rFonts w:hint="eastAsia" w:cs="Times New Roman"/>
          <w:kern w:val="0"/>
          <w:szCs w:val="32"/>
        </w:rPr>
        <w:t>上年结转结余的财政专户管理资金0万元，占0%；</w:t>
      </w:r>
    </w:p>
    <w:p>
      <w:pPr>
        <w:overflowPunct w:val="0"/>
        <w:ind w:firstLine="604" w:firstLineChars="200"/>
        <w:rPr>
          <w:rFonts w:cs="Times New Roman"/>
          <w:kern w:val="0"/>
          <w:szCs w:val="32"/>
        </w:rPr>
      </w:pPr>
      <w:r>
        <w:rPr>
          <w:rFonts w:hint="eastAsia" w:cs="Times New Roman"/>
          <w:kern w:val="0"/>
          <w:szCs w:val="32"/>
        </w:rPr>
        <w:t>上年结转结余的单位资金0万元，占0%；</w:t>
      </w:r>
    </w:p>
    <w:p>
      <w:pPr>
        <w:overflowPunct w:val="0"/>
        <w:ind w:firstLine="604" w:firstLineChars="200"/>
        <w:rPr>
          <w:rFonts w:cs="Times New Roman"/>
          <w:i/>
          <w:kern w:val="0"/>
          <w:szCs w:val="32"/>
        </w:rPr>
      </w:pPr>
      <w:r>
        <w:rPr>
          <w:rFonts w:hint="eastAsia" w:cs="Times New Roman"/>
          <w:i/>
          <w:kern w:val="0"/>
          <w:szCs w:val="32"/>
        </w:rPr>
        <w:t>（可用饼图显示收入结构图）</w:t>
      </w:r>
    </w:p>
    <w:p>
      <w:pPr>
        <w:autoSpaceDE w:val="0"/>
        <w:autoSpaceDN w:val="0"/>
        <w:snapToGrid w:val="0"/>
        <w:spacing w:line="550" w:lineRule="exact"/>
        <w:rPr>
          <w:rFonts w:cs="Times New Roman"/>
          <w:i/>
          <w:kern w:val="0"/>
          <w:szCs w:val="32"/>
        </w:rPr>
      </w:pPr>
      <w:r>
        <w:rPr>
          <w:rFonts w:cs="Times New Roman"/>
          <w:i/>
          <w:kern w:val="0"/>
          <w:szCs w:val="32"/>
        </w:rPr>
        <w:drawing>
          <wp:anchor distT="0" distB="0" distL="114300" distR="114300" simplePos="0" relativeHeight="251659264" behindDoc="0" locked="0" layoutInCell="1" allowOverlap="1">
            <wp:simplePos x="0" y="0"/>
            <wp:positionH relativeFrom="column">
              <wp:posOffset>250190</wp:posOffset>
            </wp:positionH>
            <wp:positionV relativeFrom="paragraph">
              <wp:posOffset>36830</wp:posOffset>
            </wp:positionV>
            <wp:extent cx="4572000" cy="2743200"/>
            <wp:effectExtent l="19050" t="0" r="19050" b="0"/>
            <wp:wrapNone/>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autoSpaceDE w:val="0"/>
        <w:autoSpaceDN w:val="0"/>
        <w:snapToGrid w:val="0"/>
        <w:spacing w:line="550" w:lineRule="exact"/>
        <w:rPr>
          <w:rFonts w:cs="Times New Roman"/>
          <w:i/>
          <w:kern w:val="0"/>
          <w:szCs w:val="32"/>
        </w:rPr>
      </w:pPr>
    </w:p>
    <w:p>
      <w:pPr>
        <w:jc w:val="center"/>
        <w:rPr>
          <w:rFonts w:cs="Times New Roman"/>
          <w:kern w:val="0"/>
          <w:szCs w:val="32"/>
        </w:rPr>
      </w:pPr>
      <w:r>
        <w:rPr>
          <w:rFonts w:cs="Times New Roman"/>
          <w:kern w:val="0"/>
          <w:szCs w:val="32"/>
        </w:rPr>
        <w:t>图1：收入预算图</w:t>
      </w:r>
    </w:p>
    <w:p>
      <w:pPr>
        <w:overflowPunct w:val="0"/>
        <w:ind w:firstLine="604" w:firstLineChars="200"/>
        <w:rPr>
          <w:rFonts w:eastAsia="方正黑体_GBK" w:cs="Times New Roman"/>
          <w:kern w:val="0"/>
          <w:szCs w:val="32"/>
        </w:rPr>
      </w:pPr>
      <w:r>
        <w:rPr>
          <w:rFonts w:eastAsia="方正黑体_GBK" w:cs="Times New Roman"/>
          <w:kern w:val="0"/>
          <w:szCs w:val="32"/>
        </w:rPr>
        <w:t>三、支出预算情况说明</w:t>
      </w:r>
    </w:p>
    <w:p>
      <w:pPr>
        <w:overflowPunct w:val="0"/>
        <w:ind w:firstLine="604" w:firstLineChars="200"/>
        <w:rPr>
          <w:rFonts w:cs="Times New Roman"/>
          <w:kern w:val="0"/>
          <w:szCs w:val="32"/>
        </w:rPr>
      </w:pPr>
      <w:r>
        <w:rPr>
          <w:rFonts w:hint="eastAsia" w:cs="Times New Roman"/>
          <w:kern w:val="0"/>
          <w:szCs w:val="32"/>
        </w:rPr>
        <w:t>江阴市财政局2</w:t>
      </w:r>
      <w:r>
        <w:rPr>
          <w:rFonts w:cs="Times New Roman"/>
          <w:kern w:val="0"/>
          <w:szCs w:val="32"/>
        </w:rPr>
        <w:t>021年支出预算合计</w:t>
      </w:r>
      <w:r>
        <w:rPr>
          <w:rFonts w:hint="eastAsia" w:cs="Times New Roman"/>
          <w:kern w:val="0"/>
          <w:szCs w:val="32"/>
        </w:rPr>
        <w:t>5645.25</w:t>
      </w:r>
      <w:r>
        <w:rPr>
          <w:rFonts w:cs="Times New Roman"/>
          <w:kern w:val="0"/>
          <w:szCs w:val="32"/>
        </w:rPr>
        <w:t>万元，其中：</w:t>
      </w:r>
    </w:p>
    <w:p>
      <w:pPr>
        <w:overflowPunct w:val="0"/>
        <w:ind w:firstLine="604" w:firstLineChars="200"/>
        <w:rPr>
          <w:rFonts w:cs="Times New Roman"/>
          <w:kern w:val="0"/>
          <w:szCs w:val="32"/>
        </w:rPr>
      </w:pPr>
      <w:r>
        <w:rPr>
          <w:rFonts w:cs="Times New Roman"/>
          <w:kern w:val="0"/>
          <w:szCs w:val="32"/>
        </w:rPr>
        <w:t>基本支出</w:t>
      </w:r>
      <w:r>
        <w:rPr>
          <w:rFonts w:hint="eastAsia" w:cs="Times New Roman"/>
          <w:kern w:val="0"/>
          <w:szCs w:val="32"/>
        </w:rPr>
        <w:t>4140.31</w:t>
      </w:r>
      <w:r>
        <w:rPr>
          <w:rFonts w:cs="Times New Roman"/>
          <w:kern w:val="0"/>
          <w:szCs w:val="32"/>
        </w:rPr>
        <w:t>万元，占</w:t>
      </w:r>
      <w:r>
        <w:rPr>
          <w:rFonts w:hint="eastAsia" w:cs="Times New Roman"/>
          <w:kern w:val="0"/>
          <w:szCs w:val="32"/>
        </w:rPr>
        <w:t>73.34</w:t>
      </w:r>
      <w:r>
        <w:rPr>
          <w:rFonts w:cs="Times New Roman"/>
          <w:kern w:val="0"/>
          <w:szCs w:val="32"/>
        </w:rPr>
        <w:t>%；</w:t>
      </w:r>
    </w:p>
    <w:p>
      <w:pPr>
        <w:overflowPunct w:val="0"/>
        <w:ind w:firstLine="604" w:firstLineChars="200"/>
        <w:rPr>
          <w:rFonts w:cs="Times New Roman"/>
          <w:kern w:val="0"/>
          <w:szCs w:val="32"/>
        </w:rPr>
      </w:pPr>
      <w:r>
        <w:rPr>
          <w:rFonts w:cs="Times New Roman"/>
          <w:kern w:val="0"/>
          <w:szCs w:val="32"/>
        </w:rPr>
        <w:t>项目支出</w:t>
      </w:r>
      <w:r>
        <w:rPr>
          <w:rFonts w:hint="eastAsia" w:cs="Times New Roman"/>
          <w:kern w:val="0"/>
          <w:szCs w:val="32"/>
        </w:rPr>
        <w:t>1504.94</w:t>
      </w:r>
      <w:r>
        <w:rPr>
          <w:rFonts w:cs="Times New Roman"/>
          <w:kern w:val="0"/>
          <w:szCs w:val="32"/>
        </w:rPr>
        <w:t>万元，占</w:t>
      </w:r>
      <w:r>
        <w:rPr>
          <w:rFonts w:hint="eastAsia" w:cs="Times New Roman"/>
          <w:kern w:val="0"/>
          <w:szCs w:val="32"/>
        </w:rPr>
        <w:t>26.66</w:t>
      </w:r>
      <w:r>
        <w:rPr>
          <w:rFonts w:cs="Times New Roman"/>
          <w:kern w:val="0"/>
          <w:szCs w:val="32"/>
        </w:rPr>
        <w:t>%；</w:t>
      </w:r>
    </w:p>
    <w:p>
      <w:pPr>
        <w:overflowPunct w:val="0"/>
        <w:ind w:firstLine="604" w:firstLineChars="200"/>
        <w:rPr>
          <w:rFonts w:cs="Times New Roman"/>
          <w:kern w:val="0"/>
          <w:szCs w:val="32"/>
        </w:rPr>
      </w:pPr>
      <w:r>
        <w:rPr>
          <w:rFonts w:hint="eastAsia" w:cs="Times New Roman"/>
          <w:kern w:val="0"/>
          <w:szCs w:val="32"/>
        </w:rPr>
        <w:t>事业单位经营支出0</w:t>
      </w:r>
      <w:r>
        <w:rPr>
          <w:rFonts w:cs="Times New Roman"/>
          <w:kern w:val="0"/>
          <w:szCs w:val="32"/>
        </w:rPr>
        <w:t>万元，占</w:t>
      </w:r>
      <w:r>
        <w:rPr>
          <w:rFonts w:hint="eastAsia" w:cs="Times New Roman"/>
          <w:kern w:val="0"/>
          <w:szCs w:val="32"/>
        </w:rPr>
        <w:t>0</w:t>
      </w:r>
      <w:r>
        <w:rPr>
          <w:rFonts w:cs="Times New Roman"/>
          <w:kern w:val="0"/>
          <w:szCs w:val="32"/>
        </w:rPr>
        <w:t>%；</w:t>
      </w:r>
    </w:p>
    <w:p>
      <w:pPr>
        <w:overflowPunct w:val="0"/>
        <w:ind w:firstLine="604" w:firstLineChars="200"/>
        <w:rPr>
          <w:rFonts w:cs="Times New Roman"/>
          <w:kern w:val="0"/>
          <w:szCs w:val="32"/>
        </w:rPr>
      </w:pPr>
      <w:r>
        <w:rPr>
          <w:rFonts w:hint="eastAsia" w:cs="Times New Roman"/>
          <w:kern w:val="0"/>
          <w:szCs w:val="32"/>
        </w:rPr>
        <w:t>上缴上级支出0</w:t>
      </w:r>
      <w:r>
        <w:rPr>
          <w:rFonts w:cs="Times New Roman"/>
          <w:kern w:val="0"/>
          <w:szCs w:val="32"/>
        </w:rPr>
        <w:t>万元，占</w:t>
      </w:r>
      <w:r>
        <w:rPr>
          <w:rFonts w:hint="eastAsia" w:cs="Times New Roman"/>
          <w:kern w:val="0"/>
          <w:szCs w:val="32"/>
        </w:rPr>
        <w:t>0</w:t>
      </w:r>
      <w:r>
        <w:rPr>
          <w:rFonts w:cs="Times New Roman"/>
          <w:kern w:val="0"/>
          <w:szCs w:val="32"/>
        </w:rPr>
        <w:t>%；</w:t>
      </w:r>
    </w:p>
    <w:p>
      <w:pPr>
        <w:overflowPunct w:val="0"/>
        <w:ind w:firstLine="604" w:firstLineChars="200"/>
        <w:rPr>
          <w:rFonts w:cs="Times New Roman"/>
          <w:kern w:val="0"/>
          <w:szCs w:val="32"/>
        </w:rPr>
      </w:pPr>
      <w:r>
        <w:rPr>
          <w:rFonts w:hint="eastAsia" w:cs="Times New Roman"/>
          <w:kern w:val="0"/>
          <w:szCs w:val="32"/>
        </w:rPr>
        <w:t>对附属单位补助支出0</w:t>
      </w:r>
      <w:r>
        <w:rPr>
          <w:rFonts w:cs="Times New Roman"/>
          <w:kern w:val="0"/>
          <w:szCs w:val="32"/>
        </w:rPr>
        <w:t>万元，占</w:t>
      </w:r>
      <w:r>
        <w:rPr>
          <w:rFonts w:hint="eastAsia" w:cs="Times New Roman"/>
          <w:kern w:val="0"/>
          <w:szCs w:val="32"/>
        </w:rPr>
        <w:t>0</w:t>
      </w:r>
      <w:r>
        <w:rPr>
          <w:rFonts w:cs="Times New Roman"/>
          <w:kern w:val="0"/>
          <w:szCs w:val="32"/>
        </w:rPr>
        <w:t>%。</w:t>
      </w:r>
    </w:p>
    <w:p>
      <w:pPr>
        <w:overflowPunct w:val="0"/>
        <w:ind w:firstLine="604" w:firstLineChars="200"/>
        <w:rPr>
          <w:rFonts w:cs="Times New Roman"/>
          <w:i/>
          <w:kern w:val="0"/>
          <w:szCs w:val="32"/>
        </w:rPr>
      </w:pPr>
      <w:r>
        <w:rPr>
          <w:rFonts w:cs="Times New Roman"/>
          <w:i/>
          <w:kern w:val="0"/>
          <w:szCs w:val="32"/>
        </w:rPr>
        <w:t>（可用饼图显示支出结构图）</w:t>
      </w:r>
    </w:p>
    <w:p>
      <w:pPr>
        <w:autoSpaceDE w:val="0"/>
        <w:autoSpaceDN w:val="0"/>
        <w:snapToGrid w:val="0"/>
        <w:spacing w:line="550" w:lineRule="exact"/>
        <w:rPr>
          <w:rFonts w:cs="Times New Roman"/>
          <w:i/>
          <w:kern w:val="0"/>
          <w:szCs w:val="32"/>
        </w:rPr>
      </w:pPr>
      <w:r>
        <w:rPr>
          <w:rFonts w:cs="Times New Roman"/>
          <w:i/>
          <w:kern w:val="0"/>
          <w:szCs w:val="32"/>
        </w:rPr>
        <w:drawing>
          <wp:anchor distT="0" distB="0" distL="114300" distR="114300" simplePos="0" relativeHeight="251660288" behindDoc="0" locked="0" layoutInCell="1" allowOverlap="1">
            <wp:simplePos x="0" y="0"/>
            <wp:positionH relativeFrom="column">
              <wp:posOffset>107315</wp:posOffset>
            </wp:positionH>
            <wp:positionV relativeFrom="paragraph">
              <wp:posOffset>256540</wp:posOffset>
            </wp:positionV>
            <wp:extent cx="4572000" cy="2743200"/>
            <wp:effectExtent l="19050" t="0" r="19050" b="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autoSpaceDE w:val="0"/>
        <w:autoSpaceDN w:val="0"/>
        <w:snapToGrid w:val="0"/>
        <w:spacing w:line="550" w:lineRule="exact"/>
        <w:jc w:val="center"/>
        <w:rPr>
          <w:rFonts w:cs="Times New Roman"/>
          <w:kern w:val="0"/>
          <w:szCs w:val="32"/>
        </w:rPr>
      </w:pPr>
    </w:p>
    <w:p>
      <w:pPr>
        <w:jc w:val="center"/>
        <w:rPr>
          <w:rFonts w:cs="Times New Roman"/>
          <w:kern w:val="0"/>
          <w:szCs w:val="32"/>
        </w:rPr>
      </w:pPr>
      <w:r>
        <w:rPr>
          <w:rFonts w:hint="eastAsia" w:cs="Times New Roman"/>
          <w:kern w:val="0"/>
          <w:szCs w:val="32"/>
        </w:rPr>
        <w:t>图2：支出预算图</w:t>
      </w:r>
    </w:p>
    <w:p>
      <w:pPr>
        <w:overflowPunct w:val="0"/>
        <w:ind w:firstLine="604" w:firstLineChars="200"/>
        <w:rPr>
          <w:rFonts w:eastAsia="方正黑体_GBK" w:cs="Times New Roman"/>
          <w:kern w:val="0"/>
          <w:szCs w:val="32"/>
        </w:rPr>
      </w:pPr>
      <w:r>
        <w:rPr>
          <w:rFonts w:hint="eastAsia" w:eastAsia="方正黑体_GBK" w:cs="Times New Roman"/>
          <w:kern w:val="0"/>
          <w:szCs w:val="32"/>
        </w:rPr>
        <w:t>四、财政拨款收支预算总体情况说明</w:t>
      </w:r>
    </w:p>
    <w:p>
      <w:pPr>
        <w:overflowPunct w:val="0"/>
        <w:ind w:firstLine="604" w:firstLineChars="200"/>
        <w:rPr>
          <w:rFonts w:cs="Times New Roman"/>
          <w:kern w:val="0"/>
          <w:szCs w:val="32"/>
        </w:rPr>
      </w:pPr>
      <w:r>
        <w:rPr>
          <w:rFonts w:hint="eastAsia" w:cs="Times New Roman"/>
          <w:kern w:val="0"/>
          <w:szCs w:val="32"/>
        </w:rPr>
        <w:t>江阴市财政局2021年度财政拨款收、支总预算5645.25万元。与上年相比，财政拨款收、支总计各增加20.18万元，增长0.36%。主要原因是薪资的正常增长；公积金、住房补贴、提租补贴、养老保险职业年金、社保缴存基数正常调整。</w:t>
      </w:r>
    </w:p>
    <w:p>
      <w:pPr>
        <w:overflowPunct w:val="0"/>
        <w:ind w:firstLine="604" w:firstLineChars="200"/>
        <w:rPr>
          <w:rFonts w:eastAsia="方正黑体_GBK" w:cs="Times New Roman"/>
          <w:kern w:val="0"/>
          <w:szCs w:val="32"/>
        </w:rPr>
      </w:pPr>
      <w:r>
        <w:rPr>
          <w:rFonts w:hint="eastAsia" w:eastAsia="方正黑体_GBK" w:cs="Times New Roman"/>
          <w:kern w:val="0"/>
          <w:szCs w:val="32"/>
        </w:rPr>
        <w:t>五、财政拨款支出预算情况说明</w:t>
      </w:r>
    </w:p>
    <w:p>
      <w:pPr>
        <w:overflowPunct w:val="0"/>
        <w:ind w:firstLine="604" w:firstLineChars="200"/>
        <w:rPr>
          <w:rFonts w:cs="Times New Roman"/>
          <w:kern w:val="0"/>
          <w:szCs w:val="32"/>
        </w:rPr>
      </w:pPr>
      <w:r>
        <w:rPr>
          <w:rFonts w:hint="eastAsia" w:cs="Times New Roman"/>
          <w:kern w:val="0"/>
          <w:szCs w:val="32"/>
        </w:rPr>
        <w:t>江阴市财政局2021年财政拨款预算支出5645.25万元，占本年支出合计的100%。与上年相比，财政拨款支出增加20.18万元，增长0.36%。主要原因是薪资的正常增长；公积金、住房补贴、提租补贴、养老保险职业年金、社保缴存基数正常调整。</w:t>
      </w:r>
    </w:p>
    <w:p>
      <w:pPr>
        <w:overflowPunct w:val="0"/>
        <w:ind w:firstLine="604" w:firstLineChars="200"/>
        <w:rPr>
          <w:rFonts w:cs="Times New Roman"/>
          <w:kern w:val="0"/>
          <w:szCs w:val="32"/>
        </w:rPr>
      </w:pPr>
      <w:r>
        <w:rPr>
          <w:rFonts w:hint="eastAsia" w:cs="Times New Roman"/>
          <w:kern w:val="0"/>
          <w:szCs w:val="32"/>
        </w:rPr>
        <w:t>其中：</w:t>
      </w:r>
    </w:p>
    <w:p>
      <w:pPr>
        <w:overflowPunct w:val="0"/>
        <w:ind w:firstLine="604" w:firstLineChars="200"/>
        <w:rPr>
          <w:rFonts w:cs="Times New Roman"/>
          <w:kern w:val="0"/>
          <w:szCs w:val="32"/>
        </w:rPr>
      </w:pPr>
      <w:r>
        <w:rPr>
          <w:rFonts w:hint="eastAsia" w:cs="Times New Roman"/>
          <w:kern w:val="0"/>
          <w:szCs w:val="32"/>
        </w:rPr>
        <w:t>（1）一般公共服务（类）支出4496.72万元，主要用于市财政局行政机关及下属事业单位开展财政事务发生的支出。与上年相比减少25.76万元，减少0.57%。主要原因是严格执行国家和省关于做好财政收支预算管理支持落实减税降费政策有关要求，牢固树立过紧日子的思想，带头压降</w:t>
      </w:r>
      <w:r>
        <w:rPr>
          <w:rFonts w:hint="eastAsia" w:cs="Times New Roman"/>
          <w:kern w:val="0"/>
          <w:szCs w:val="32"/>
          <w:lang w:eastAsia="zh-CN"/>
        </w:rPr>
        <w:t>经费</w:t>
      </w:r>
      <w:r>
        <w:rPr>
          <w:rFonts w:hint="eastAsia" w:cs="Times New Roman"/>
          <w:kern w:val="0"/>
          <w:szCs w:val="32"/>
        </w:rPr>
        <w:t>规模。</w:t>
      </w:r>
    </w:p>
    <w:p>
      <w:pPr>
        <w:overflowPunct w:val="0"/>
        <w:ind w:firstLine="604" w:firstLineChars="200"/>
        <w:rPr>
          <w:rFonts w:cs="Times New Roman"/>
          <w:kern w:val="0"/>
          <w:szCs w:val="32"/>
        </w:rPr>
      </w:pPr>
      <w:r>
        <w:rPr>
          <w:rFonts w:hint="eastAsia" w:cs="Times New Roman"/>
          <w:kern w:val="0"/>
          <w:szCs w:val="32"/>
        </w:rPr>
        <w:t>（2）社会保障和就业支出（类）支出331.31万元</w:t>
      </w:r>
      <w:r>
        <w:rPr>
          <w:rFonts w:hint="eastAsia" w:cs="Times New Roman"/>
          <w:color w:val="000000" w:themeColor="text1"/>
          <w:kern w:val="0"/>
          <w:szCs w:val="32"/>
        </w:rPr>
        <w:t>，主要用于机关事业单位基本养老保险、职业年金缴费。与上年相比增加</w:t>
      </w:r>
      <w:r>
        <w:rPr>
          <w:rFonts w:hint="eastAsia" w:cs="Times New Roman"/>
          <w:kern w:val="0"/>
          <w:szCs w:val="32"/>
        </w:rPr>
        <w:t>5.99万元，增长1.84%。主要原因是养老保险单位、职业年金缴存基数正常调整。</w:t>
      </w:r>
    </w:p>
    <w:p>
      <w:pPr>
        <w:overflowPunct w:val="0"/>
        <w:ind w:firstLine="604" w:firstLineChars="200"/>
        <w:rPr>
          <w:rFonts w:cs="Times New Roman"/>
          <w:kern w:val="0"/>
          <w:szCs w:val="32"/>
        </w:rPr>
      </w:pPr>
      <w:r>
        <w:rPr>
          <w:rFonts w:hint="eastAsia" w:cs="Times New Roman"/>
          <w:kern w:val="0"/>
          <w:szCs w:val="32"/>
        </w:rPr>
        <w:t>（3）住房保障（类）支出782.36万元，主要用于市财政局行政机关及下属事业单位按照国家有关规定为职工缴存住房公积金、发放提租补贴以及新职工缴存的逐月补贴支出。与上年相比增加5.09万元，增长0.65%。主要原因是新职工购房补贴、老职工提租补贴缴存基数政策性调整。</w:t>
      </w:r>
    </w:p>
    <w:p>
      <w:pPr>
        <w:overflowPunct w:val="0"/>
        <w:ind w:firstLine="604" w:firstLineChars="200"/>
        <w:rPr>
          <w:rFonts w:hint="eastAsia" w:cs="Times New Roman"/>
          <w:kern w:val="0"/>
          <w:szCs w:val="32"/>
        </w:rPr>
      </w:pPr>
      <w:r>
        <w:rPr>
          <w:rFonts w:hint="eastAsia" w:cs="Times New Roman"/>
          <w:kern w:val="0"/>
          <w:szCs w:val="32"/>
        </w:rPr>
        <w:t>（4）资源勘探信息等支出34.86万元，主要用于国有企业改革服务中心软件开发。与上年相比增加34.86万元，主要原因是此项目是</w:t>
      </w:r>
      <w:r>
        <w:rPr>
          <w:rFonts w:hint="eastAsia" w:cs="Times New Roman"/>
          <w:kern w:val="0"/>
          <w:szCs w:val="32"/>
          <w:lang w:eastAsia="zh-CN"/>
        </w:rPr>
        <w:t>以前年度采购未结项项目</w:t>
      </w:r>
      <w:r>
        <w:rPr>
          <w:rFonts w:hint="eastAsia" w:cs="Times New Roman"/>
          <w:kern w:val="0"/>
          <w:szCs w:val="32"/>
        </w:rPr>
        <w:t>，纳入2021年预算当中</w:t>
      </w:r>
    </w:p>
    <w:p>
      <w:pPr>
        <w:overflowPunct w:val="0"/>
        <w:ind w:firstLine="604" w:firstLineChars="200"/>
        <w:rPr>
          <w:rFonts w:eastAsia="方正黑体_GBK" w:cs="Times New Roman"/>
          <w:kern w:val="0"/>
          <w:szCs w:val="32"/>
        </w:rPr>
      </w:pPr>
      <w:r>
        <w:rPr>
          <w:rFonts w:hint="eastAsia" w:eastAsia="方正黑体_GBK" w:cs="Times New Roman"/>
          <w:kern w:val="0"/>
          <w:szCs w:val="32"/>
        </w:rPr>
        <w:t>六、财政拨款基本支出预算情况说明</w:t>
      </w:r>
    </w:p>
    <w:p>
      <w:pPr>
        <w:overflowPunct w:val="0"/>
        <w:ind w:firstLine="604" w:firstLineChars="200"/>
        <w:rPr>
          <w:rFonts w:cs="Times New Roman"/>
          <w:kern w:val="0"/>
          <w:szCs w:val="32"/>
        </w:rPr>
      </w:pPr>
      <w:r>
        <w:rPr>
          <w:rFonts w:hint="eastAsia" w:cs="Times New Roman"/>
          <w:kern w:val="0"/>
          <w:szCs w:val="32"/>
        </w:rPr>
        <w:t>江阴市财政局2021年度财政拨款基本支出预算4140.31万元，其中：</w:t>
      </w:r>
    </w:p>
    <w:p>
      <w:pPr>
        <w:numPr>
          <w:ilvl w:val="0"/>
          <w:numId w:val="1"/>
        </w:numPr>
        <w:overflowPunct w:val="0"/>
        <w:ind w:firstLine="604" w:firstLineChars="200"/>
        <w:rPr>
          <w:rFonts w:hint="eastAsia" w:cs="Times New Roman"/>
          <w:kern w:val="0"/>
          <w:szCs w:val="32"/>
        </w:rPr>
      </w:pPr>
      <w:r>
        <w:rPr>
          <w:rFonts w:hint="eastAsia" w:ascii="方正楷体_GBK" w:eastAsia="方正楷体_GBK" w:cs="Times New Roman"/>
          <w:kern w:val="0"/>
          <w:szCs w:val="32"/>
        </w:rPr>
        <w:t>人员经费3850.55万元。</w:t>
      </w:r>
      <w:r>
        <w:rPr>
          <w:rFonts w:hint="eastAsia" w:cs="Times New Roman"/>
          <w:kern w:val="0"/>
          <w:szCs w:val="32"/>
        </w:rPr>
        <w:t>主要包括：基本工资416.17万元、津贴补贴997.41万元、奖金1237.97万元、伙食补助费43.16万元、绩效工资396.24万元、机关事业单位基本养老保险费220.87万元、职业年金缴费110.44万元、职工基本医疗保险缴费86.67万元、其他社会保障缴费11.97万元、住房公积金221.19万元、医疗费5.45万元、其他工资福利支出10万元、退休费88.4万元、生活补助2.26万元、其他对个人和家庭的补助2.35万元。</w:t>
      </w:r>
    </w:p>
    <w:p>
      <w:pPr>
        <w:numPr>
          <w:ilvl w:val="0"/>
          <w:numId w:val="0"/>
        </w:numPr>
        <w:overflowPunct w:val="0"/>
        <w:ind w:firstLine="604" w:firstLineChars="200"/>
        <w:rPr>
          <w:rFonts w:cs="Times New Roman"/>
          <w:i/>
          <w:kern w:val="0"/>
          <w:szCs w:val="32"/>
        </w:rPr>
      </w:pPr>
      <w:r>
        <w:rPr>
          <w:rFonts w:hint="eastAsia" w:ascii="方正楷体_GBK" w:eastAsia="方正楷体_GBK" w:cs="Times New Roman"/>
          <w:kern w:val="0"/>
          <w:szCs w:val="32"/>
        </w:rPr>
        <w:t>（二）公用经费289.76万元。</w:t>
      </w:r>
      <w:r>
        <w:rPr>
          <w:rFonts w:hint="eastAsia" w:cs="Times New Roman"/>
          <w:kern w:val="0"/>
          <w:szCs w:val="32"/>
        </w:rPr>
        <w:t>主要包括</w:t>
      </w:r>
      <w:r>
        <w:rPr>
          <w:rFonts w:hint="eastAsia" w:cs="Times New Roman"/>
          <w:i/>
          <w:kern w:val="0"/>
          <w:szCs w:val="32"/>
        </w:rPr>
        <w:t>：</w:t>
      </w:r>
      <w:r>
        <w:rPr>
          <w:rFonts w:hint="eastAsia" w:cs="Times New Roman"/>
          <w:iCs/>
          <w:kern w:val="0"/>
          <w:szCs w:val="32"/>
        </w:rPr>
        <w:t>水费0.45万元、电费2.7万元、其他交通费用117.29万元、其他商品和服务支出166.05万元、其他资本性支出3.27万元。</w:t>
      </w:r>
    </w:p>
    <w:p>
      <w:pPr>
        <w:overflowPunct w:val="0"/>
        <w:ind w:firstLine="604" w:firstLineChars="200"/>
        <w:rPr>
          <w:rFonts w:eastAsia="方正黑体_GBK" w:cs="Times New Roman"/>
          <w:kern w:val="0"/>
          <w:szCs w:val="32"/>
        </w:rPr>
      </w:pPr>
      <w:r>
        <w:rPr>
          <w:rFonts w:hint="eastAsia" w:eastAsia="方正黑体_GBK" w:cs="Times New Roman"/>
          <w:kern w:val="0"/>
          <w:szCs w:val="32"/>
        </w:rPr>
        <w:t>七、一般公共预算支出预算情况说明</w:t>
      </w:r>
    </w:p>
    <w:p>
      <w:pPr>
        <w:overflowPunct w:val="0"/>
        <w:ind w:firstLine="604" w:firstLineChars="200"/>
        <w:rPr>
          <w:rFonts w:cs="Times New Roman"/>
          <w:kern w:val="0"/>
          <w:szCs w:val="32"/>
        </w:rPr>
      </w:pPr>
      <w:r>
        <w:rPr>
          <w:rFonts w:hint="eastAsia" w:cs="Times New Roman"/>
          <w:kern w:val="0"/>
          <w:szCs w:val="32"/>
        </w:rPr>
        <w:t>江阴市财政局2021年度财政拨款收、支总预算5645.25万元。与上年相比，财政拨款收、支总计各增加20.18万元，增长0.36%。主要原因是薪资的正常增长；公积金、住房补贴、提租补贴、养老保险职业年金、社保缴存基数正常调整</w:t>
      </w:r>
      <w:r>
        <w:rPr>
          <w:rFonts w:hint="eastAsia" w:cs="Times New Roman"/>
          <w:kern w:val="0"/>
          <w:szCs w:val="32"/>
          <w:lang w:eastAsia="zh-CN"/>
        </w:rPr>
        <w:t>；新招录一名人员</w:t>
      </w:r>
      <w:r>
        <w:rPr>
          <w:rFonts w:hint="eastAsia" w:cs="Times New Roman"/>
          <w:kern w:val="0"/>
          <w:szCs w:val="32"/>
        </w:rPr>
        <w:t>。</w:t>
      </w:r>
    </w:p>
    <w:p>
      <w:pPr>
        <w:overflowPunct w:val="0"/>
        <w:ind w:firstLine="604" w:firstLineChars="200"/>
        <w:rPr>
          <w:rFonts w:eastAsia="方正黑体_GBK" w:cs="Times New Roman"/>
          <w:kern w:val="0"/>
          <w:szCs w:val="32"/>
        </w:rPr>
      </w:pPr>
      <w:r>
        <w:rPr>
          <w:rFonts w:hint="eastAsia" w:eastAsia="方正黑体_GBK" w:cs="Times New Roman"/>
          <w:kern w:val="0"/>
          <w:szCs w:val="32"/>
        </w:rPr>
        <w:t>八、一般公共预算基本支出预算情况说明</w:t>
      </w:r>
    </w:p>
    <w:p>
      <w:pPr>
        <w:overflowPunct w:val="0"/>
        <w:ind w:firstLine="604" w:firstLineChars="200"/>
        <w:rPr>
          <w:rFonts w:cs="Times New Roman"/>
          <w:kern w:val="0"/>
          <w:szCs w:val="32"/>
        </w:rPr>
      </w:pPr>
      <w:r>
        <w:rPr>
          <w:rFonts w:hint="eastAsia" w:cs="Times New Roman"/>
          <w:kern w:val="0"/>
          <w:szCs w:val="32"/>
        </w:rPr>
        <w:t>江阴市财政局2021年度财政拨款基本支出预算4140.31万元，其中：</w:t>
      </w:r>
    </w:p>
    <w:p>
      <w:pPr>
        <w:numPr>
          <w:ilvl w:val="0"/>
          <w:numId w:val="2"/>
        </w:numPr>
        <w:overflowPunct w:val="0"/>
        <w:ind w:firstLine="604" w:firstLineChars="200"/>
        <w:rPr>
          <w:rFonts w:hint="eastAsia" w:cs="Times New Roman"/>
          <w:kern w:val="0"/>
          <w:szCs w:val="32"/>
        </w:rPr>
      </w:pPr>
      <w:r>
        <w:rPr>
          <w:rFonts w:hint="eastAsia" w:ascii="方正楷体_GBK" w:eastAsia="方正楷体_GBK" w:cs="Times New Roman"/>
          <w:kern w:val="0"/>
          <w:szCs w:val="32"/>
        </w:rPr>
        <w:t>人员经费3850.55万元。</w:t>
      </w:r>
      <w:r>
        <w:rPr>
          <w:rFonts w:hint="eastAsia" w:cs="Times New Roman"/>
          <w:kern w:val="0"/>
          <w:szCs w:val="32"/>
        </w:rPr>
        <w:t>主要包括：基本工资416.17万元、津贴补贴997.41万元、奖金1237.97万元、伙食补助费43.16万元、绩效工资396.24万元、机关事业单位基本养老保险费220.87万元、职业年金缴费110.44万元、职工基本医疗保险缴费86.67万元、其他社会保障缴费11.97万元、住房公积金221.19万元、医疗费5.45万元、其他工资福利支出10万元、退休费88.4万元、生活补助2.26万元、其他对个人和家庭的补助2.35万元。</w:t>
      </w:r>
    </w:p>
    <w:p>
      <w:pPr>
        <w:numPr>
          <w:ilvl w:val="0"/>
          <w:numId w:val="0"/>
        </w:numPr>
        <w:overflowPunct w:val="0"/>
        <w:ind w:firstLine="604" w:firstLineChars="200"/>
        <w:rPr>
          <w:rFonts w:cs="Times New Roman"/>
          <w:iCs/>
          <w:kern w:val="0"/>
          <w:szCs w:val="32"/>
        </w:rPr>
      </w:pPr>
      <w:r>
        <w:rPr>
          <w:rFonts w:hint="eastAsia" w:ascii="方正楷体_GBK" w:eastAsia="方正楷体_GBK" w:cs="Times New Roman"/>
          <w:kern w:val="0"/>
          <w:szCs w:val="32"/>
        </w:rPr>
        <w:t>（二）公用经费289.76万元。</w:t>
      </w:r>
      <w:r>
        <w:rPr>
          <w:rFonts w:hint="eastAsia" w:cs="Times New Roman"/>
          <w:kern w:val="0"/>
          <w:szCs w:val="32"/>
        </w:rPr>
        <w:t>主要包括</w:t>
      </w:r>
      <w:r>
        <w:rPr>
          <w:rFonts w:hint="eastAsia" w:cs="Times New Roman"/>
          <w:i/>
          <w:kern w:val="0"/>
          <w:szCs w:val="32"/>
        </w:rPr>
        <w:t>：</w:t>
      </w:r>
      <w:r>
        <w:rPr>
          <w:rFonts w:hint="eastAsia" w:cs="Times New Roman"/>
          <w:iCs/>
          <w:kern w:val="0"/>
          <w:szCs w:val="32"/>
        </w:rPr>
        <w:t>水费0.45万元、电费2.7万元、其他交通费用117.29万元、其他商品和服务支出166.05万元、其他资本性支出3.27万元。</w:t>
      </w:r>
    </w:p>
    <w:p>
      <w:pPr>
        <w:overflowPunct w:val="0"/>
        <w:ind w:firstLine="604" w:firstLineChars="200"/>
        <w:rPr>
          <w:rFonts w:eastAsia="方正黑体_GBK" w:cs="Times New Roman"/>
          <w:kern w:val="0"/>
          <w:szCs w:val="32"/>
        </w:rPr>
      </w:pPr>
      <w:r>
        <w:rPr>
          <w:rFonts w:hint="eastAsia" w:eastAsia="方正黑体_GBK" w:cs="Times New Roman"/>
          <w:kern w:val="0"/>
          <w:szCs w:val="32"/>
        </w:rPr>
        <w:t>九、一般公共预算“三公”经费、会议费、培训费支出预算情况说明</w:t>
      </w:r>
    </w:p>
    <w:p>
      <w:pPr>
        <w:overflowPunct w:val="0"/>
        <w:ind w:firstLine="604" w:firstLineChars="200"/>
        <w:rPr>
          <w:rFonts w:cs="Times New Roman"/>
          <w:kern w:val="0"/>
          <w:szCs w:val="32"/>
        </w:rPr>
      </w:pPr>
      <w:r>
        <w:rPr>
          <w:rFonts w:hint="eastAsia" w:cs="Times New Roman"/>
          <w:kern w:val="0"/>
          <w:szCs w:val="32"/>
        </w:rPr>
        <w:t>江阴市财政局2021年度一般公共预算拨款安排的“三公”经费预算支出中，因公出国（境）费支出0万元，占“三公”经费的0%；公务用车购置及运行维护费支出0万元，占“三公”经费的0%；公务接待费支出5.95万元，占“三公”经费的100%。具体情况如下：</w:t>
      </w:r>
    </w:p>
    <w:p>
      <w:pPr>
        <w:overflowPunct w:val="0"/>
        <w:ind w:firstLine="604" w:firstLineChars="200"/>
        <w:rPr>
          <w:rFonts w:cs="Times New Roman"/>
          <w:kern w:val="0"/>
          <w:szCs w:val="32"/>
        </w:rPr>
      </w:pPr>
      <w:r>
        <w:rPr>
          <w:rFonts w:hint="eastAsia" w:cs="Times New Roman"/>
          <w:kern w:val="0"/>
          <w:szCs w:val="32"/>
        </w:rPr>
        <w:t>1．因公出国（境）费预算支出0万元，比上年预算相同。</w:t>
      </w:r>
    </w:p>
    <w:p>
      <w:pPr>
        <w:overflowPunct w:val="0"/>
        <w:ind w:firstLine="604" w:firstLineChars="200"/>
        <w:rPr>
          <w:rFonts w:cs="Times New Roman"/>
          <w:kern w:val="0"/>
          <w:szCs w:val="32"/>
        </w:rPr>
      </w:pPr>
      <w:r>
        <w:rPr>
          <w:rFonts w:hint="eastAsia" w:cs="Times New Roman"/>
          <w:kern w:val="0"/>
          <w:szCs w:val="32"/>
        </w:rPr>
        <w:t>2．公务用车购置及运行维护费预算支出0万元。其中：</w:t>
      </w:r>
    </w:p>
    <w:p>
      <w:pPr>
        <w:overflowPunct w:val="0"/>
        <w:ind w:firstLine="604" w:firstLineChars="200"/>
        <w:rPr>
          <w:rFonts w:cs="Times New Roman"/>
          <w:kern w:val="0"/>
          <w:szCs w:val="32"/>
        </w:rPr>
      </w:pPr>
      <w:r>
        <w:rPr>
          <w:rFonts w:hint="eastAsia" w:cs="Times New Roman"/>
          <w:kern w:val="0"/>
          <w:szCs w:val="32"/>
        </w:rPr>
        <w:t>（1）公务用车购置预算支出0万元，比上年预算相同。</w:t>
      </w:r>
    </w:p>
    <w:p>
      <w:pPr>
        <w:overflowPunct w:val="0"/>
        <w:ind w:firstLine="604" w:firstLineChars="200"/>
        <w:rPr>
          <w:rFonts w:cs="Times New Roman"/>
          <w:kern w:val="0"/>
          <w:szCs w:val="32"/>
        </w:rPr>
      </w:pPr>
      <w:r>
        <w:rPr>
          <w:rFonts w:hint="eastAsia" w:cs="Times New Roman"/>
          <w:kern w:val="0"/>
          <w:szCs w:val="32"/>
        </w:rPr>
        <w:t>（2）公务用车运行维护费预算支出0万元，比上年预算相同。</w:t>
      </w:r>
    </w:p>
    <w:p>
      <w:pPr>
        <w:overflowPunct w:val="0"/>
        <w:ind w:firstLine="604" w:firstLineChars="200"/>
        <w:rPr>
          <w:rFonts w:hint="eastAsia" w:cs="Times New Roman"/>
          <w:kern w:val="0"/>
          <w:szCs w:val="32"/>
          <w:lang w:eastAsia="zh-CN"/>
        </w:rPr>
      </w:pPr>
      <w:r>
        <w:rPr>
          <w:rFonts w:hint="eastAsia" w:cs="Times New Roman"/>
          <w:kern w:val="0"/>
          <w:szCs w:val="32"/>
        </w:rPr>
        <w:t>3．公务接待费预算支出5.95万元，比上年预算减少2.55万元，主要原因严格执行国家和省关于做好财政收支预算管理支持落实减税降费政策有关要求，牢固树立过紧日子的思想，带头压降三公经费资金规模</w:t>
      </w:r>
      <w:r>
        <w:rPr>
          <w:rFonts w:hint="eastAsia" w:cs="Times New Roman"/>
          <w:kern w:val="0"/>
          <w:szCs w:val="32"/>
          <w:lang w:eastAsia="zh-CN"/>
        </w:rPr>
        <w:t>，减少接待批次和人次。</w:t>
      </w:r>
    </w:p>
    <w:p>
      <w:pPr>
        <w:overflowPunct w:val="0"/>
        <w:ind w:firstLine="604" w:firstLineChars="200"/>
        <w:rPr>
          <w:rFonts w:hint="eastAsia" w:eastAsia="方正仿宋_GBK" w:cs="Times New Roman"/>
          <w:kern w:val="0"/>
          <w:szCs w:val="32"/>
          <w:lang w:eastAsia="zh-CN"/>
        </w:rPr>
      </w:pPr>
      <w:r>
        <w:rPr>
          <w:rFonts w:hint="eastAsia" w:cs="Times New Roman"/>
          <w:kern w:val="0"/>
          <w:szCs w:val="32"/>
        </w:rPr>
        <w:t>江阴市财政局2021年度一般公共预算拨款安排的会议费预算支出7万元，比上年预算减少3万元，主要原因严格执行国家和省关于做好财政收支预算管理支持落实减税降费政策有关要求，牢固树立过紧日子的思想，带头压降会议费资金规模</w:t>
      </w:r>
      <w:r>
        <w:rPr>
          <w:rFonts w:hint="eastAsia" w:cs="Times New Roman"/>
          <w:kern w:val="0"/>
          <w:szCs w:val="32"/>
          <w:lang w:eastAsia="zh-CN"/>
        </w:rPr>
        <w:t>，减少会议次数。</w:t>
      </w:r>
    </w:p>
    <w:p>
      <w:pPr>
        <w:overflowPunct w:val="0"/>
        <w:ind w:firstLine="604" w:firstLineChars="200"/>
        <w:rPr>
          <w:rFonts w:hint="eastAsia" w:eastAsia="方正仿宋_GBK" w:cs="Times New Roman"/>
          <w:kern w:val="0"/>
          <w:szCs w:val="32"/>
          <w:lang w:eastAsia="zh-CN"/>
        </w:rPr>
      </w:pPr>
      <w:r>
        <w:rPr>
          <w:rFonts w:hint="eastAsia" w:cs="Times New Roman"/>
          <w:kern w:val="0"/>
          <w:szCs w:val="32"/>
        </w:rPr>
        <w:t>江阴市财政局2021年度一般公共预算拨款安排的培训费预算支出18万元，比上年预算减少7万元，主要原因严格执行国家和省关于做好财政收支预算管理支持落实减税降费政策有关要求，牢固树立过紧日子的思想，带头压降专项培训费资金规模</w:t>
      </w:r>
      <w:r>
        <w:rPr>
          <w:rFonts w:hint="eastAsia" w:cs="Times New Roman"/>
          <w:kern w:val="0"/>
          <w:szCs w:val="32"/>
          <w:lang w:eastAsia="zh-CN"/>
        </w:rPr>
        <w:t>，减少培训次数与人次。</w:t>
      </w:r>
    </w:p>
    <w:p>
      <w:pPr>
        <w:overflowPunct w:val="0"/>
        <w:ind w:firstLine="604" w:firstLineChars="200"/>
        <w:rPr>
          <w:rFonts w:eastAsia="方正黑体_GBK" w:cs="Times New Roman"/>
          <w:kern w:val="0"/>
          <w:szCs w:val="32"/>
        </w:rPr>
      </w:pPr>
      <w:r>
        <w:rPr>
          <w:rFonts w:hint="eastAsia" w:eastAsia="方正黑体_GBK" w:cs="Times New Roman"/>
          <w:kern w:val="0"/>
          <w:szCs w:val="32"/>
        </w:rPr>
        <w:t>十、政府性基金预算支出预算情况说明</w:t>
      </w:r>
    </w:p>
    <w:p>
      <w:pPr>
        <w:overflowPunct w:val="0"/>
        <w:ind w:firstLine="604" w:firstLineChars="200"/>
        <w:rPr>
          <w:rFonts w:cs="Times New Roman"/>
          <w:kern w:val="0"/>
          <w:szCs w:val="32"/>
        </w:rPr>
      </w:pPr>
      <w:r>
        <w:rPr>
          <w:rFonts w:hint="eastAsia" w:cs="Times New Roman"/>
          <w:kern w:val="0"/>
          <w:szCs w:val="32"/>
        </w:rPr>
        <w:t>江阴市财政局2021年政府性基金支出预算支出0万元。与上年相比增加0万元，增长0%。</w:t>
      </w:r>
    </w:p>
    <w:p>
      <w:pPr>
        <w:overflowPunct w:val="0"/>
        <w:ind w:firstLine="604" w:firstLineChars="200"/>
        <w:rPr>
          <w:rFonts w:eastAsia="方正黑体_GBK" w:cs="Times New Roman"/>
          <w:kern w:val="0"/>
          <w:szCs w:val="32"/>
        </w:rPr>
      </w:pPr>
      <w:r>
        <w:rPr>
          <w:rFonts w:hint="eastAsia" w:eastAsia="方正黑体_GBK" w:cs="Times New Roman"/>
          <w:kern w:val="0"/>
          <w:szCs w:val="32"/>
        </w:rPr>
        <w:t>十一、一般公共预算机关运行经费支出预算情况说明</w:t>
      </w:r>
    </w:p>
    <w:p>
      <w:pPr>
        <w:overflowPunct w:val="0"/>
        <w:ind w:firstLine="604" w:firstLineChars="200"/>
        <w:rPr>
          <w:rFonts w:cs="Times New Roman"/>
          <w:i/>
          <w:kern w:val="0"/>
          <w:szCs w:val="32"/>
        </w:rPr>
      </w:pPr>
      <w:r>
        <w:rPr>
          <w:rFonts w:hint="eastAsia" w:cs="Times New Roman"/>
          <w:kern w:val="0"/>
          <w:szCs w:val="32"/>
        </w:rPr>
        <w:t>2021年本部门一般公共预算机关运行经费预算支出187.31万元，与上年相比减少133.61万元，减少41.85 %。主要原因是：</w:t>
      </w:r>
      <w:r>
        <w:rPr>
          <w:rFonts w:hint="eastAsia" w:cs="Times New Roman"/>
          <w:kern w:val="0"/>
          <w:szCs w:val="32"/>
          <w:lang w:eastAsia="zh-CN"/>
        </w:rPr>
        <w:t>未将事业单位</w:t>
      </w:r>
      <w:r>
        <w:rPr>
          <w:rFonts w:hint="eastAsia" w:cs="Times New Roman"/>
          <w:kern w:val="0"/>
          <w:szCs w:val="32"/>
        </w:rPr>
        <w:t>一般公共预算机关运行经费预算支出</w:t>
      </w:r>
      <w:r>
        <w:rPr>
          <w:rFonts w:hint="eastAsia" w:cs="Times New Roman"/>
          <w:kern w:val="0"/>
          <w:szCs w:val="32"/>
          <w:lang w:eastAsia="zh-CN"/>
        </w:rPr>
        <w:t>纳入其中；</w:t>
      </w:r>
      <w:r>
        <w:rPr>
          <w:rFonts w:hint="eastAsia" w:cs="Times New Roman"/>
          <w:kern w:val="0"/>
          <w:szCs w:val="32"/>
        </w:rPr>
        <w:t>严格执行国家和省关于做好财政收支预算管理支持落实减税降费政策有关要求，牢固树立过紧日子的思想，带头压降培训费、会议费资金规模。</w:t>
      </w:r>
    </w:p>
    <w:p>
      <w:pPr>
        <w:overflowPunct w:val="0"/>
        <w:ind w:firstLine="604" w:firstLineChars="200"/>
        <w:rPr>
          <w:rFonts w:eastAsia="方正黑体_GBK" w:cs="Times New Roman"/>
          <w:kern w:val="0"/>
          <w:szCs w:val="32"/>
        </w:rPr>
      </w:pPr>
      <w:r>
        <w:rPr>
          <w:rFonts w:hint="eastAsia" w:eastAsia="方正黑体_GBK" w:cs="Times New Roman"/>
          <w:kern w:val="0"/>
          <w:szCs w:val="32"/>
        </w:rPr>
        <w:t>十二、政府采购支出预算情况说明</w:t>
      </w:r>
    </w:p>
    <w:p>
      <w:pPr>
        <w:overflowPunct w:val="0"/>
        <w:ind w:firstLine="604" w:firstLineChars="200"/>
        <w:rPr>
          <w:rFonts w:cs="Times New Roman"/>
          <w:kern w:val="0"/>
          <w:szCs w:val="32"/>
        </w:rPr>
      </w:pPr>
      <w:r>
        <w:rPr>
          <w:rFonts w:hint="eastAsia" w:cs="Times New Roman"/>
          <w:kern w:val="0"/>
          <w:szCs w:val="32"/>
        </w:rPr>
        <w:t>2021年度政府采购支出预算总额1009.4万元，其中：拟采购货物支出2.07万元、拟采购工程支出0万元、拟购买服务支出1007.33万元。</w:t>
      </w:r>
    </w:p>
    <w:p>
      <w:pPr>
        <w:overflowPunct w:val="0"/>
        <w:ind w:firstLine="604" w:firstLineChars="200"/>
        <w:rPr>
          <w:rFonts w:eastAsia="方正黑体_GBK" w:cs="Times New Roman"/>
          <w:kern w:val="0"/>
          <w:szCs w:val="32"/>
        </w:rPr>
      </w:pPr>
      <w:r>
        <w:rPr>
          <w:rFonts w:hint="eastAsia" w:eastAsia="方正黑体_GBK" w:cs="Times New Roman"/>
          <w:kern w:val="0"/>
          <w:szCs w:val="32"/>
        </w:rPr>
        <w:t>十三、国有资产占用情况说明</w:t>
      </w:r>
    </w:p>
    <w:p>
      <w:pPr>
        <w:overflowPunct w:val="0"/>
        <w:ind w:firstLine="604" w:firstLineChars="200"/>
        <w:rPr>
          <w:rFonts w:cs="Times New Roman"/>
          <w:kern w:val="0"/>
          <w:szCs w:val="32"/>
        </w:rPr>
      </w:pPr>
      <w:r>
        <w:rPr>
          <w:rFonts w:hint="eastAsia" w:cs="Times New Roman"/>
          <w:kern w:val="0"/>
          <w:szCs w:val="32"/>
        </w:rPr>
        <w:t>本部门共有车辆0辆，其中，一般公务用车0辆、执法执勤用车0辆、特种专业技术用车0辆、业务用车0辆、其他用车0辆等。单价50万元（含）以上的通用设备8台（套）。</w:t>
      </w:r>
    </w:p>
    <w:p>
      <w:pPr>
        <w:overflowPunct w:val="0"/>
        <w:ind w:firstLine="604" w:firstLineChars="200"/>
        <w:rPr>
          <w:rFonts w:eastAsia="方正黑体_GBK" w:cs="Times New Roman"/>
          <w:kern w:val="0"/>
          <w:szCs w:val="32"/>
        </w:rPr>
      </w:pPr>
      <w:r>
        <w:rPr>
          <w:rFonts w:hint="eastAsia" w:eastAsia="方正黑体_GBK" w:cs="Times New Roman"/>
          <w:kern w:val="0"/>
          <w:szCs w:val="32"/>
        </w:rPr>
        <w:t>十四、预算绩效目标设置情况说明</w:t>
      </w:r>
    </w:p>
    <w:p>
      <w:pPr>
        <w:autoSpaceDE w:val="0"/>
        <w:autoSpaceDN w:val="0"/>
        <w:ind w:firstLine="604" w:firstLineChars="200"/>
        <w:rPr>
          <w:rFonts w:eastAsia="仿宋" w:cs="Times New Roman"/>
          <w:kern w:val="0"/>
          <w:szCs w:val="32"/>
        </w:rPr>
      </w:pPr>
      <w:r>
        <w:rPr>
          <w:rFonts w:hint="eastAsia" w:cs="Times New Roman"/>
          <w:kern w:val="0"/>
          <w:szCs w:val="32"/>
        </w:rPr>
        <w:t>2021年度，本部门整体支出（</w:t>
      </w:r>
      <w:r>
        <w:rPr>
          <w:rFonts w:hint="eastAsia" w:cs="Times New Roman"/>
          <w:snapToGrid w:val="0"/>
          <w:kern w:val="0"/>
          <w:szCs w:val="20"/>
        </w:rPr>
        <w:sym w:font="Wingdings 2" w:char="0052"/>
      </w:r>
      <w:r>
        <w:rPr>
          <w:rFonts w:hint="eastAsia" w:cs="Times New Roman"/>
          <w:snapToGrid w:val="0"/>
          <w:kern w:val="0"/>
          <w:szCs w:val="20"/>
        </w:rPr>
        <w:t>纳入、□未纳入</w:t>
      </w:r>
      <w:r>
        <w:rPr>
          <w:rFonts w:hint="eastAsia" w:cs="Times New Roman"/>
          <w:kern w:val="0"/>
          <w:szCs w:val="32"/>
        </w:rPr>
        <w:t>）绩效目标管理，涉及四本预算资金</w:t>
      </w:r>
      <w:r>
        <w:rPr>
          <w:rFonts w:hint="eastAsia" w:cs="Times New Roman"/>
          <w:kern w:val="0"/>
          <w:szCs w:val="32"/>
          <w:lang w:val="en-US" w:eastAsia="zh-CN"/>
        </w:rPr>
        <w:t>5645.25</w:t>
      </w:r>
      <w:r>
        <w:rPr>
          <w:rFonts w:hint="eastAsia" w:cs="Times New Roman"/>
          <w:kern w:val="0"/>
          <w:szCs w:val="32"/>
        </w:rPr>
        <w:t>万元；本部门单位共11个项目纳入绩效目标管理，涉及四本预算资金合计1504.94万元，占四本预算资金（基本支出除外）总额的比例为100%</w:t>
      </w:r>
      <w:r>
        <w:rPr>
          <w:rFonts w:hint="eastAsia" w:cs="Times New Roman"/>
          <w:kern w:val="0"/>
          <w:szCs w:val="32"/>
          <w:lang w:eastAsia="zh-CN"/>
        </w:rPr>
        <w:t>。</w:t>
      </w:r>
      <w:r>
        <w:rPr>
          <w:rFonts w:eastAsia="仿宋" w:cs="Times New Roman"/>
          <w:kern w:val="0"/>
          <w:szCs w:val="32"/>
        </w:rPr>
        <w:br w:type="page"/>
      </w:r>
    </w:p>
    <w:p>
      <w:pPr>
        <w:autoSpaceDE w:val="0"/>
        <w:autoSpaceDN w:val="0"/>
        <w:jc w:val="center"/>
        <w:rPr>
          <w:rFonts w:eastAsia="方正小标宋_GBK" w:cs="Times New Roman"/>
          <w:kern w:val="0"/>
          <w:sz w:val="44"/>
          <w:szCs w:val="44"/>
        </w:rPr>
      </w:pPr>
      <w:r>
        <w:rPr>
          <w:rFonts w:eastAsia="方正小标宋_GBK" w:cs="Times New Roman"/>
          <w:kern w:val="0"/>
          <w:sz w:val="44"/>
          <w:szCs w:val="44"/>
        </w:rPr>
        <w:t>第四部分</w:t>
      </w:r>
      <w:r>
        <w:rPr>
          <w:rFonts w:hint="eastAsia" w:eastAsia="方正小标宋_GBK" w:cs="Times New Roman"/>
          <w:kern w:val="0"/>
          <w:sz w:val="44"/>
          <w:szCs w:val="44"/>
        </w:rPr>
        <w:t xml:space="preserve">  </w:t>
      </w:r>
      <w:r>
        <w:rPr>
          <w:rFonts w:eastAsia="方正小标宋_GBK" w:cs="Times New Roman"/>
          <w:kern w:val="0"/>
          <w:sz w:val="44"/>
          <w:szCs w:val="44"/>
        </w:rPr>
        <w:t>名词解释</w:t>
      </w:r>
    </w:p>
    <w:p>
      <w:pPr>
        <w:overflowPunct w:val="0"/>
        <w:ind w:firstLine="604" w:firstLineChars="200"/>
        <w:rPr>
          <w:rFonts w:cs="Times New Roman"/>
          <w:kern w:val="0"/>
          <w:szCs w:val="32"/>
        </w:rPr>
      </w:pPr>
    </w:p>
    <w:p>
      <w:pPr>
        <w:overflowPunct w:val="0"/>
        <w:ind w:firstLine="604" w:firstLineChars="200"/>
        <w:rPr>
          <w:rFonts w:cs="Times New Roman"/>
          <w:kern w:val="0"/>
          <w:szCs w:val="32"/>
        </w:rPr>
      </w:pPr>
      <w:r>
        <w:rPr>
          <w:rFonts w:hint="eastAsia" w:eastAsia="方正黑体_GBK" w:cs="Times New Roman"/>
          <w:kern w:val="0"/>
          <w:szCs w:val="32"/>
        </w:rPr>
        <w:t>一、财政拨款：</w:t>
      </w:r>
      <w:r>
        <w:rPr>
          <w:rFonts w:hint="eastAsia" w:cs="Times New Roman"/>
          <w:kern w:val="0"/>
          <w:szCs w:val="32"/>
        </w:rPr>
        <w:t>单位从同级财政部门取得的各类财政拨款，包括一般公共预算拨款、政府性基金预算拨款、国有资本经营预算拨款。</w:t>
      </w:r>
    </w:p>
    <w:p>
      <w:pPr>
        <w:overflowPunct w:val="0"/>
        <w:ind w:firstLine="604" w:firstLineChars="200"/>
        <w:rPr>
          <w:rFonts w:cs="Times New Roman"/>
          <w:kern w:val="0"/>
          <w:szCs w:val="32"/>
        </w:rPr>
      </w:pPr>
      <w:r>
        <w:rPr>
          <w:rFonts w:hint="eastAsia" w:eastAsia="方正黑体_GBK" w:cs="Times New Roman"/>
          <w:kern w:val="0"/>
          <w:szCs w:val="32"/>
        </w:rPr>
        <w:t>二、财政专户管理资金：</w:t>
      </w:r>
      <w:r>
        <w:rPr>
          <w:rFonts w:hint="eastAsia" w:cs="Times New Roman"/>
          <w:kern w:val="0"/>
          <w:szCs w:val="32"/>
        </w:rPr>
        <w:t>缴入财政专户、实行专项管理的高中以上学费、住宿费、高校委托培养费、函大、电大、夜大及短训班培训费等教育收费。</w:t>
      </w:r>
    </w:p>
    <w:p>
      <w:pPr>
        <w:overflowPunct w:val="0"/>
        <w:ind w:firstLine="604" w:firstLineChars="200"/>
        <w:rPr>
          <w:rFonts w:cs="Times New Roman"/>
          <w:kern w:val="0"/>
          <w:szCs w:val="32"/>
        </w:rPr>
      </w:pPr>
      <w:r>
        <w:rPr>
          <w:rFonts w:hint="eastAsia" w:eastAsia="方正黑体_GBK" w:cs="Times New Roman"/>
          <w:kern w:val="0"/>
          <w:szCs w:val="32"/>
        </w:rPr>
        <w:t>三、单位资金：</w:t>
      </w:r>
      <w:r>
        <w:rPr>
          <w:rFonts w:hint="eastAsia" w:cs="Times New Roman"/>
          <w:kern w:val="0"/>
          <w:szCs w:val="32"/>
        </w:rPr>
        <w:t>除财政拨款收入和财政专户管理资金以外的收入，包括事业收入（不含教育收费）、上级补助收入、附属单位上缴收入、事业单位经营收入及其他收入（包含债务收入、投资收益等）。</w:t>
      </w:r>
    </w:p>
    <w:p>
      <w:pPr>
        <w:overflowPunct w:val="0"/>
        <w:ind w:firstLine="604" w:firstLineChars="200"/>
        <w:rPr>
          <w:rFonts w:cs="Times New Roman"/>
          <w:kern w:val="0"/>
          <w:szCs w:val="32"/>
        </w:rPr>
      </w:pPr>
      <w:r>
        <w:rPr>
          <w:rFonts w:hint="eastAsia" w:eastAsia="方正黑体_GBK" w:cs="Times New Roman"/>
          <w:kern w:val="0"/>
          <w:szCs w:val="32"/>
        </w:rPr>
        <w:t>四、基本支出：</w:t>
      </w:r>
      <w:r>
        <w:rPr>
          <w:rFonts w:hint="eastAsia" w:cs="Times New Roman"/>
          <w:kern w:val="0"/>
          <w:szCs w:val="32"/>
        </w:rPr>
        <w:t>指为保障机构正常运转、完成工作任务而发生的人员支出和公用支出。</w:t>
      </w:r>
    </w:p>
    <w:p>
      <w:pPr>
        <w:overflowPunct w:val="0"/>
        <w:ind w:firstLine="604" w:firstLineChars="200"/>
        <w:rPr>
          <w:rFonts w:cs="Times New Roman"/>
          <w:kern w:val="0"/>
          <w:szCs w:val="32"/>
        </w:rPr>
      </w:pPr>
      <w:r>
        <w:rPr>
          <w:rFonts w:hint="eastAsia" w:eastAsia="方正黑体_GBK" w:cs="Times New Roman"/>
          <w:kern w:val="0"/>
          <w:szCs w:val="32"/>
        </w:rPr>
        <w:t>五、项目支出：</w:t>
      </w:r>
      <w:r>
        <w:rPr>
          <w:rFonts w:hint="eastAsia" w:cs="Times New Roman"/>
          <w:kern w:val="0"/>
          <w:szCs w:val="32"/>
        </w:rPr>
        <w:t>指在基本支出之外为完成特定工作任务和事业发展目标所发生的支出。</w:t>
      </w:r>
    </w:p>
    <w:p>
      <w:pPr>
        <w:overflowPunct w:val="0"/>
        <w:ind w:firstLine="604" w:firstLineChars="200"/>
        <w:rPr>
          <w:rFonts w:cs="Times New Roman"/>
          <w:kern w:val="0"/>
          <w:szCs w:val="32"/>
        </w:rPr>
      </w:pPr>
      <w:r>
        <w:rPr>
          <w:rFonts w:hint="eastAsia" w:eastAsia="方正黑体_GBK" w:cs="Times New Roman"/>
          <w:kern w:val="0"/>
          <w:szCs w:val="32"/>
        </w:rPr>
        <w:t>六、“三公”经费：</w:t>
      </w:r>
      <w:r>
        <w:rPr>
          <w:rFonts w:hint="eastAsia" w:cs="Times New Roman"/>
          <w:kern w:val="0"/>
          <w:szCs w:val="32"/>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overflowPunct w:val="0"/>
        <w:ind w:firstLine="604" w:firstLineChars="200"/>
        <w:rPr>
          <w:rFonts w:cs="Times New Roman"/>
          <w:kern w:val="0"/>
          <w:szCs w:val="32"/>
        </w:rPr>
      </w:pPr>
      <w:r>
        <w:rPr>
          <w:rFonts w:hint="eastAsia" w:eastAsia="方正黑体_GBK" w:cs="Times New Roman"/>
          <w:kern w:val="0"/>
          <w:szCs w:val="32"/>
        </w:rPr>
        <w:t>七、机关运行经费：</w:t>
      </w:r>
      <w:r>
        <w:rPr>
          <w:rFonts w:hint="eastAsia" w:cs="Times New Roman"/>
          <w:kern w:val="0"/>
          <w:szCs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bookmarkStart w:id="0" w:name="_GoBack"/>
      <w:bookmarkEnd w:id="0"/>
    </w:p>
    <w:p>
      <w:pPr>
        <w:ind w:firstLine="604" w:firstLineChars="200"/>
      </w:pPr>
    </w:p>
    <w:sectPr>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433331"/>
      <w:docPartObj>
        <w:docPartGallery w:val="autotext"/>
      </w:docPartObj>
    </w:sdtPr>
    <w:sdtEndPr>
      <w:rPr>
        <w:sz w:val="28"/>
        <w:szCs w:val="28"/>
      </w:rPr>
    </w:sdtEndPr>
    <w:sdtContent>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40</w:t>
        </w:r>
        <w:r>
          <w:rPr>
            <w:sz w:val="28"/>
            <w:szCs w:val="28"/>
          </w:rPr>
          <w:fldChar w:fldCharType="end"/>
        </w:r>
        <w:r>
          <w:rPr>
            <w:rFonts w:hint="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23B2D"/>
    <w:multiLevelType w:val="singleLevel"/>
    <w:tmpl w:val="83423B2D"/>
    <w:lvl w:ilvl="0" w:tentative="0">
      <w:start w:val="1"/>
      <w:numFmt w:val="chineseCounting"/>
      <w:suff w:val="nothing"/>
      <w:lvlText w:val="（%1）"/>
      <w:lvlJc w:val="left"/>
      <w:rPr>
        <w:rFonts w:hint="eastAsia"/>
      </w:rPr>
    </w:lvl>
  </w:abstractNum>
  <w:abstractNum w:abstractNumId="1">
    <w:nsid w:val="440FB1C7"/>
    <w:multiLevelType w:val="singleLevel"/>
    <w:tmpl w:val="440FB1C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2E54"/>
    <w:rsid w:val="00040310"/>
    <w:rsid w:val="00072E54"/>
    <w:rsid w:val="000736FE"/>
    <w:rsid w:val="00084CE9"/>
    <w:rsid w:val="000E7DF5"/>
    <w:rsid w:val="000F580F"/>
    <w:rsid w:val="002629BD"/>
    <w:rsid w:val="00263283"/>
    <w:rsid w:val="002A0DCB"/>
    <w:rsid w:val="002B2240"/>
    <w:rsid w:val="002C7344"/>
    <w:rsid w:val="002E3A28"/>
    <w:rsid w:val="00301CA5"/>
    <w:rsid w:val="00304E82"/>
    <w:rsid w:val="00306528"/>
    <w:rsid w:val="00381B19"/>
    <w:rsid w:val="003A243B"/>
    <w:rsid w:val="003A47D7"/>
    <w:rsid w:val="003B3209"/>
    <w:rsid w:val="00401FF8"/>
    <w:rsid w:val="004F1664"/>
    <w:rsid w:val="00521B6C"/>
    <w:rsid w:val="005E1AF2"/>
    <w:rsid w:val="005F1A5D"/>
    <w:rsid w:val="005F5E53"/>
    <w:rsid w:val="006812E9"/>
    <w:rsid w:val="006B5A0E"/>
    <w:rsid w:val="006D131B"/>
    <w:rsid w:val="00752819"/>
    <w:rsid w:val="007535DB"/>
    <w:rsid w:val="00757F84"/>
    <w:rsid w:val="007B4E67"/>
    <w:rsid w:val="008059AC"/>
    <w:rsid w:val="008704C0"/>
    <w:rsid w:val="0087781B"/>
    <w:rsid w:val="00884DCB"/>
    <w:rsid w:val="00890387"/>
    <w:rsid w:val="008A5A7F"/>
    <w:rsid w:val="008C0CF9"/>
    <w:rsid w:val="008E61B9"/>
    <w:rsid w:val="008F3F73"/>
    <w:rsid w:val="0091149D"/>
    <w:rsid w:val="00914140"/>
    <w:rsid w:val="00920DE4"/>
    <w:rsid w:val="009A1767"/>
    <w:rsid w:val="009C0A51"/>
    <w:rsid w:val="009E23CF"/>
    <w:rsid w:val="009E6CD2"/>
    <w:rsid w:val="00A00E2F"/>
    <w:rsid w:val="00A044FC"/>
    <w:rsid w:val="00A13E8B"/>
    <w:rsid w:val="00A41C32"/>
    <w:rsid w:val="00A544EA"/>
    <w:rsid w:val="00AB11C5"/>
    <w:rsid w:val="00AC51E1"/>
    <w:rsid w:val="00B67642"/>
    <w:rsid w:val="00B924A9"/>
    <w:rsid w:val="00BE1299"/>
    <w:rsid w:val="00BF30F5"/>
    <w:rsid w:val="00C05243"/>
    <w:rsid w:val="00C13584"/>
    <w:rsid w:val="00C254DF"/>
    <w:rsid w:val="00CF500B"/>
    <w:rsid w:val="00D63674"/>
    <w:rsid w:val="00D84A46"/>
    <w:rsid w:val="00D8735C"/>
    <w:rsid w:val="00DA5802"/>
    <w:rsid w:val="00DC7F73"/>
    <w:rsid w:val="00DF0E6C"/>
    <w:rsid w:val="00E15AB0"/>
    <w:rsid w:val="00F52438"/>
    <w:rsid w:val="00F67E14"/>
    <w:rsid w:val="076D3D71"/>
    <w:rsid w:val="0D100B56"/>
    <w:rsid w:val="14BF651D"/>
    <w:rsid w:val="17EF7E89"/>
    <w:rsid w:val="264D27CB"/>
    <w:rsid w:val="2AD53029"/>
    <w:rsid w:val="38F92264"/>
    <w:rsid w:val="425916B7"/>
    <w:rsid w:val="47153B76"/>
    <w:rsid w:val="47180CD9"/>
    <w:rsid w:val="4AEC4908"/>
    <w:rsid w:val="4FCC7037"/>
    <w:rsid w:val="522E58D5"/>
    <w:rsid w:val="52AC7C9C"/>
    <w:rsid w:val="561C4E6D"/>
    <w:rsid w:val="5C112E04"/>
    <w:rsid w:val="649A70D8"/>
    <w:rsid w:val="6505700E"/>
    <w:rsid w:val="679242F7"/>
    <w:rsid w:val="688B6DC8"/>
    <w:rsid w:val="72F82BD3"/>
    <w:rsid w:val="75CF596C"/>
    <w:rsid w:val="766B1F4A"/>
    <w:rsid w:val="770D067D"/>
    <w:rsid w:val="7B233B21"/>
    <w:rsid w:val="7DCD2B0E"/>
    <w:rsid w:val="7ECB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a:t>收入预算图</a:t>
            </a:r>
            <a:endParaRPr altLang="en-US"/>
          </a:p>
        </c:rich>
      </c:tx>
      <c:layout>
        <c:manualLayout>
          <c:xMode val="edge"/>
          <c:yMode val="edge"/>
          <c:x val="0.754027777777779"/>
          <c:y val="0.149305555555556"/>
        </c:manualLayout>
      </c:layout>
      <c:overlay val="0"/>
      <c:spPr>
        <a:noFill/>
        <a:ln>
          <a:noFill/>
        </a:ln>
        <a:effectLst/>
      </c:spPr>
    </c:title>
    <c:autoTitleDeleted val="0"/>
    <c:plotArea>
      <c:layout/>
      <c:pieChart>
        <c:varyColors val="1"/>
        <c:ser>
          <c:idx val="0"/>
          <c:order val="0"/>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4D3B62">
                  <a:lumMod val="60000"/>
                </a:srgbClr>
              </a:solidFill>
              <a:ln w="19050">
                <a:solidFill>
                  <a:srgbClr val="FFFFFF"/>
                </a:solidFill>
              </a:ln>
              <a:effectLst/>
            </c:spPr>
          </c:dPt>
          <c:dPt>
            <c:idx val="10"/>
            <c:bubble3D val="0"/>
            <c:spPr>
              <a:solidFill>
                <a:srgbClr val="276A7C">
                  <a:lumMod val="60000"/>
                </a:srgbClr>
              </a:solidFill>
              <a:ln w="19050">
                <a:solidFill>
                  <a:srgbClr val="FFFFFF"/>
                </a:solidFill>
              </a:ln>
              <a:effectLst/>
            </c:spPr>
          </c:dPt>
          <c:dPt>
            <c:idx val="11"/>
            <c:bubble3D val="0"/>
            <c:spPr>
              <a:solidFill>
                <a:srgbClr val="B65708">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[1.xls]Sheet1!$A$3:$A$14</c:f>
              <c:strCache>
                <c:ptCount val="12"/>
                <c:pt idx="0">
                  <c:v>国有资本经营预算收入</c:v>
                </c:pt>
                <c:pt idx="1">
                  <c:v>财政专户管理资金</c:v>
                </c:pt>
                <c:pt idx="2">
                  <c:v>事业收入</c:v>
                </c:pt>
                <c:pt idx="3">
                  <c:v>事业单位经营收入</c:v>
                </c:pt>
                <c:pt idx="4">
                  <c:v>上级补助收入</c:v>
                </c:pt>
                <c:pt idx="5">
                  <c:v>附属单位上缴收入</c:v>
                </c:pt>
                <c:pt idx="6">
                  <c:v>其他收入</c:v>
                </c:pt>
                <c:pt idx="7">
                  <c:v>上年结转结余的一般公共预算收入</c:v>
                </c:pt>
                <c:pt idx="8">
                  <c:v>上年结转结余的政府性基金预算收入</c:v>
                </c:pt>
                <c:pt idx="9">
                  <c:v>上年结转结余的国有资本经营预算收入</c:v>
                </c:pt>
                <c:pt idx="10">
                  <c:v>上年结转结余的财政专户管理资金</c:v>
                </c:pt>
                <c:pt idx="11">
                  <c:v>上年结转结余的单位资金</c:v>
                </c:pt>
              </c:strCache>
            </c:strRef>
          </c:cat>
          <c:val>
            <c:numRef>
              <c:f>[1.xls]Sheet1!$B$3:$B$14</c:f>
              <c:numCache>
                <c:formatCode>General</c:formatCode>
                <c:ptCount val="12"/>
                <c:pt idx="0">
                  <c:v>5645.25</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支出预算图 </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[1.xls]Sheet1!$A$32:$A$36</c:f>
              <c:strCache>
                <c:ptCount val="5"/>
                <c:pt idx="0">
                  <c:v>基本支出</c:v>
                </c:pt>
                <c:pt idx="1">
                  <c:v>项目支出</c:v>
                </c:pt>
                <c:pt idx="2">
                  <c:v>事业单位经营支出</c:v>
                </c:pt>
                <c:pt idx="3">
                  <c:v>上缴上级支出</c:v>
                </c:pt>
                <c:pt idx="4">
                  <c:v>对附属单位补助支出</c:v>
                </c:pt>
              </c:strCache>
            </c:strRef>
          </c:cat>
          <c:val>
            <c:numRef>
              <c:f>[1.xls]Sheet1!$B$32:$B$36</c:f>
              <c:numCache>
                <c:formatCode>General</c:formatCode>
                <c:ptCount val="5"/>
                <c:pt idx="0">
                  <c:v>4140.31</c:v>
                </c:pt>
                <c:pt idx="1">
                  <c:v>1504.94</c:v>
                </c:pt>
                <c:pt idx="2">
                  <c:v>0</c:v>
                </c:pt>
                <c:pt idx="3">
                  <c:v>0</c:v>
                </c:pt>
                <c:pt idx="4">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4003</Words>
  <Characters>22821</Characters>
  <Lines>190</Lines>
  <Paragraphs>53</Paragraphs>
  <TotalTime>8</TotalTime>
  <ScaleCrop>false</ScaleCrop>
  <LinksUpToDate>false</LinksUpToDate>
  <CharactersWithSpaces>26771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2021-02-03T07:56:00Z</dcterms:created>
  <dc:creator>微软用户</dc:creator>
  <cp:lastModifiedBy>菲飘一季</cp:lastModifiedBy>
  <cp:lastPrinted>2021-03-19T08:15:12Z</cp:lastPrinted>
  <dcterms:modified xsi:type="dcterms:W3CDTF">2021-03-19T08:21:23Z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523442156_btnclosed</vt:lpwstr>
  </property>
  <property fmtid="{D5CDD505-2E9C-101B-9397-08002B2CF9AE}" pid="3" name="KSOProductBuildVer">
    <vt:lpwstr>2052-11.1.0.10356</vt:lpwstr>
  </property>
  <property fmtid="{D5CDD505-2E9C-101B-9397-08002B2CF9AE}" pid="4" name="ICV">
    <vt:lpwstr>AA15FA73F1884F5985E502C3FED5BA45</vt:lpwstr>
  </property>
</Properties>
</file>