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20" w:beforeLines="50" w:after="240" w:afterLines="100" w:line="240" w:lineRule="auto"/>
        <w:jc w:val="center"/>
        <w:textAlignment w:val="auto"/>
        <w:rPr>
          <w:rFonts w:hint="eastAsia" w:ascii="微软雅黑" w:hAnsi="微软雅黑" w:eastAsia="微软雅黑" w:cs="微软雅黑"/>
          <w:b/>
          <w:bCs w:val="0"/>
          <w:sz w:val="44"/>
          <w:szCs w:val="44"/>
          <w:lang w:val="en-US" w:eastAsia="zh-CN"/>
        </w:rPr>
      </w:pPr>
      <w:r>
        <w:rPr>
          <w:rFonts w:hint="eastAsia" w:ascii="微软雅黑" w:hAnsi="微软雅黑" w:eastAsia="微软雅黑" w:cs="微软雅黑"/>
          <w:b/>
          <w:bCs w:val="0"/>
          <w:sz w:val="44"/>
          <w:szCs w:val="44"/>
          <w:lang w:val="en-US" w:eastAsia="zh-CN"/>
        </w:rPr>
        <w:t>江阴澄辉照明科技发展有限公司基站建设维护考核标准</w:t>
      </w:r>
    </w:p>
    <w:p>
      <w:pPr>
        <w:keepNext w:val="0"/>
        <w:keepLines w:val="0"/>
        <w:pageBreakBefore w:val="0"/>
        <w:widowControl w:val="0"/>
        <w:kinsoku/>
        <w:wordWrap/>
        <w:overflowPunct/>
        <w:topLinePunct w:val="0"/>
        <w:autoSpaceDE/>
        <w:autoSpaceDN/>
        <w:bidi w:val="0"/>
        <w:adjustRightInd w:val="0"/>
        <w:snapToGrid w:val="0"/>
        <w:spacing w:line="240" w:lineRule="auto"/>
        <w:ind w:left="542" w:hanging="540" w:hangingChars="150"/>
        <w:textAlignment w:val="auto"/>
        <w:rPr>
          <w:rFonts w:hint="eastAsia" w:ascii="微软雅黑" w:hAnsi="微软雅黑" w:eastAsia="微软雅黑" w:cs="微软雅黑"/>
          <w:b/>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ind w:left="542" w:hanging="540" w:hangingChars="150"/>
        <w:textAlignment w:val="auto"/>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一、考核说明：</w:t>
      </w:r>
    </w:p>
    <w:p>
      <w:pPr>
        <w:keepNext w:val="0"/>
        <w:keepLines w:val="0"/>
        <w:pageBreakBefore w:val="0"/>
        <w:widowControl w:val="0"/>
        <w:kinsoku/>
        <w:wordWrap/>
        <w:overflowPunct/>
        <w:topLinePunct w:val="0"/>
        <w:autoSpaceDE/>
        <w:autoSpaceDN/>
        <w:bidi w:val="0"/>
        <w:adjustRightInd w:val="0"/>
        <w:snapToGrid w:val="0"/>
        <w:spacing w:line="240" w:lineRule="auto"/>
        <w:ind w:left="480" w:hanging="480" w:hangingChars="15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1、为</w:t>
      </w:r>
      <w:r>
        <w:rPr>
          <w:rFonts w:hint="eastAsia" w:ascii="微软雅黑" w:hAnsi="微软雅黑" w:eastAsia="微软雅黑" w:cs="微软雅黑"/>
          <w:sz w:val="32"/>
          <w:szCs w:val="32"/>
          <w:lang w:eastAsia="zh-CN"/>
        </w:rPr>
        <w:t>保障基站设施的平稳运行</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val="en-US" w:eastAsia="zh-CN"/>
        </w:rPr>
        <w:t>江阴澄辉照明科技发展有限公司</w:t>
      </w:r>
      <w:r>
        <w:rPr>
          <w:rFonts w:hint="eastAsia" w:ascii="微软雅黑" w:hAnsi="微软雅黑" w:eastAsia="微软雅黑" w:cs="微软雅黑"/>
          <w:sz w:val="32"/>
          <w:szCs w:val="32"/>
        </w:rPr>
        <w:t>制定如下考核标准，对</w:t>
      </w:r>
      <w:r>
        <w:rPr>
          <w:rFonts w:hint="eastAsia" w:ascii="微软雅黑" w:hAnsi="微软雅黑" w:eastAsia="微软雅黑" w:cs="微软雅黑"/>
          <w:sz w:val="32"/>
          <w:szCs w:val="32"/>
          <w:lang w:eastAsia="zh-CN"/>
        </w:rPr>
        <w:t>未</w:t>
      </w:r>
      <w:r>
        <w:rPr>
          <w:rFonts w:hint="eastAsia" w:ascii="微软雅黑" w:hAnsi="微软雅黑" w:eastAsia="微软雅黑" w:cs="微软雅黑"/>
          <w:sz w:val="32"/>
          <w:szCs w:val="32"/>
        </w:rPr>
        <w:t>达到</w:t>
      </w:r>
      <w:r>
        <w:rPr>
          <w:rFonts w:hint="eastAsia" w:ascii="微软雅黑" w:hAnsi="微软雅黑" w:eastAsia="微软雅黑" w:cs="微软雅黑"/>
          <w:sz w:val="32"/>
          <w:szCs w:val="32"/>
          <w:lang w:eastAsia="zh-CN"/>
        </w:rPr>
        <w:t>考核</w:t>
      </w:r>
      <w:r>
        <w:rPr>
          <w:rFonts w:hint="eastAsia" w:ascii="微软雅黑" w:hAnsi="微软雅黑" w:eastAsia="微软雅黑" w:cs="微软雅黑"/>
          <w:sz w:val="32"/>
          <w:szCs w:val="32"/>
        </w:rPr>
        <w:t>要求的行为扣除相应的</w:t>
      </w:r>
      <w:r>
        <w:rPr>
          <w:rFonts w:hint="eastAsia" w:ascii="微软雅黑" w:hAnsi="微软雅黑" w:eastAsia="微软雅黑" w:cs="微软雅黑"/>
          <w:sz w:val="32"/>
          <w:szCs w:val="32"/>
          <w:lang w:eastAsia="zh-CN"/>
        </w:rPr>
        <w:t>维</w:t>
      </w:r>
      <w:r>
        <w:rPr>
          <w:rFonts w:hint="eastAsia" w:ascii="微软雅黑" w:hAnsi="微软雅黑" w:eastAsia="微软雅黑" w:cs="微软雅黑"/>
          <w:sz w:val="32"/>
          <w:szCs w:val="32"/>
        </w:rPr>
        <w:t>护费。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2、每发生考核表中下述扣分现象一次，扣除对应</w:t>
      </w:r>
      <w:r>
        <w:rPr>
          <w:rFonts w:hint="eastAsia" w:ascii="微软雅黑" w:hAnsi="微软雅黑" w:eastAsia="微软雅黑" w:cs="微软雅黑"/>
          <w:sz w:val="32"/>
          <w:szCs w:val="32"/>
          <w:lang w:eastAsia="zh-CN"/>
        </w:rPr>
        <w:t>款项</w:t>
      </w:r>
      <w:r>
        <w:rPr>
          <w:rFonts w:hint="eastAsia" w:ascii="微软雅黑" w:hAnsi="微软雅黑" w:eastAsia="微软雅黑" w:cs="微软雅黑"/>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480" w:hanging="480" w:hangingChars="15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eastAsia="zh-CN"/>
        </w:rPr>
        <w:t>一年内</w:t>
      </w:r>
      <w:r>
        <w:rPr>
          <w:rFonts w:hint="eastAsia" w:ascii="微软雅黑" w:hAnsi="微软雅黑" w:eastAsia="微软雅黑" w:cs="微软雅黑"/>
          <w:sz w:val="32"/>
          <w:szCs w:val="32"/>
        </w:rPr>
        <w:t>月度考核累计扣减达到</w:t>
      </w:r>
      <w:r>
        <w:rPr>
          <w:rFonts w:hint="eastAsia" w:ascii="微软雅黑" w:hAnsi="微软雅黑" w:eastAsia="微软雅黑" w:cs="微软雅黑"/>
          <w:sz w:val="32"/>
          <w:szCs w:val="32"/>
          <w:lang w:eastAsia="zh-CN"/>
        </w:rPr>
        <w:t>当月维护款</w:t>
      </w:r>
      <w:r>
        <w:rPr>
          <w:rFonts w:hint="eastAsia" w:ascii="微软雅黑" w:hAnsi="微软雅黑" w:eastAsia="微软雅黑" w:cs="微软雅黑"/>
          <w:sz w:val="32"/>
          <w:szCs w:val="32"/>
        </w:rPr>
        <w:t>的20%及以上</w:t>
      </w:r>
      <w:r>
        <w:rPr>
          <w:rFonts w:hint="eastAsia" w:ascii="微软雅黑" w:hAnsi="微软雅黑" w:eastAsia="微软雅黑" w:cs="微软雅黑"/>
          <w:sz w:val="32"/>
          <w:szCs w:val="32"/>
          <w:lang w:val="en-US" w:eastAsia="zh-CN"/>
        </w:rPr>
        <w:t>满三次</w:t>
      </w:r>
      <w:r>
        <w:rPr>
          <w:rFonts w:hint="eastAsia" w:ascii="微软雅黑" w:hAnsi="微软雅黑" w:eastAsia="微软雅黑" w:cs="微软雅黑"/>
          <w:sz w:val="32"/>
          <w:szCs w:val="32"/>
        </w:rPr>
        <w:t>，江阴澄辉照明科技发展有限公司有权认为维护单位不具备</w:t>
      </w:r>
      <w:r>
        <w:rPr>
          <w:rFonts w:hint="eastAsia" w:ascii="微软雅黑" w:hAnsi="微软雅黑" w:eastAsia="微软雅黑" w:cs="微软雅黑"/>
          <w:sz w:val="32"/>
          <w:szCs w:val="32"/>
          <w:lang w:eastAsia="zh-CN"/>
        </w:rPr>
        <w:t>维</w:t>
      </w:r>
      <w:r>
        <w:rPr>
          <w:rFonts w:hint="eastAsia" w:ascii="微软雅黑" w:hAnsi="微软雅黑" w:eastAsia="微软雅黑" w:cs="微软雅黑"/>
          <w:sz w:val="32"/>
          <w:szCs w:val="32"/>
        </w:rPr>
        <w:t>护能力，有权终止合同。若提前终止合同，按实际</w:t>
      </w:r>
      <w:r>
        <w:rPr>
          <w:rFonts w:hint="eastAsia" w:ascii="微软雅黑" w:hAnsi="微软雅黑" w:eastAsia="微软雅黑" w:cs="微软雅黑"/>
          <w:sz w:val="32"/>
          <w:szCs w:val="32"/>
          <w:lang w:eastAsia="zh-CN"/>
        </w:rPr>
        <w:t>维</w:t>
      </w:r>
      <w:r>
        <w:rPr>
          <w:rFonts w:hint="eastAsia" w:ascii="微软雅黑" w:hAnsi="微软雅黑" w:eastAsia="微软雅黑" w:cs="微软雅黑"/>
          <w:sz w:val="32"/>
          <w:szCs w:val="32"/>
        </w:rPr>
        <w:t>护费结算。</w:t>
      </w:r>
    </w:p>
    <w:p>
      <w:pPr>
        <w:keepNext w:val="0"/>
        <w:keepLines w:val="0"/>
        <w:pageBreakBefore w:val="0"/>
        <w:widowControl w:val="0"/>
        <w:kinsoku/>
        <w:wordWrap/>
        <w:overflowPunct/>
        <w:topLinePunct w:val="0"/>
        <w:autoSpaceDE/>
        <w:autoSpaceDN/>
        <w:bidi w:val="0"/>
        <w:adjustRightInd w:val="0"/>
        <w:snapToGrid w:val="0"/>
        <w:spacing w:line="240" w:lineRule="auto"/>
        <w:ind w:left="480" w:hanging="480" w:hangingChars="15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4、定期维护巡查，维护单位接到故障报修或者投诉问题应及时解决，规定时间内不能完成情况发生满三次则</w:t>
      </w:r>
      <w:r>
        <w:rPr>
          <w:rFonts w:hint="eastAsia" w:ascii="微软雅黑" w:hAnsi="微软雅黑" w:eastAsia="微软雅黑" w:cs="微软雅黑"/>
          <w:sz w:val="32"/>
          <w:szCs w:val="32"/>
        </w:rPr>
        <w:t>江阴澄辉照明科技发展有限公司有权终止合同。若提前终止合同，按实际</w:t>
      </w:r>
      <w:r>
        <w:rPr>
          <w:rFonts w:hint="eastAsia" w:ascii="微软雅黑" w:hAnsi="微软雅黑" w:eastAsia="微软雅黑" w:cs="微软雅黑"/>
          <w:sz w:val="32"/>
          <w:szCs w:val="32"/>
          <w:lang w:eastAsia="zh-CN"/>
        </w:rPr>
        <w:t>维</w:t>
      </w:r>
      <w:r>
        <w:rPr>
          <w:rFonts w:hint="eastAsia" w:ascii="微软雅黑" w:hAnsi="微软雅黑" w:eastAsia="微软雅黑" w:cs="微软雅黑"/>
          <w:sz w:val="32"/>
          <w:szCs w:val="32"/>
        </w:rPr>
        <w:t>护费结算。</w:t>
      </w:r>
    </w:p>
    <w:p>
      <w:pPr>
        <w:keepNext w:val="0"/>
        <w:keepLines w:val="0"/>
        <w:pageBreakBefore w:val="0"/>
        <w:widowControl w:val="0"/>
        <w:kinsoku/>
        <w:wordWrap/>
        <w:overflowPunct/>
        <w:topLinePunct w:val="0"/>
        <w:autoSpaceDE/>
        <w:autoSpaceDN/>
        <w:bidi w:val="0"/>
        <w:adjustRightInd w:val="0"/>
        <w:snapToGrid w:val="0"/>
        <w:spacing w:line="240" w:lineRule="auto"/>
        <w:ind w:left="0" w:hanging="540" w:hangingChars="150"/>
        <w:textAlignment w:val="auto"/>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二、月度</w:t>
      </w:r>
      <w:r>
        <w:rPr>
          <w:rFonts w:hint="eastAsia" w:ascii="微软雅黑" w:hAnsi="微软雅黑" w:eastAsia="微软雅黑" w:cs="微软雅黑"/>
          <w:b/>
          <w:sz w:val="36"/>
          <w:szCs w:val="36"/>
          <w:lang w:eastAsia="zh-CN"/>
        </w:rPr>
        <w:t>考核</w:t>
      </w:r>
      <w:r>
        <w:rPr>
          <w:rFonts w:hint="eastAsia" w:ascii="微软雅黑" w:hAnsi="微软雅黑" w:eastAsia="微软雅黑" w:cs="微软雅黑"/>
          <w:b/>
          <w:sz w:val="36"/>
          <w:szCs w:val="36"/>
        </w:rPr>
        <w:t>：</w:t>
      </w:r>
    </w:p>
    <w:p>
      <w:pPr>
        <w:widowControl/>
        <w:jc w:val="center"/>
        <w:rPr>
          <w:rFonts w:hint="eastAsia" w:ascii="微软雅黑" w:hAnsi="微软雅黑" w:eastAsia="微软雅黑" w:cs="微软雅黑"/>
          <w:b/>
          <w:bCs/>
          <w:color w:val="000000"/>
          <w:kern w:val="0"/>
          <w:sz w:val="36"/>
          <w:szCs w:val="36"/>
        </w:rPr>
        <w:sectPr>
          <w:headerReference r:id="rId3" w:type="default"/>
          <w:footerReference r:id="rId4" w:type="default"/>
          <w:pgSz w:w="16838" w:h="11906" w:orient="landscape"/>
          <w:pgMar w:top="1440" w:right="1803" w:bottom="1440" w:left="1803" w:header="851" w:footer="992" w:gutter="0"/>
          <w:cols w:space="425" w:num="1"/>
          <w:docGrid w:linePitch="312" w:charSpace="0"/>
        </w:sectPr>
      </w:pPr>
    </w:p>
    <w:tbl>
      <w:tblPr>
        <w:tblStyle w:val="14"/>
        <w:tblW w:w="13990" w:type="dxa"/>
        <w:tblInd w:w="85" w:type="dxa"/>
        <w:tblLayout w:type="fixed"/>
        <w:tblCellMar>
          <w:top w:w="0" w:type="dxa"/>
          <w:left w:w="108" w:type="dxa"/>
          <w:bottom w:w="0" w:type="dxa"/>
          <w:right w:w="108" w:type="dxa"/>
        </w:tblCellMar>
      </w:tblPr>
      <w:tblGrid>
        <w:gridCol w:w="550"/>
        <w:gridCol w:w="555"/>
        <w:gridCol w:w="2411"/>
        <w:gridCol w:w="3184"/>
        <w:gridCol w:w="332"/>
        <w:gridCol w:w="3516"/>
        <w:gridCol w:w="742"/>
        <w:gridCol w:w="2700"/>
      </w:tblGrid>
      <w:tr>
        <w:tblPrEx>
          <w:tblLayout w:type="fixed"/>
          <w:tblCellMar>
            <w:top w:w="0" w:type="dxa"/>
            <w:left w:w="108" w:type="dxa"/>
            <w:bottom w:w="0" w:type="dxa"/>
            <w:right w:w="108" w:type="dxa"/>
          </w:tblCellMar>
        </w:tblPrEx>
        <w:trPr>
          <w:trHeight w:val="563" w:hRule="atLeast"/>
          <w:tblHeader/>
        </w:trPr>
        <w:tc>
          <w:tcPr>
            <w:tcW w:w="13990" w:type="dxa"/>
            <w:gridSpan w:val="8"/>
            <w:tcBorders>
              <w:top w:val="nil"/>
              <w:left w:val="nil"/>
              <w:bottom w:val="nil"/>
              <w:right w:val="nil"/>
            </w:tcBorders>
            <w:shd w:val="clear" w:color="auto" w:fill="auto"/>
            <w:noWrap/>
            <w:vAlign w:val="center"/>
          </w:tcPr>
          <w:p>
            <w:pPr>
              <w:widowControl/>
              <w:jc w:val="center"/>
              <w:rPr>
                <w:rFonts w:hint="default" w:ascii="微软雅黑" w:hAnsi="微软雅黑" w:eastAsia="微软雅黑" w:cs="微软雅黑"/>
                <w:b/>
                <w:bCs/>
                <w:color w:val="000000"/>
                <w:kern w:val="0"/>
                <w:sz w:val="36"/>
                <w:szCs w:val="36"/>
                <w:lang w:val="en-US" w:eastAsia="zh-CN"/>
              </w:rPr>
            </w:pPr>
            <w:r>
              <w:rPr>
                <w:rFonts w:hint="eastAsia" w:ascii="微软雅黑" w:hAnsi="微软雅黑" w:eastAsia="微软雅黑" w:cs="微软雅黑"/>
                <w:b/>
                <w:bCs/>
                <w:color w:val="000000"/>
                <w:kern w:val="0"/>
                <w:sz w:val="36"/>
                <w:szCs w:val="36"/>
              </w:rPr>
              <w:t>江阴澄辉照明科技发展有限公司</w:t>
            </w:r>
            <w:r>
              <w:rPr>
                <w:rFonts w:hint="eastAsia" w:ascii="微软雅黑" w:hAnsi="微软雅黑" w:eastAsia="微软雅黑" w:cs="微软雅黑"/>
                <w:b/>
                <w:bCs/>
                <w:color w:val="000000"/>
                <w:kern w:val="0"/>
                <w:sz w:val="36"/>
                <w:szCs w:val="36"/>
                <w:lang w:val="en-US" w:eastAsia="zh-CN"/>
              </w:rPr>
              <w:t>基站建设维护考核标准</w:t>
            </w:r>
          </w:p>
        </w:tc>
      </w:tr>
      <w:tr>
        <w:tblPrEx>
          <w:tblLayout w:type="fixed"/>
          <w:tblCellMar>
            <w:top w:w="0" w:type="dxa"/>
            <w:left w:w="108" w:type="dxa"/>
            <w:bottom w:w="0" w:type="dxa"/>
            <w:right w:w="108" w:type="dxa"/>
          </w:tblCellMar>
        </w:tblPrEx>
        <w:trPr>
          <w:trHeight w:val="563" w:hRule="atLeast"/>
          <w:tblHead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类别</w:t>
            </w:r>
          </w:p>
        </w:tc>
        <w:tc>
          <w:tcPr>
            <w:tcW w:w="55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考核标准</w:t>
            </w:r>
          </w:p>
        </w:tc>
        <w:tc>
          <w:tcPr>
            <w:tcW w:w="45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考核细则</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考核扣款</w:t>
            </w:r>
          </w:p>
        </w:tc>
      </w:tr>
      <w:tr>
        <w:tblPrEx>
          <w:tblLayout w:type="fixed"/>
          <w:tblCellMar>
            <w:top w:w="0" w:type="dxa"/>
            <w:left w:w="108" w:type="dxa"/>
            <w:bottom w:w="0" w:type="dxa"/>
            <w:right w:w="108" w:type="dxa"/>
          </w:tblCellMar>
        </w:tblPrEx>
        <w:trPr>
          <w:trHeight w:val="563" w:hRule="atLeast"/>
        </w:trPr>
        <w:tc>
          <w:tcPr>
            <w:tcW w:w="5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w:t>
            </w:r>
          </w:p>
        </w:tc>
        <w:tc>
          <w:tcPr>
            <w:tcW w:w="5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维护单位内部管理要求</w:t>
            </w:r>
          </w:p>
        </w:tc>
        <w:tc>
          <w:tcPr>
            <w:tcW w:w="55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1、应具备投标时承诺的办公室、仓库、停车场等场所。</w:t>
            </w:r>
          </w:p>
        </w:tc>
        <w:tc>
          <w:tcPr>
            <w:tcW w:w="4590" w:type="dxa"/>
            <w:gridSpan w:val="3"/>
            <w:tcBorders>
              <w:top w:val="nil"/>
              <w:left w:val="nil"/>
              <w:bottom w:val="single" w:color="auto" w:sz="4" w:space="0"/>
              <w:right w:val="single" w:color="auto" w:sz="4" w:space="0"/>
            </w:tcBorders>
            <w:shd w:val="clear" w:color="auto" w:fill="auto"/>
            <w:vAlign w:val="center"/>
          </w:tcPr>
          <w:p>
            <w:pPr>
              <w:rPr>
                <w:rFonts w:hint="eastAsia"/>
                <w:lang w:val="en-US" w:eastAsia="zh-CN"/>
              </w:rPr>
            </w:pPr>
            <w:r>
              <w:rPr>
                <w:rFonts w:hint="eastAsia"/>
                <w:lang w:val="en-US" w:eastAsia="zh-CN"/>
              </w:rPr>
              <w:t>1</w:t>
            </w:r>
            <w:r>
              <w:rPr>
                <w:rFonts w:hint="eastAsia" w:ascii="微软雅黑" w:hAnsi="微软雅黑" w:eastAsia="微软雅黑" w:cs="微软雅黑"/>
                <w:color w:val="000000"/>
                <w:kern w:val="0"/>
                <w:sz w:val="20"/>
                <w:szCs w:val="20"/>
                <w:lang w:val="en-US" w:eastAsia="zh-CN"/>
              </w:rPr>
              <w:t>、30天内未按要求完成，取消标中标资格</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Cs w:val="21"/>
                <w:lang w:val="en-US" w:eastAsia="zh-CN"/>
              </w:rPr>
            </w:pPr>
          </w:p>
        </w:tc>
      </w:tr>
      <w:tr>
        <w:tblPrEx>
          <w:tblLayout w:type="fixed"/>
          <w:tblCellMar>
            <w:top w:w="0" w:type="dxa"/>
            <w:left w:w="108" w:type="dxa"/>
            <w:bottom w:w="0" w:type="dxa"/>
            <w:right w:w="108" w:type="dxa"/>
          </w:tblCellMar>
        </w:tblPrEx>
        <w:trPr>
          <w:trHeight w:val="563" w:hRule="atLeast"/>
        </w:trPr>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0"/>
                <w:szCs w:val="20"/>
              </w:rPr>
            </w:pPr>
          </w:p>
        </w:tc>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0"/>
                <w:szCs w:val="20"/>
              </w:rPr>
            </w:pPr>
          </w:p>
        </w:tc>
        <w:tc>
          <w:tcPr>
            <w:tcW w:w="55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2、应配备投标时承诺的用于</w:t>
            </w:r>
            <w:r>
              <w:rPr>
                <w:rFonts w:hint="eastAsia" w:ascii="微软雅黑" w:hAnsi="微软雅黑" w:eastAsia="微软雅黑" w:cs="微软雅黑"/>
                <w:color w:val="000000"/>
                <w:kern w:val="0"/>
                <w:sz w:val="20"/>
                <w:szCs w:val="20"/>
                <w:lang w:eastAsia="zh-CN"/>
              </w:rPr>
              <w:t>通信基站</w:t>
            </w:r>
            <w:r>
              <w:rPr>
                <w:rFonts w:hint="eastAsia" w:ascii="微软雅黑" w:hAnsi="微软雅黑" w:eastAsia="微软雅黑" w:cs="微软雅黑"/>
                <w:color w:val="000000"/>
                <w:kern w:val="0"/>
                <w:sz w:val="20"/>
                <w:szCs w:val="20"/>
              </w:rPr>
              <w:t>维修养护工程的施工机械设备，如</w:t>
            </w:r>
            <w:r>
              <w:rPr>
                <w:rFonts w:hint="eastAsia" w:ascii="微软雅黑" w:hAnsi="微软雅黑" w:eastAsia="微软雅黑" w:cs="微软雅黑"/>
                <w:color w:val="000000"/>
                <w:kern w:val="0"/>
                <w:sz w:val="20"/>
                <w:szCs w:val="20"/>
                <w:lang w:eastAsia="zh-CN"/>
              </w:rPr>
              <w:t>通信基站</w:t>
            </w:r>
            <w:r>
              <w:rPr>
                <w:rFonts w:hint="eastAsia" w:ascii="微软雅黑" w:hAnsi="微软雅黑" w:eastAsia="微软雅黑" w:cs="微软雅黑"/>
                <w:color w:val="000000"/>
                <w:kern w:val="0"/>
                <w:sz w:val="20"/>
                <w:szCs w:val="20"/>
              </w:rPr>
              <w:t>升降车、维修巡检车辆及相应的</w:t>
            </w:r>
            <w:r>
              <w:rPr>
                <w:rFonts w:hint="eastAsia" w:ascii="微软雅黑" w:hAnsi="微软雅黑" w:eastAsia="微软雅黑" w:cs="微软雅黑"/>
                <w:color w:val="000000"/>
                <w:kern w:val="0"/>
                <w:sz w:val="20"/>
                <w:szCs w:val="20"/>
                <w:lang w:val="en-US" w:eastAsia="zh-CN"/>
              </w:rPr>
              <w:t>通信</w:t>
            </w:r>
            <w:r>
              <w:rPr>
                <w:rFonts w:hint="eastAsia" w:ascii="微软雅黑" w:hAnsi="微软雅黑" w:eastAsia="微软雅黑" w:cs="微软雅黑"/>
                <w:color w:val="000000"/>
                <w:kern w:val="0"/>
                <w:sz w:val="20"/>
                <w:szCs w:val="20"/>
              </w:rPr>
              <w:t>工具</w:t>
            </w:r>
            <w:r>
              <w:rPr>
                <w:rFonts w:hint="eastAsia" w:ascii="微软雅黑" w:hAnsi="微软雅黑" w:eastAsia="微软雅黑" w:cs="微软雅黑"/>
                <w:color w:val="000000"/>
                <w:kern w:val="0"/>
                <w:sz w:val="20"/>
                <w:szCs w:val="20"/>
                <w:lang w:eastAsia="zh-CN"/>
              </w:rPr>
              <w:t>、临时供电设备</w:t>
            </w:r>
            <w:r>
              <w:rPr>
                <w:rFonts w:hint="eastAsia" w:ascii="微软雅黑" w:hAnsi="微软雅黑" w:eastAsia="微软雅黑" w:cs="微软雅黑"/>
                <w:color w:val="000000"/>
                <w:kern w:val="0"/>
                <w:sz w:val="20"/>
                <w:szCs w:val="20"/>
              </w:rPr>
              <w:t>及准备充足的维修材料。（如</w:t>
            </w:r>
            <w:r>
              <w:rPr>
                <w:rFonts w:hint="eastAsia" w:ascii="微软雅黑" w:hAnsi="微软雅黑" w:eastAsia="微软雅黑" w:cs="微软雅黑"/>
                <w:color w:val="000000"/>
                <w:kern w:val="0"/>
                <w:sz w:val="20"/>
                <w:szCs w:val="20"/>
                <w:lang w:eastAsia="zh-CN"/>
              </w:rPr>
              <w:t>发电机、不间断电源、</w:t>
            </w:r>
            <w:r>
              <w:rPr>
                <w:rFonts w:hint="eastAsia" w:ascii="微软雅黑" w:hAnsi="微软雅黑" w:eastAsia="微软雅黑" w:cs="微软雅黑"/>
                <w:color w:val="000000"/>
                <w:kern w:val="0"/>
                <w:sz w:val="20"/>
                <w:szCs w:val="20"/>
                <w:lang w:val="en-US" w:eastAsia="zh-CN"/>
              </w:rPr>
              <w:t>光时域反射仪、光纤熔断机、各类线材等</w:t>
            </w:r>
            <w:r>
              <w:rPr>
                <w:rFonts w:hint="eastAsia" w:ascii="微软雅黑" w:hAnsi="微软雅黑" w:eastAsia="微软雅黑" w:cs="微软雅黑"/>
                <w:color w:val="000000"/>
                <w:kern w:val="0"/>
                <w:sz w:val="20"/>
                <w:szCs w:val="20"/>
              </w:rPr>
              <w:t>）。</w:t>
            </w:r>
          </w:p>
        </w:tc>
        <w:tc>
          <w:tcPr>
            <w:tcW w:w="459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p>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1、车辆缺一项扣</w:t>
            </w:r>
            <w:r>
              <w:rPr>
                <w:rFonts w:hint="eastAsia" w:ascii="微软雅黑" w:hAnsi="微软雅黑" w:eastAsia="微软雅黑" w:cs="微软雅黑"/>
                <w:color w:val="000000"/>
                <w:kern w:val="0"/>
                <w:sz w:val="20"/>
                <w:szCs w:val="20"/>
                <w:lang w:val="en-US" w:eastAsia="zh-CN"/>
              </w:rPr>
              <w:t>5000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2、工具缺一项扣</w:t>
            </w:r>
            <w:r>
              <w:rPr>
                <w:rFonts w:hint="eastAsia" w:ascii="微软雅黑" w:hAnsi="微软雅黑" w:eastAsia="微软雅黑" w:cs="微软雅黑"/>
                <w:color w:val="000000"/>
                <w:kern w:val="0"/>
                <w:sz w:val="20"/>
                <w:szCs w:val="20"/>
                <w:lang w:val="en-US" w:eastAsia="zh-CN"/>
              </w:rPr>
              <w:t>1000</w:t>
            </w:r>
            <w:r>
              <w:rPr>
                <w:rFonts w:hint="eastAsia" w:ascii="微软雅黑" w:hAnsi="微软雅黑" w:eastAsia="微软雅黑" w:cs="微软雅黑"/>
                <w:color w:val="000000"/>
                <w:kern w:val="0"/>
                <w:sz w:val="20"/>
                <w:szCs w:val="20"/>
              </w:rPr>
              <w:t>元；</w:t>
            </w:r>
          </w:p>
          <w:p>
            <w:pPr>
              <w:widowControl/>
              <w:jc w:val="left"/>
              <w:rPr>
                <w:rFonts w:hint="eastAsia" w:ascii="微软雅黑" w:hAnsi="微软雅黑" w:eastAsia="微软雅黑" w:cs="微软雅黑"/>
                <w:color w:val="000000"/>
                <w:kern w:val="0"/>
                <w:sz w:val="20"/>
                <w:szCs w:val="20"/>
                <w:lang w:val="en-US"/>
              </w:rPr>
            </w:pPr>
            <w:r>
              <w:rPr>
                <w:rFonts w:hint="eastAsia" w:ascii="微软雅黑" w:hAnsi="微软雅黑" w:eastAsia="微软雅黑" w:cs="微软雅黑"/>
                <w:color w:val="000000"/>
                <w:kern w:val="0"/>
                <w:sz w:val="20"/>
                <w:szCs w:val="20"/>
                <w:lang w:val="en-US" w:eastAsia="zh-CN"/>
              </w:rPr>
              <w:t>3、临时供电设备缺一台扣5000元；</w:t>
            </w:r>
          </w:p>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4、</w:t>
            </w:r>
            <w:r>
              <w:rPr>
                <w:rFonts w:hint="eastAsia" w:ascii="微软雅黑" w:hAnsi="微软雅黑" w:eastAsia="微软雅黑" w:cs="微软雅黑"/>
                <w:color w:val="000000"/>
                <w:kern w:val="0"/>
                <w:sz w:val="20"/>
                <w:szCs w:val="20"/>
              </w:rPr>
              <w:t>维修材料每缺一项扣1000元；</w:t>
            </w:r>
          </w:p>
          <w:p>
            <w:pPr>
              <w:pStyle w:val="2"/>
              <w:ind w:left="0" w:leftChars="0" w:firstLine="0" w:firstLineChars="0"/>
              <w:rPr>
                <w:rFonts w:hint="eastAsia" w:eastAsia="微软雅黑"/>
                <w:lang w:val="en-US" w:eastAsia="zh-CN"/>
              </w:rPr>
            </w:pPr>
          </w:p>
          <w:p>
            <w:pPr>
              <w:widowControl/>
              <w:jc w:val="left"/>
              <w:rPr>
                <w:rFonts w:hint="eastAsia" w:ascii="微软雅黑" w:hAnsi="微软雅黑" w:eastAsia="微软雅黑" w:cs="微软雅黑"/>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Cs w:val="21"/>
                <w:lang w:val="en-US" w:eastAsia="zh-CN"/>
              </w:rPr>
            </w:pPr>
          </w:p>
        </w:tc>
      </w:tr>
      <w:tr>
        <w:tblPrEx>
          <w:tblLayout w:type="fixed"/>
          <w:tblCellMar>
            <w:top w:w="0" w:type="dxa"/>
            <w:left w:w="108" w:type="dxa"/>
            <w:bottom w:w="0" w:type="dxa"/>
            <w:right w:w="108" w:type="dxa"/>
          </w:tblCellMar>
        </w:tblPrEx>
        <w:trPr>
          <w:trHeight w:val="1118" w:hRule="atLeast"/>
        </w:trPr>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0"/>
                <w:szCs w:val="20"/>
              </w:rPr>
            </w:pPr>
          </w:p>
        </w:tc>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0"/>
                <w:szCs w:val="20"/>
              </w:rPr>
            </w:pPr>
          </w:p>
        </w:tc>
        <w:tc>
          <w:tcPr>
            <w:tcW w:w="55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3、维护单位项目部工作人员应根据投标时承诺配备，实行岗位责任制，特种作业人员持证上岗且保持稳定，熟悉所管辖区域内</w:t>
            </w:r>
            <w:r>
              <w:rPr>
                <w:rFonts w:hint="eastAsia" w:ascii="微软雅黑" w:hAnsi="微软雅黑" w:eastAsia="微软雅黑" w:cs="微软雅黑"/>
                <w:color w:val="000000"/>
                <w:kern w:val="0"/>
                <w:sz w:val="20"/>
                <w:szCs w:val="20"/>
                <w:lang w:val="en-US" w:eastAsia="zh-CN"/>
              </w:rPr>
              <w:t>通信</w:t>
            </w:r>
            <w:r>
              <w:rPr>
                <w:rFonts w:hint="eastAsia" w:ascii="微软雅黑" w:hAnsi="微软雅黑" w:eastAsia="微软雅黑" w:cs="微软雅黑"/>
                <w:color w:val="000000"/>
                <w:kern w:val="0"/>
                <w:sz w:val="20"/>
                <w:szCs w:val="20"/>
              </w:rPr>
              <w:t>设施供电、控制、线路等相关情况，作业时统一穿工作服并配备必要的安全防护用品，能按操作规程进行维护作业。</w:t>
            </w:r>
          </w:p>
        </w:tc>
        <w:tc>
          <w:tcPr>
            <w:tcW w:w="459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1、未经江阴澄辉照明</w:t>
            </w:r>
            <w:bookmarkStart w:id="0" w:name="_GoBack"/>
            <w:bookmarkEnd w:id="0"/>
            <w:r>
              <w:rPr>
                <w:rFonts w:hint="eastAsia" w:ascii="微软雅黑" w:hAnsi="微软雅黑" w:eastAsia="微软雅黑" w:cs="微软雅黑"/>
                <w:color w:val="000000"/>
                <w:kern w:val="0"/>
                <w:sz w:val="20"/>
                <w:szCs w:val="20"/>
              </w:rPr>
              <w:t>科技发展有限公司批准，随意更换项目部人员配置的，每发现一人次扣</w:t>
            </w:r>
            <w:r>
              <w:rPr>
                <w:rFonts w:hint="eastAsia" w:ascii="微软雅黑" w:hAnsi="微软雅黑" w:eastAsia="微软雅黑" w:cs="微软雅黑"/>
                <w:color w:val="000000"/>
                <w:kern w:val="0"/>
                <w:sz w:val="20"/>
                <w:szCs w:val="20"/>
                <w:lang w:val="en-US" w:eastAsia="zh-CN"/>
              </w:rPr>
              <w:t>1000</w:t>
            </w:r>
            <w:r>
              <w:rPr>
                <w:rFonts w:hint="eastAsia" w:ascii="微软雅黑" w:hAnsi="微软雅黑" w:eastAsia="微软雅黑" w:cs="微软雅黑"/>
                <w:color w:val="000000"/>
                <w:kern w:val="0"/>
                <w:sz w:val="20"/>
                <w:szCs w:val="20"/>
              </w:rPr>
              <w:t>元。</w:t>
            </w:r>
          </w:p>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2、未实行岗位责任制扣</w:t>
            </w:r>
            <w:r>
              <w:rPr>
                <w:rFonts w:hint="eastAsia" w:ascii="微软雅黑" w:hAnsi="微软雅黑" w:eastAsia="微软雅黑" w:cs="微软雅黑"/>
                <w:color w:val="000000"/>
                <w:kern w:val="0"/>
                <w:sz w:val="20"/>
                <w:szCs w:val="20"/>
                <w:lang w:val="en-US" w:eastAsia="zh-CN"/>
              </w:rPr>
              <w:t>200</w:t>
            </w:r>
            <w:r>
              <w:rPr>
                <w:rFonts w:hint="eastAsia" w:ascii="微软雅黑" w:hAnsi="微软雅黑" w:eastAsia="微软雅黑" w:cs="微软雅黑"/>
                <w:color w:val="000000"/>
                <w:kern w:val="0"/>
                <w:sz w:val="20"/>
                <w:szCs w:val="20"/>
              </w:rPr>
              <w:t>元；</w:t>
            </w:r>
          </w:p>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3、特种作业人员未持证上岗或人员不稳定扣</w:t>
            </w:r>
            <w:r>
              <w:rPr>
                <w:rFonts w:hint="eastAsia" w:ascii="微软雅黑" w:hAnsi="微软雅黑" w:eastAsia="微软雅黑" w:cs="微软雅黑"/>
                <w:color w:val="000000"/>
                <w:kern w:val="0"/>
                <w:sz w:val="20"/>
                <w:szCs w:val="20"/>
                <w:lang w:val="en-US" w:eastAsia="zh-CN"/>
              </w:rPr>
              <w:t>200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lang w:val="en-US" w:eastAsia="zh-CN"/>
              </w:rPr>
              <w:t>/人·次</w:t>
            </w:r>
            <w:r>
              <w:rPr>
                <w:rFonts w:hint="eastAsia" w:ascii="微软雅黑" w:hAnsi="微软雅黑" w:eastAsia="微软雅黑" w:cs="微软雅黑"/>
                <w:color w:val="000000"/>
                <w:kern w:val="0"/>
                <w:sz w:val="20"/>
                <w:szCs w:val="20"/>
              </w:rPr>
              <w:t>；</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4、未统一穿工作服并配备必要的安全防护用品扣</w:t>
            </w:r>
            <w:r>
              <w:rPr>
                <w:rFonts w:hint="eastAsia" w:ascii="微软雅黑" w:hAnsi="微软雅黑" w:eastAsia="微软雅黑" w:cs="微软雅黑"/>
                <w:color w:val="000000"/>
                <w:kern w:val="0"/>
                <w:sz w:val="20"/>
                <w:szCs w:val="20"/>
                <w:lang w:val="en-US" w:eastAsia="zh-CN"/>
              </w:rPr>
              <w:t>200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lang w:val="en-US" w:eastAsia="zh-CN"/>
              </w:rPr>
              <w:t>/人·次</w:t>
            </w:r>
            <w:r>
              <w:rPr>
                <w:rFonts w:hint="eastAsia" w:ascii="微软雅黑" w:hAnsi="微软雅黑" w:eastAsia="微软雅黑" w:cs="微软雅黑"/>
                <w:color w:val="000000"/>
                <w:kern w:val="0"/>
                <w:sz w:val="20"/>
                <w:szCs w:val="20"/>
              </w:rPr>
              <w:t>；</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5、未按操作规程进行维护作业扣</w:t>
            </w:r>
            <w:r>
              <w:rPr>
                <w:rFonts w:hint="eastAsia" w:ascii="微软雅黑" w:hAnsi="微软雅黑" w:eastAsia="微软雅黑" w:cs="微软雅黑"/>
                <w:color w:val="000000"/>
                <w:kern w:val="0"/>
                <w:sz w:val="20"/>
                <w:szCs w:val="20"/>
                <w:lang w:val="en-US" w:eastAsia="zh-CN"/>
              </w:rPr>
              <w:t>200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lang w:val="en-US" w:eastAsia="zh-CN"/>
              </w:rPr>
              <w:t>/人·次</w:t>
            </w:r>
            <w:r>
              <w:rPr>
                <w:rFonts w:hint="eastAsia" w:ascii="微软雅黑" w:hAnsi="微软雅黑" w:eastAsia="微软雅黑" w:cs="微软雅黑"/>
                <w:color w:val="000000"/>
                <w:kern w:val="0"/>
                <w:sz w:val="20"/>
                <w:szCs w:val="20"/>
              </w:rPr>
              <w:t>；</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Cs w:val="21"/>
                <w:lang w:val="en-US" w:eastAsia="zh-CN"/>
              </w:rPr>
            </w:pPr>
          </w:p>
        </w:tc>
      </w:tr>
      <w:tr>
        <w:tblPrEx>
          <w:tblLayout w:type="fixed"/>
          <w:tblCellMar>
            <w:top w:w="0" w:type="dxa"/>
            <w:left w:w="108" w:type="dxa"/>
            <w:bottom w:w="0" w:type="dxa"/>
            <w:right w:w="108" w:type="dxa"/>
          </w:tblCellMar>
        </w:tblPrEx>
        <w:trPr>
          <w:trHeight w:val="840" w:hRule="atLeast"/>
        </w:trPr>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0"/>
                <w:szCs w:val="20"/>
              </w:rPr>
            </w:pPr>
          </w:p>
        </w:tc>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0"/>
                <w:szCs w:val="20"/>
              </w:rPr>
            </w:pPr>
          </w:p>
        </w:tc>
        <w:tc>
          <w:tcPr>
            <w:tcW w:w="55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维护单位应制定健全的维护管理制度，维护管理制度应至少包含人员岗位管理、设备材料管理、车辆管理、维护质量管理、资料台账管理、巡查管理、应急抢修管理、内部考核、培训教育、配合设施移交验收管理、服务承诺等内容。</w:t>
            </w:r>
          </w:p>
        </w:tc>
        <w:tc>
          <w:tcPr>
            <w:tcW w:w="459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rPr>
              <w:t>1、维护管理制度不健全的，每缺一项内容扣</w:t>
            </w:r>
            <w:r>
              <w:rPr>
                <w:rFonts w:hint="eastAsia" w:ascii="微软雅黑" w:hAnsi="微软雅黑" w:eastAsia="微软雅黑" w:cs="微软雅黑"/>
                <w:color w:val="000000"/>
                <w:kern w:val="0"/>
                <w:sz w:val="20"/>
                <w:szCs w:val="20"/>
                <w:lang w:val="en-US" w:eastAsia="zh-CN"/>
              </w:rPr>
              <w:t>5000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lang w:eastAsia="zh-CN"/>
              </w:rPr>
              <w:t>；</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 w:val="20"/>
                <w:szCs w:val="20"/>
                <w:lang w:val="en-US" w:eastAsia="zh-CN"/>
              </w:rPr>
            </w:pPr>
          </w:p>
        </w:tc>
      </w:tr>
      <w:tr>
        <w:tblPrEx>
          <w:tblLayout w:type="fixed"/>
          <w:tblCellMar>
            <w:top w:w="0" w:type="dxa"/>
            <w:left w:w="108" w:type="dxa"/>
            <w:bottom w:w="0" w:type="dxa"/>
            <w:right w:w="108" w:type="dxa"/>
          </w:tblCellMar>
        </w:tblPrEx>
        <w:trPr>
          <w:trHeight w:val="1118" w:hRule="atLeast"/>
        </w:trPr>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0"/>
                <w:szCs w:val="20"/>
              </w:rPr>
            </w:pPr>
          </w:p>
        </w:tc>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kern w:val="0"/>
                <w:sz w:val="20"/>
                <w:szCs w:val="20"/>
              </w:rPr>
            </w:pPr>
          </w:p>
        </w:tc>
        <w:tc>
          <w:tcPr>
            <w:tcW w:w="55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5、</w:t>
            </w:r>
            <w:r>
              <w:rPr>
                <w:rFonts w:hint="eastAsia" w:ascii="微软雅黑" w:hAnsi="微软雅黑" w:eastAsia="微软雅黑" w:cs="微软雅黑"/>
                <w:color w:val="000000"/>
                <w:kern w:val="0"/>
                <w:sz w:val="20"/>
                <w:szCs w:val="20"/>
              </w:rPr>
              <w:t>维护单位</w:t>
            </w:r>
            <w:r>
              <w:rPr>
                <w:rFonts w:hint="eastAsia" w:ascii="微软雅黑" w:hAnsi="微软雅黑" w:eastAsia="微软雅黑" w:cs="微软雅黑"/>
                <w:color w:val="000000"/>
                <w:kern w:val="0"/>
                <w:sz w:val="20"/>
                <w:szCs w:val="20"/>
                <w:lang w:eastAsia="zh-CN"/>
              </w:rPr>
              <w:t>报修</w:t>
            </w:r>
            <w:r>
              <w:rPr>
                <w:rFonts w:hint="eastAsia" w:ascii="微软雅黑" w:hAnsi="微软雅黑" w:eastAsia="微软雅黑" w:cs="微软雅黑"/>
                <w:color w:val="000000"/>
                <w:kern w:val="0"/>
                <w:sz w:val="20"/>
                <w:szCs w:val="20"/>
              </w:rPr>
              <w:t>电话24小时开通，</w:t>
            </w:r>
            <w:r>
              <w:rPr>
                <w:rFonts w:hint="eastAsia" w:ascii="微软雅黑" w:hAnsi="微软雅黑" w:eastAsia="微软雅黑" w:cs="微软雅黑"/>
                <w:color w:val="000000"/>
                <w:kern w:val="0"/>
                <w:sz w:val="20"/>
                <w:szCs w:val="20"/>
                <w:lang w:eastAsia="zh-CN"/>
              </w:rPr>
              <w:t>有专人值守。</w:t>
            </w:r>
            <w:r>
              <w:rPr>
                <w:rFonts w:hint="eastAsia" w:ascii="微软雅黑" w:hAnsi="微软雅黑" w:eastAsia="微软雅黑" w:cs="微软雅黑"/>
                <w:color w:val="000000"/>
                <w:kern w:val="0"/>
                <w:sz w:val="20"/>
                <w:szCs w:val="20"/>
              </w:rPr>
              <w:t>接</w:t>
            </w:r>
            <w:r>
              <w:rPr>
                <w:rFonts w:hint="eastAsia" w:ascii="微软雅黑" w:hAnsi="微软雅黑" w:eastAsia="微软雅黑" w:cs="微软雅黑"/>
                <w:color w:val="000000"/>
                <w:kern w:val="0"/>
                <w:sz w:val="20"/>
                <w:szCs w:val="20"/>
                <w:lang w:val="en-US" w:eastAsia="zh-CN"/>
              </w:rPr>
              <w:t>到故障报修</w:t>
            </w:r>
            <w:r>
              <w:rPr>
                <w:rFonts w:hint="eastAsia" w:ascii="微软雅黑" w:hAnsi="微软雅黑" w:eastAsia="微软雅黑" w:cs="微软雅黑"/>
                <w:color w:val="000000"/>
                <w:kern w:val="0"/>
                <w:sz w:val="20"/>
                <w:szCs w:val="20"/>
              </w:rPr>
              <w:t>做好详细记录。</w:t>
            </w:r>
          </w:p>
        </w:tc>
        <w:tc>
          <w:tcPr>
            <w:tcW w:w="459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1、维护单位</w:t>
            </w:r>
            <w:r>
              <w:rPr>
                <w:rFonts w:hint="eastAsia" w:ascii="微软雅黑" w:hAnsi="微软雅黑" w:eastAsia="微软雅黑" w:cs="微软雅黑"/>
                <w:color w:val="000000"/>
                <w:kern w:val="0"/>
                <w:sz w:val="20"/>
                <w:szCs w:val="20"/>
                <w:lang w:eastAsia="zh-CN"/>
              </w:rPr>
              <w:t>报修</w:t>
            </w:r>
            <w:r>
              <w:rPr>
                <w:rFonts w:hint="eastAsia" w:ascii="微软雅黑" w:hAnsi="微软雅黑" w:eastAsia="微软雅黑" w:cs="微软雅黑"/>
                <w:color w:val="000000"/>
                <w:kern w:val="0"/>
                <w:sz w:val="20"/>
                <w:szCs w:val="20"/>
              </w:rPr>
              <w:t>电话</w:t>
            </w:r>
            <w:r>
              <w:rPr>
                <w:rFonts w:hint="eastAsia" w:ascii="微软雅黑" w:hAnsi="微软雅黑" w:eastAsia="微软雅黑" w:cs="微软雅黑"/>
                <w:color w:val="000000"/>
                <w:kern w:val="0"/>
                <w:sz w:val="20"/>
                <w:szCs w:val="20"/>
                <w:lang w:val="en-US" w:eastAsia="zh-CN"/>
              </w:rPr>
              <w:t>拨打未有人接通</w:t>
            </w:r>
            <w:r>
              <w:rPr>
                <w:rFonts w:hint="eastAsia" w:ascii="微软雅黑" w:hAnsi="微软雅黑" w:eastAsia="微软雅黑" w:cs="微软雅黑"/>
                <w:color w:val="000000"/>
                <w:kern w:val="0"/>
                <w:sz w:val="20"/>
                <w:szCs w:val="20"/>
              </w:rPr>
              <w:t>每次扣</w:t>
            </w:r>
            <w:r>
              <w:rPr>
                <w:rFonts w:hint="eastAsia" w:ascii="微软雅黑" w:hAnsi="微软雅黑" w:eastAsia="微软雅黑" w:cs="微软雅黑"/>
                <w:color w:val="000000"/>
                <w:kern w:val="0"/>
                <w:sz w:val="20"/>
                <w:szCs w:val="20"/>
                <w:lang w:val="en-US" w:eastAsia="zh-CN"/>
              </w:rPr>
              <w:t>200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2</w:t>
            </w:r>
            <w:r>
              <w:rPr>
                <w:rFonts w:hint="eastAsia" w:ascii="微软雅黑" w:hAnsi="微软雅黑" w:eastAsia="微软雅黑" w:cs="微软雅黑"/>
                <w:color w:val="000000"/>
                <w:kern w:val="0"/>
                <w:sz w:val="20"/>
                <w:szCs w:val="20"/>
              </w:rPr>
              <w:t>、由于维护单位维护质量不到位引起</w:t>
            </w:r>
            <w:r>
              <w:rPr>
                <w:rFonts w:hint="eastAsia" w:ascii="微软雅黑" w:hAnsi="微软雅黑" w:eastAsia="微软雅黑" w:cs="微软雅黑"/>
                <w:color w:val="000000"/>
                <w:kern w:val="0"/>
                <w:sz w:val="20"/>
                <w:szCs w:val="20"/>
                <w:lang w:val="en-US" w:eastAsia="zh-CN"/>
              </w:rPr>
              <w:t>客户</w:t>
            </w:r>
            <w:r>
              <w:rPr>
                <w:rFonts w:hint="eastAsia" w:ascii="微软雅黑" w:hAnsi="微软雅黑" w:eastAsia="微软雅黑" w:cs="微软雅黑"/>
                <w:color w:val="000000"/>
                <w:kern w:val="0"/>
                <w:sz w:val="20"/>
                <w:szCs w:val="20"/>
              </w:rPr>
              <w:t>投诉，每个投诉扣</w:t>
            </w:r>
            <w:r>
              <w:rPr>
                <w:rFonts w:hint="eastAsia" w:ascii="微软雅黑" w:hAnsi="微软雅黑" w:eastAsia="微软雅黑" w:cs="微软雅黑"/>
                <w:color w:val="000000"/>
                <w:kern w:val="0"/>
                <w:sz w:val="20"/>
                <w:szCs w:val="20"/>
                <w:lang w:val="en-US" w:eastAsia="zh-CN"/>
              </w:rPr>
              <w:t>1000</w:t>
            </w:r>
            <w:r>
              <w:rPr>
                <w:rFonts w:hint="eastAsia" w:ascii="微软雅黑" w:hAnsi="微软雅黑" w:eastAsia="微软雅黑" w:cs="微软雅黑"/>
                <w:color w:val="000000"/>
                <w:kern w:val="0"/>
                <w:sz w:val="20"/>
                <w:szCs w:val="20"/>
              </w:rPr>
              <w:t>元；</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 w:val="20"/>
                <w:szCs w:val="20"/>
                <w:lang w:val="en-US" w:eastAsia="zh-CN"/>
              </w:rPr>
            </w:pPr>
          </w:p>
        </w:tc>
      </w:tr>
      <w:tr>
        <w:tblPrEx>
          <w:tblLayout w:type="fixed"/>
          <w:tblCellMar>
            <w:top w:w="0" w:type="dxa"/>
            <w:left w:w="108" w:type="dxa"/>
            <w:bottom w:w="0" w:type="dxa"/>
            <w:right w:w="108" w:type="dxa"/>
          </w:tblCellMar>
        </w:tblPrEx>
        <w:trPr>
          <w:trHeight w:val="90"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lang w:val="en-US" w:eastAsia="zh-CN"/>
              </w:rPr>
              <w:t>2</w:t>
            </w:r>
          </w:p>
        </w:tc>
        <w:tc>
          <w:tcPr>
            <w:tcW w:w="555" w:type="dxa"/>
            <w:tcBorders>
              <w:top w:val="nil"/>
              <w:left w:val="nil"/>
              <w:bottom w:val="single" w:color="auto" w:sz="4" w:space="0"/>
              <w:right w:val="single" w:color="auto" w:sz="4" w:space="0"/>
            </w:tcBorders>
            <w:shd w:val="clear" w:color="auto" w:fill="auto"/>
            <w:textDirection w:val="tbRlV"/>
            <w:vAlign w:val="center"/>
          </w:tcPr>
          <w:p>
            <w:pPr>
              <w:widowControl/>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lang w:val="en-US" w:eastAsia="zh-CN"/>
              </w:rPr>
              <w:t>定期巡检</w:t>
            </w:r>
          </w:p>
        </w:tc>
        <w:tc>
          <w:tcPr>
            <w:tcW w:w="5595" w:type="dxa"/>
            <w:gridSpan w:val="2"/>
            <w:tcBorders>
              <w:top w:val="nil"/>
              <w:left w:val="nil"/>
              <w:bottom w:val="single" w:color="auto" w:sz="4" w:space="0"/>
              <w:right w:val="single" w:color="auto" w:sz="4" w:space="0"/>
            </w:tcBorders>
            <w:shd w:val="clear" w:color="auto" w:fill="auto"/>
            <w:vAlign w:val="center"/>
          </w:tcPr>
          <w:p>
            <w:pPr>
              <w:widowControl/>
              <w:numPr>
                <w:ilvl w:val="0"/>
                <w:numId w:val="1"/>
              </w:numPr>
              <w:jc w:val="left"/>
              <w:rPr>
                <w:rFonts w:hint="eastAsia"/>
                <w:lang w:val="en-US" w:eastAsia="zh-CN"/>
              </w:rPr>
            </w:pPr>
            <w:r>
              <w:rPr>
                <w:rFonts w:hint="eastAsia"/>
                <w:lang w:val="en-US" w:eastAsia="zh-CN"/>
              </w:rPr>
              <w:t>确保</w:t>
            </w:r>
            <w:r>
              <w:rPr>
                <w:rFonts w:hint="eastAsia"/>
              </w:rPr>
              <w:t>配电设施、电缆</w:t>
            </w:r>
            <w:r>
              <w:rPr>
                <w:rFonts w:hint="eastAsia"/>
                <w:lang w:eastAsia="zh-CN"/>
              </w:rPr>
              <w:t>、</w:t>
            </w:r>
            <w:r>
              <w:rPr>
                <w:rFonts w:hint="eastAsia"/>
                <w:lang w:val="en-US" w:eastAsia="zh-CN"/>
              </w:rPr>
              <w:t>通信</w:t>
            </w:r>
            <w:r>
              <w:rPr>
                <w:rFonts w:hint="eastAsia"/>
              </w:rPr>
              <w:t>线路、</w:t>
            </w:r>
            <w:r>
              <w:rPr>
                <w:rFonts w:hint="eastAsia"/>
                <w:lang w:val="en-US" w:eastAsia="zh-CN"/>
              </w:rPr>
              <w:t>动力柜、光交箱、基站设备等设施完好。定期巡检，保障设备安全运行。</w:t>
            </w:r>
          </w:p>
          <w:p>
            <w:pPr>
              <w:pStyle w:val="2"/>
              <w:numPr>
                <w:ilvl w:val="0"/>
                <w:numId w:val="0"/>
              </w:numPr>
              <w:ind w:right="1470" w:rightChars="700"/>
              <w:rPr>
                <w:rFonts w:hint="default"/>
                <w:lang w:val="en-US"/>
              </w:rPr>
            </w:pPr>
          </w:p>
        </w:tc>
        <w:tc>
          <w:tcPr>
            <w:tcW w:w="459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rPr>
              <w:br w:type="textWrapping"/>
            </w:r>
            <w:r>
              <w:rPr>
                <w:rFonts w:hint="eastAsia" w:ascii="微软雅黑" w:hAnsi="微软雅黑" w:eastAsia="微软雅黑" w:cs="微软雅黑"/>
                <w:color w:val="000000"/>
                <w:kern w:val="0"/>
                <w:sz w:val="20"/>
                <w:szCs w:val="20"/>
                <w:lang w:val="en-US" w:eastAsia="zh-CN"/>
              </w:rPr>
              <w:t>1</w:t>
            </w:r>
            <w:r>
              <w:rPr>
                <w:rFonts w:hint="eastAsia" w:ascii="微软雅黑" w:hAnsi="微软雅黑" w:eastAsia="微软雅黑" w:cs="微软雅黑"/>
                <w:color w:val="000000"/>
                <w:kern w:val="0"/>
                <w:sz w:val="20"/>
                <w:szCs w:val="20"/>
              </w:rPr>
              <w:t>、配电设施、</w:t>
            </w:r>
            <w:r>
              <w:rPr>
                <w:rFonts w:hint="eastAsia" w:ascii="微软雅黑" w:hAnsi="微软雅黑" w:eastAsia="微软雅黑" w:cs="微软雅黑"/>
                <w:color w:val="000000"/>
                <w:kern w:val="0"/>
                <w:sz w:val="20"/>
                <w:szCs w:val="20"/>
                <w:lang w:val="en-US" w:eastAsia="zh-CN"/>
              </w:rPr>
              <w:t>动力柜、光交箱、基站设备及配套挂载歪斜，发现每项</w:t>
            </w:r>
            <w:r>
              <w:rPr>
                <w:rFonts w:hint="eastAsia" w:ascii="微软雅黑" w:hAnsi="微软雅黑" w:eastAsia="微软雅黑" w:cs="微软雅黑"/>
                <w:color w:val="000000"/>
                <w:kern w:val="0"/>
                <w:sz w:val="20"/>
                <w:szCs w:val="20"/>
              </w:rPr>
              <w:t>每处扣</w:t>
            </w:r>
            <w:r>
              <w:rPr>
                <w:rFonts w:hint="eastAsia" w:ascii="微软雅黑" w:hAnsi="微软雅黑" w:eastAsia="微软雅黑" w:cs="微软雅黑"/>
                <w:color w:val="000000"/>
                <w:kern w:val="0"/>
                <w:sz w:val="20"/>
                <w:szCs w:val="20"/>
                <w:lang w:val="en-US" w:eastAsia="zh-CN"/>
              </w:rPr>
              <w:t>100</w:t>
            </w:r>
            <w:r>
              <w:rPr>
                <w:rFonts w:hint="eastAsia" w:ascii="微软雅黑" w:hAnsi="微软雅黑" w:eastAsia="微软雅黑" w:cs="微软雅黑"/>
                <w:color w:val="000000"/>
                <w:kern w:val="0"/>
                <w:sz w:val="20"/>
                <w:szCs w:val="20"/>
              </w:rPr>
              <w:t>元；</w:t>
            </w:r>
          </w:p>
          <w:p>
            <w:pPr>
              <w:widowControl/>
              <w:jc w:val="left"/>
              <w:rPr>
                <w:rFonts w:hint="eastAsia"/>
              </w:rPr>
            </w:pPr>
            <w:r>
              <w:rPr>
                <w:rFonts w:hint="eastAsia" w:ascii="微软雅黑" w:hAnsi="微软雅黑" w:eastAsia="微软雅黑" w:cs="微软雅黑"/>
                <w:color w:val="000000"/>
                <w:kern w:val="0"/>
                <w:sz w:val="20"/>
                <w:szCs w:val="20"/>
                <w:lang w:val="en-US" w:eastAsia="zh-CN"/>
              </w:rPr>
              <w:t>2、</w:t>
            </w:r>
            <w:r>
              <w:rPr>
                <w:rFonts w:hint="eastAsia" w:ascii="微软雅黑" w:hAnsi="微软雅黑" w:eastAsia="微软雅黑" w:cs="微软雅黑"/>
                <w:color w:val="000000"/>
                <w:kern w:val="0"/>
                <w:sz w:val="20"/>
                <w:szCs w:val="20"/>
              </w:rPr>
              <w:t>电缆线路、</w:t>
            </w:r>
            <w:r>
              <w:rPr>
                <w:rFonts w:hint="eastAsia" w:ascii="微软雅黑" w:hAnsi="微软雅黑" w:eastAsia="微软雅黑" w:cs="微软雅黑"/>
                <w:color w:val="000000"/>
                <w:kern w:val="0"/>
                <w:sz w:val="20"/>
                <w:szCs w:val="20"/>
                <w:lang w:val="en-US" w:eastAsia="zh-CN"/>
              </w:rPr>
              <w:t>通信线路外露面布线杂乱、接驳不规范、表皮破损，发现每项每处扣200元；</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3</w:t>
            </w:r>
            <w:r>
              <w:rPr>
                <w:rFonts w:hint="eastAsia" w:ascii="微软雅黑" w:hAnsi="微软雅黑" w:eastAsia="微软雅黑" w:cs="微软雅黑"/>
                <w:color w:val="000000"/>
                <w:kern w:val="0"/>
                <w:sz w:val="20"/>
                <w:szCs w:val="20"/>
              </w:rPr>
              <w:t>、</w:t>
            </w:r>
            <w:r>
              <w:rPr>
                <w:rFonts w:hint="eastAsia" w:ascii="微软雅黑" w:hAnsi="微软雅黑" w:eastAsia="微软雅黑" w:cs="微软雅黑"/>
                <w:color w:val="000000"/>
                <w:kern w:val="0"/>
                <w:sz w:val="20"/>
                <w:szCs w:val="20"/>
                <w:lang w:eastAsia="zh-CN"/>
              </w:rPr>
              <w:t>开关元器件检测、</w:t>
            </w:r>
            <w:r>
              <w:rPr>
                <w:rFonts w:hint="eastAsia" w:ascii="微软雅黑" w:hAnsi="微软雅黑" w:eastAsia="微软雅黑" w:cs="微软雅黑"/>
                <w:color w:val="000000"/>
                <w:kern w:val="0"/>
                <w:sz w:val="20"/>
                <w:szCs w:val="20"/>
                <w:lang w:val="en-US" w:eastAsia="zh-CN"/>
              </w:rPr>
              <w:t>防雷接地检测、绝缘检测、光损耗检测</w:t>
            </w:r>
            <w:r>
              <w:rPr>
                <w:rFonts w:hint="eastAsia" w:ascii="微软雅黑" w:hAnsi="微软雅黑" w:eastAsia="微软雅黑" w:cs="微软雅黑"/>
                <w:color w:val="000000"/>
                <w:kern w:val="0"/>
                <w:sz w:val="20"/>
                <w:szCs w:val="20"/>
              </w:rPr>
              <w:t>不符合要求，每处扣</w:t>
            </w:r>
            <w:r>
              <w:rPr>
                <w:rFonts w:hint="eastAsia" w:ascii="微软雅黑" w:hAnsi="微软雅黑" w:eastAsia="微软雅黑" w:cs="微软雅黑"/>
                <w:color w:val="000000"/>
                <w:kern w:val="0"/>
                <w:sz w:val="20"/>
                <w:szCs w:val="20"/>
                <w:lang w:val="en-US" w:eastAsia="zh-CN"/>
              </w:rPr>
              <w:t>200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lang w:val="en-US" w:eastAsia="zh-CN"/>
              </w:rPr>
              <w:t>4</w:t>
            </w:r>
            <w:r>
              <w:rPr>
                <w:rFonts w:hint="eastAsia" w:ascii="微软雅黑" w:hAnsi="微软雅黑" w:eastAsia="微软雅黑" w:cs="微软雅黑"/>
                <w:color w:val="000000"/>
                <w:kern w:val="0"/>
                <w:sz w:val="20"/>
                <w:szCs w:val="20"/>
              </w:rPr>
              <w:t>、因维护不当造成设施存在安全隐患的每处扣</w:t>
            </w:r>
            <w:r>
              <w:rPr>
                <w:rFonts w:hint="eastAsia" w:ascii="微软雅黑" w:hAnsi="微软雅黑" w:eastAsia="微软雅黑" w:cs="微软雅黑"/>
                <w:color w:val="000000"/>
                <w:kern w:val="0"/>
                <w:sz w:val="20"/>
                <w:szCs w:val="20"/>
                <w:lang w:val="en-US" w:eastAsia="zh-CN"/>
              </w:rPr>
              <w:t>500</w:t>
            </w:r>
            <w:r>
              <w:rPr>
                <w:rFonts w:hint="eastAsia" w:ascii="微软雅黑" w:hAnsi="微软雅黑" w:eastAsia="微软雅黑" w:cs="微软雅黑"/>
                <w:color w:val="000000"/>
                <w:kern w:val="0"/>
                <w:sz w:val="20"/>
                <w:szCs w:val="20"/>
              </w:rPr>
              <w:t>元；</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b w:val="0"/>
                <w:bCs w:val="0"/>
                <w:color w:val="000000"/>
                <w:kern w:val="0"/>
                <w:szCs w:val="21"/>
                <w:lang w:val="en-US" w:eastAsia="zh-CN"/>
              </w:rPr>
            </w:pPr>
          </w:p>
        </w:tc>
      </w:tr>
      <w:tr>
        <w:tblPrEx>
          <w:tblLayout w:type="fixed"/>
          <w:tblCellMar>
            <w:top w:w="0" w:type="dxa"/>
            <w:left w:w="108" w:type="dxa"/>
            <w:bottom w:w="0" w:type="dxa"/>
            <w:right w:w="108" w:type="dxa"/>
          </w:tblCellMar>
        </w:tblPrEx>
        <w:trPr>
          <w:trHeight w:val="1108"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lang w:val="en-US" w:eastAsia="zh-CN"/>
              </w:rPr>
              <w:t>3</w:t>
            </w:r>
          </w:p>
        </w:tc>
        <w:tc>
          <w:tcPr>
            <w:tcW w:w="555" w:type="dxa"/>
            <w:tcBorders>
              <w:top w:val="nil"/>
              <w:left w:val="nil"/>
              <w:bottom w:val="single" w:color="auto" w:sz="4" w:space="0"/>
              <w:right w:val="single" w:color="auto" w:sz="4" w:space="0"/>
            </w:tcBorders>
            <w:shd w:val="clear" w:color="auto" w:fill="auto"/>
            <w:textDirection w:val="tbRlV"/>
            <w:vAlign w:val="center"/>
          </w:tcPr>
          <w:p>
            <w:pPr>
              <w:widowControl/>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及时性</w:t>
            </w:r>
          </w:p>
        </w:tc>
        <w:tc>
          <w:tcPr>
            <w:tcW w:w="5595" w:type="dxa"/>
            <w:gridSpan w:val="2"/>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接到报修、投诉等诉求，维护人员应在30分钟内到达现场，一般故障</w:t>
            </w:r>
            <w:r>
              <w:rPr>
                <w:rFonts w:hint="eastAsia" w:ascii="微软雅黑" w:hAnsi="微软雅黑" w:eastAsia="微软雅黑" w:cs="微软雅黑"/>
                <w:color w:val="000000"/>
                <w:kern w:val="0"/>
                <w:sz w:val="20"/>
                <w:szCs w:val="20"/>
                <w:lang w:val="en-US" w:eastAsia="zh-CN"/>
              </w:rPr>
              <w:t>3</w:t>
            </w:r>
            <w:r>
              <w:rPr>
                <w:rFonts w:hint="eastAsia" w:ascii="微软雅黑" w:hAnsi="微软雅黑" w:eastAsia="微软雅黑" w:cs="微软雅黑"/>
                <w:color w:val="000000"/>
                <w:kern w:val="0"/>
                <w:sz w:val="20"/>
                <w:szCs w:val="20"/>
              </w:rPr>
              <w:t>小时内修复，复杂故障</w:t>
            </w:r>
            <w:r>
              <w:rPr>
                <w:rFonts w:hint="eastAsia" w:ascii="微软雅黑" w:hAnsi="微软雅黑" w:eastAsia="微软雅黑" w:cs="微软雅黑"/>
                <w:color w:val="000000"/>
                <w:kern w:val="0"/>
                <w:sz w:val="20"/>
                <w:szCs w:val="20"/>
                <w:lang w:val="en-US" w:eastAsia="zh-CN"/>
              </w:rPr>
              <w:t>8</w:t>
            </w:r>
            <w:r>
              <w:rPr>
                <w:rFonts w:hint="eastAsia" w:ascii="微软雅黑" w:hAnsi="微软雅黑" w:eastAsia="微软雅黑" w:cs="微软雅黑"/>
                <w:color w:val="000000"/>
                <w:kern w:val="0"/>
                <w:sz w:val="20"/>
                <w:szCs w:val="20"/>
              </w:rPr>
              <w:t>小时内修复。（遇恶劣天气、工程量较大等特殊原因需向江阴澄辉照明科技发展有限公司报告，由江阴澄辉照明科技发展有限公司向</w:t>
            </w:r>
            <w:r>
              <w:rPr>
                <w:rFonts w:hint="eastAsia" w:ascii="微软雅黑" w:hAnsi="微软雅黑" w:eastAsia="微软雅黑" w:cs="微软雅黑"/>
                <w:color w:val="000000"/>
                <w:kern w:val="0"/>
                <w:sz w:val="20"/>
                <w:szCs w:val="20"/>
                <w:lang w:val="en-US" w:eastAsia="zh-CN"/>
              </w:rPr>
              <w:t>客户运营商报备</w:t>
            </w:r>
            <w:r>
              <w:rPr>
                <w:rFonts w:hint="eastAsia" w:ascii="微软雅黑" w:hAnsi="微软雅黑" w:eastAsia="微软雅黑" w:cs="微软雅黑"/>
                <w:color w:val="000000"/>
                <w:kern w:val="0"/>
                <w:sz w:val="20"/>
                <w:szCs w:val="20"/>
              </w:rPr>
              <w:t>并经同意后可延长修复时间）</w:t>
            </w:r>
          </w:p>
          <w:p>
            <w:pPr>
              <w:widowControl/>
              <w:numPr>
                <w:ilvl w:val="0"/>
                <w:numId w:val="2"/>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投诉及故障处理结束后，应在</w:t>
            </w:r>
            <w:r>
              <w:rPr>
                <w:rFonts w:hint="eastAsia" w:ascii="微软雅黑" w:hAnsi="微软雅黑" w:eastAsia="微软雅黑" w:cs="微软雅黑"/>
                <w:color w:val="000000"/>
                <w:kern w:val="0"/>
                <w:sz w:val="20"/>
                <w:szCs w:val="20"/>
                <w:lang w:val="en-US" w:eastAsia="zh-CN"/>
              </w:rPr>
              <w:t>24</w:t>
            </w:r>
            <w:r>
              <w:rPr>
                <w:rFonts w:hint="eastAsia" w:ascii="微软雅黑" w:hAnsi="微软雅黑" w:eastAsia="微软雅黑" w:cs="微软雅黑"/>
                <w:color w:val="000000"/>
                <w:kern w:val="0"/>
                <w:sz w:val="20"/>
                <w:szCs w:val="20"/>
              </w:rPr>
              <w:t>小时内将处理情况报江阴澄辉照明科技发展有限公司。</w:t>
            </w:r>
          </w:p>
          <w:p>
            <w:pPr>
              <w:widowControl/>
              <w:numPr>
                <w:ilvl w:val="0"/>
                <w:numId w:val="2"/>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江阴澄辉照明科技发展有限公司交办的任务应按施工质量要求施工并能及时完成。</w:t>
            </w:r>
          </w:p>
          <w:p>
            <w:pPr>
              <w:widowControl/>
              <w:numPr>
                <w:ilvl w:val="0"/>
                <w:numId w:val="2"/>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如有意外事故发生</w:t>
            </w:r>
            <w:r>
              <w:rPr>
                <w:rFonts w:hint="eastAsia" w:ascii="微软雅黑" w:hAnsi="微软雅黑" w:eastAsia="微软雅黑" w:cs="微软雅黑"/>
                <w:color w:val="000000"/>
                <w:kern w:val="0"/>
                <w:sz w:val="20"/>
                <w:szCs w:val="20"/>
                <w:lang w:val="en-US" w:eastAsia="zh-CN"/>
              </w:rPr>
              <w:t>通知中标单位后，相关人员</w:t>
            </w:r>
            <w:r>
              <w:rPr>
                <w:rFonts w:hint="eastAsia" w:ascii="微软雅黑" w:hAnsi="微软雅黑" w:eastAsia="微软雅黑" w:cs="微软雅黑"/>
                <w:color w:val="000000"/>
                <w:kern w:val="0"/>
                <w:sz w:val="20"/>
                <w:szCs w:val="20"/>
              </w:rPr>
              <w:t>应</w:t>
            </w:r>
            <w:r>
              <w:rPr>
                <w:rFonts w:hint="eastAsia" w:ascii="微软雅黑" w:hAnsi="微软雅黑" w:eastAsia="微软雅黑" w:cs="微软雅黑"/>
                <w:color w:val="000000"/>
                <w:kern w:val="0"/>
                <w:sz w:val="20"/>
                <w:szCs w:val="20"/>
                <w:lang w:val="en-US" w:eastAsia="zh-CN"/>
              </w:rPr>
              <w:t>在半小时内到达现场，</w:t>
            </w:r>
            <w:r>
              <w:rPr>
                <w:rFonts w:hint="eastAsia" w:ascii="微软雅黑" w:hAnsi="微软雅黑" w:eastAsia="微软雅黑" w:cs="微软雅黑"/>
                <w:color w:val="000000"/>
                <w:kern w:val="0"/>
                <w:sz w:val="20"/>
                <w:szCs w:val="20"/>
              </w:rPr>
              <w:t>采取紧急处理措施，防止事故扩大化；</w:t>
            </w:r>
          </w:p>
          <w:p>
            <w:pPr>
              <w:widowControl/>
              <w:numPr>
                <w:ilvl w:val="0"/>
                <w:numId w:val="2"/>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发生非故障停电事故，采用</w:t>
            </w:r>
            <w:r>
              <w:rPr>
                <w:rFonts w:hint="eastAsia" w:ascii="微软雅黑" w:hAnsi="微软雅黑" w:eastAsia="微软雅黑" w:cs="微软雅黑"/>
                <w:color w:val="000000"/>
                <w:kern w:val="0"/>
                <w:sz w:val="20"/>
                <w:szCs w:val="20"/>
              </w:rPr>
              <w:t>停电应急处理</w:t>
            </w:r>
            <w:r>
              <w:rPr>
                <w:rFonts w:hint="eastAsia" w:ascii="微软雅黑" w:hAnsi="微软雅黑" w:eastAsia="微软雅黑" w:cs="微软雅黑"/>
                <w:color w:val="000000"/>
                <w:kern w:val="0"/>
                <w:sz w:val="20"/>
                <w:szCs w:val="20"/>
                <w:lang w:val="en-US" w:eastAsia="zh-CN"/>
              </w:rPr>
              <w:t>时</w:t>
            </w:r>
            <w:r>
              <w:rPr>
                <w:rFonts w:hint="eastAsia" w:ascii="微软雅黑" w:hAnsi="微软雅黑" w:eastAsia="微软雅黑" w:cs="微软雅黑"/>
                <w:color w:val="000000"/>
                <w:kern w:val="0"/>
                <w:sz w:val="20"/>
                <w:szCs w:val="20"/>
                <w:lang w:eastAsia="zh-CN"/>
              </w:rPr>
              <w:t>，</w:t>
            </w:r>
            <w:r>
              <w:rPr>
                <w:rFonts w:hint="eastAsia" w:ascii="微软雅黑" w:hAnsi="微软雅黑" w:eastAsia="微软雅黑" w:cs="微软雅黑"/>
                <w:color w:val="000000"/>
                <w:kern w:val="0"/>
                <w:sz w:val="20"/>
                <w:szCs w:val="20"/>
                <w:lang w:val="en-US" w:eastAsia="zh-CN"/>
              </w:rPr>
              <w:t>中标单位30分钟内到达现场提供临时供电，并且具有蓄电池或发电机等临时供电保障设备，且该设备具备12小时不间断供电的能力</w:t>
            </w:r>
            <w:r>
              <w:rPr>
                <w:rFonts w:hint="eastAsia" w:ascii="微软雅黑" w:hAnsi="微软雅黑" w:eastAsia="微软雅黑" w:cs="微软雅黑"/>
                <w:color w:val="000000"/>
                <w:kern w:val="0"/>
                <w:sz w:val="20"/>
                <w:szCs w:val="20"/>
              </w:rPr>
              <w:t>。</w:t>
            </w:r>
          </w:p>
          <w:p>
            <w:pPr>
              <w:widowControl/>
              <w:numPr>
                <w:ilvl w:val="0"/>
                <w:numId w:val="0"/>
              </w:numPr>
              <w:jc w:val="left"/>
              <w:rPr>
                <w:rFonts w:hint="eastAsia" w:ascii="微软雅黑" w:hAnsi="微软雅黑" w:eastAsia="微软雅黑" w:cs="微软雅黑"/>
                <w:color w:val="000000"/>
                <w:kern w:val="0"/>
                <w:sz w:val="20"/>
                <w:szCs w:val="20"/>
              </w:rPr>
            </w:pPr>
          </w:p>
          <w:p>
            <w:pPr>
              <w:widowControl/>
              <w:numPr>
                <w:ilvl w:val="0"/>
                <w:numId w:val="0"/>
              </w:numPr>
              <w:jc w:val="left"/>
              <w:rPr>
                <w:rFonts w:hint="eastAsia" w:ascii="微软雅黑" w:hAnsi="微软雅黑" w:eastAsia="微软雅黑" w:cs="微软雅黑"/>
                <w:color w:val="000000"/>
                <w:kern w:val="0"/>
                <w:sz w:val="20"/>
                <w:szCs w:val="20"/>
              </w:rPr>
            </w:pPr>
          </w:p>
        </w:tc>
        <w:tc>
          <w:tcPr>
            <w:tcW w:w="4590" w:type="dxa"/>
            <w:gridSpan w:val="3"/>
            <w:tcBorders>
              <w:top w:val="nil"/>
              <w:left w:val="nil"/>
              <w:bottom w:val="single" w:color="auto" w:sz="4" w:space="0"/>
              <w:right w:val="single" w:color="auto" w:sz="4" w:space="0"/>
            </w:tcBorders>
            <w:shd w:val="clear" w:color="auto" w:fill="auto"/>
            <w:vAlign w:val="center"/>
          </w:tcPr>
          <w:p>
            <w:pPr>
              <w:widowControl/>
              <w:numPr>
                <w:ilvl w:val="0"/>
                <w:numId w:val="0"/>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1、</w:t>
            </w:r>
            <w:r>
              <w:rPr>
                <w:rFonts w:hint="eastAsia" w:ascii="微软雅黑" w:hAnsi="微软雅黑" w:eastAsia="微软雅黑" w:cs="微软雅黑"/>
                <w:color w:val="000000"/>
                <w:kern w:val="0"/>
                <w:sz w:val="20"/>
                <w:szCs w:val="20"/>
              </w:rPr>
              <w:t>未能在30分钟内赶到现场，投诉未能及时修复或故障未能彻底修复引起重复投诉的每次扣</w:t>
            </w:r>
            <w:r>
              <w:rPr>
                <w:rFonts w:hint="eastAsia" w:ascii="微软雅黑" w:hAnsi="微软雅黑" w:eastAsia="微软雅黑" w:cs="微软雅黑"/>
                <w:color w:val="000000"/>
                <w:kern w:val="0"/>
                <w:sz w:val="20"/>
                <w:szCs w:val="20"/>
                <w:lang w:val="en-US" w:eastAsia="zh-CN"/>
              </w:rPr>
              <w:t>500</w:t>
            </w:r>
            <w:r>
              <w:rPr>
                <w:rFonts w:hint="eastAsia" w:ascii="微软雅黑" w:hAnsi="微软雅黑" w:eastAsia="微软雅黑" w:cs="微软雅黑"/>
                <w:color w:val="000000"/>
                <w:kern w:val="0"/>
                <w:sz w:val="20"/>
                <w:szCs w:val="20"/>
              </w:rPr>
              <w:t>元；</w:t>
            </w:r>
          </w:p>
          <w:p>
            <w:pPr>
              <w:widowControl/>
              <w:numPr>
                <w:ilvl w:val="0"/>
                <w:numId w:val="0"/>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2、</w:t>
            </w:r>
            <w:r>
              <w:rPr>
                <w:rFonts w:hint="eastAsia" w:ascii="微软雅黑" w:hAnsi="微软雅黑" w:eastAsia="微软雅黑" w:cs="微软雅黑"/>
                <w:color w:val="000000"/>
                <w:kern w:val="0"/>
                <w:sz w:val="20"/>
                <w:szCs w:val="20"/>
              </w:rPr>
              <w:t>未能在规定时间内处理完成，每延期</w:t>
            </w:r>
            <w:r>
              <w:rPr>
                <w:rFonts w:hint="eastAsia" w:ascii="微软雅黑" w:hAnsi="微软雅黑" w:eastAsia="微软雅黑" w:cs="微软雅黑"/>
                <w:color w:val="000000"/>
                <w:kern w:val="0"/>
                <w:sz w:val="20"/>
                <w:szCs w:val="20"/>
                <w:lang w:eastAsia="zh-CN"/>
              </w:rPr>
              <w:t>一小时</w:t>
            </w:r>
            <w:r>
              <w:rPr>
                <w:rFonts w:hint="eastAsia" w:ascii="微软雅黑" w:hAnsi="微软雅黑" w:eastAsia="微软雅黑" w:cs="微软雅黑"/>
                <w:color w:val="000000"/>
                <w:kern w:val="0"/>
                <w:sz w:val="20"/>
                <w:szCs w:val="20"/>
              </w:rPr>
              <w:t>扣</w:t>
            </w:r>
            <w:r>
              <w:rPr>
                <w:rFonts w:hint="eastAsia" w:ascii="微软雅黑" w:hAnsi="微软雅黑" w:eastAsia="微软雅黑" w:cs="微软雅黑"/>
                <w:color w:val="000000"/>
                <w:kern w:val="0"/>
                <w:sz w:val="20"/>
                <w:szCs w:val="20"/>
                <w:lang w:val="en-US" w:eastAsia="zh-CN"/>
              </w:rPr>
              <w:t>200</w:t>
            </w:r>
            <w:r>
              <w:rPr>
                <w:rFonts w:hint="eastAsia" w:ascii="微软雅黑" w:hAnsi="微软雅黑" w:eastAsia="微软雅黑" w:cs="微软雅黑"/>
                <w:color w:val="000000"/>
                <w:kern w:val="0"/>
                <w:sz w:val="20"/>
                <w:szCs w:val="20"/>
              </w:rPr>
              <w:t>元，有返工、重复投诉情况发生，每发现一次扣</w:t>
            </w:r>
            <w:r>
              <w:rPr>
                <w:rFonts w:hint="eastAsia" w:ascii="微软雅黑" w:hAnsi="微软雅黑" w:eastAsia="微软雅黑" w:cs="微软雅黑"/>
                <w:color w:val="000000"/>
                <w:kern w:val="0"/>
                <w:sz w:val="20"/>
                <w:szCs w:val="20"/>
                <w:lang w:val="en-US" w:eastAsia="zh-CN"/>
              </w:rPr>
              <w:t>500</w:t>
            </w:r>
            <w:r>
              <w:rPr>
                <w:rFonts w:hint="eastAsia" w:ascii="微软雅黑" w:hAnsi="微软雅黑" w:eastAsia="微软雅黑" w:cs="微软雅黑"/>
                <w:color w:val="000000"/>
                <w:kern w:val="0"/>
                <w:sz w:val="20"/>
                <w:szCs w:val="20"/>
              </w:rPr>
              <w:t>元；</w:t>
            </w:r>
          </w:p>
          <w:p>
            <w:pPr>
              <w:widowControl/>
              <w:numPr>
                <w:ilvl w:val="0"/>
                <w:numId w:val="0"/>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3、若维修任务未及时完成满三次</w:t>
            </w:r>
            <w:r>
              <w:rPr>
                <w:rFonts w:hint="eastAsia" w:ascii="微软雅黑" w:hAnsi="微软雅黑" w:eastAsia="微软雅黑" w:cs="微软雅黑"/>
                <w:color w:val="000000"/>
                <w:kern w:val="0"/>
                <w:sz w:val="20"/>
                <w:szCs w:val="20"/>
              </w:rPr>
              <w:t>江阴澄辉照明科技发展有限公司</w:t>
            </w:r>
            <w:r>
              <w:rPr>
                <w:rFonts w:hint="eastAsia" w:ascii="微软雅黑" w:hAnsi="微软雅黑" w:eastAsia="微软雅黑" w:cs="微软雅黑"/>
                <w:color w:val="000000"/>
                <w:kern w:val="0"/>
                <w:sz w:val="20"/>
                <w:szCs w:val="20"/>
                <w:lang w:val="en-US" w:eastAsia="zh-CN"/>
              </w:rPr>
              <w:t>有权解除合同并扣除剩余合同款项。</w:t>
            </w:r>
          </w:p>
          <w:p>
            <w:pPr>
              <w:widowControl/>
              <w:numPr>
                <w:ilvl w:val="0"/>
                <w:numId w:val="0"/>
              </w:numPr>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4、</w:t>
            </w:r>
            <w:r>
              <w:rPr>
                <w:rFonts w:hint="eastAsia" w:ascii="微软雅黑" w:hAnsi="微软雅黑" w:eastAsia="微软雅黑" w:cs="微软雅黑"/>
                <w:color w:val="000000"/>
                <w:kern w:val="0"/>
                <w:sz w:val="20"/>
                <w:szCs w:val="20"/>
              </w:rPr>
              <w:t>故障处理结束后未在规定时间内回复的每次扣</w:t>
            </w:r>
            <w:r>
              <w:rPr>
                <w:rFonts w:hint="eastAsia" w:ascii="微软雅黑" w:hAnsi="微软雅黑" w:eastAsia="微软雅黑" w:cs="微软雅黑"/>
                <w:color w:val="000000"/>
                <w:kern w:val="0"/>
                <w:sz w:val="20"/>
                <w:szCs w:val="20"/>
                <w:lang w:val="en-US" w:eastAsia="zh-CN"/>
              </w:rPr>
              <w:t>100</w:t>
            </w:r>
            <w:r>
              <w:rPr>
                <w:rFonts w:hint="eastAsia" w:ascii="微软雅黑" w:hAnsi="微软雅黑" w:eastAsia="微软雅黑" w:cs="微软雅黑"/>
                <w:color w:val="000000"/>
                <w:kern w:val="0"/>
                <w:sz w:val="20"/>
                <w:szCs w:val="20"/>
              </w:rPr>
              <w:t>元；</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5、</w:t>
            </w:r>
            <w:r>
              <w:rPr>
                <w:rFonts w:hint="eastAsia" w:ascii="微软雅黑" w:hAnsi="微软雅黑" w:eastAsia="微软雅黑" w:cs="微软雅黑"/>
                <w:color w:val="000000"/>
                <w:kern w:val="0"/>
                <w:sz w:val="20"/>
                <w:szCs w:val="20"/>
              </w:rPr>
              <w:t>江阴澄辉照明科技发展有限公司交办任务未能及时完成每次扣</w:t>
            </w:r>
            <w:r>
              <w:rPr>
                <w:rFonts w:hint="eastAsia" w:ascii="微软雅黑" w:hAnsi="微软雅黑" w:eastAsia="微软雅黑" w:cs="微软雅黑"/>
                <w:color w:val="000000"/>
                <w:kern w:val="0"/>
                <w:sz w:val="20"/>
                <w:szCs w:val="20"/>
                <w:lang w:val="en-US" w:eastAsia="zh-CN"/>
              </w:rPr>
              <w:t>1000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lang w:val="en-US" w:eastAsia="zh-CN"/>
              </w:rPr>
              <w:t>满三次</w:t>
            </w:r>
            <w:r>
              <w:rPr>
                <w:rFonts w:hint="eastAsia" w:ascii="微软雅黑" w:hAnsi="微软雅黑" w:eastAsia="微软雅黑" w:cs="微软雅黑"/>
                <w:color w:val="000000"/>
                <w:kern w:val="0"/>
                <w:sz w:val="20"/>
                <w:szCs w:val="20"/>
              </w:rPr>
              <w:t>江阴澄辉照明科技发展有限公司</w:t>
            </w:r>
            <w:r>
              <w:rPr>
                <w:rFonts w:hint="eastAsia" w:ascii="微软雅黑" w:hAnsi="微软雅黑" w:eastAsia="微软雅黑" w:cs="微软雅黑"/>
                <w:color w:val="000000"/>
                <w:kern w:val="0"/>
                <w:sz w:val="20"/>
                <w:szCs w:val="20"/>
                <w:lang w:val="en-US" w:eastAsia="zh-CN"/>
              </w:rPr>
              <w:t>有权解除合同；</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6、发生意外事故维护单位人员未能及时到达现场处理造成损失的，造成损失由维护单位负责赔偿；损失特别重大的，维护单位除负责赔偿实际损失外，</w:t>
            </w:r>
            <w:r>
              <w:rPr>
                <w:rFonts w:hint="eastAsia" w:ascii="微软雅黑" w:hAnsi="微软雅黑" w:eastAsia="微软雅黑" w:cs="微软雅黑"/>
                <w:color w:val="000000"/>
                <w:kern w:val="0"/>
                <w:sz w:val="20"/>
                <w:szCs w:val="20"/>
              </w:rPr>
              <w:t>江阴澄辉照明科技发展有限公司</w:t>
            </w:r>
            <w:r>
              <w:rPr>
                <w:rFonts w:hint="eastAsia" w:ascii="微软雅黑" w:hAnsi="微软雅黑" w:eastAsia="微软雅黑" w:cs="微软雅黑"/>
                <w:color w:val="000000"/>
                <w:kern w:val="0"/>
                <w:sz w:val="20"/>
                <w:szCs w:val="20"/>
                <w:lang w:val="en-US" w:eastAsia="zh-CN"/>
              </w:rPr>
              <w:t>有权解除其合同并追究其责任；</w:t>
            </w:r>
          </w:p>
          <w:p>
            <w:pPr>
              <w:widowControl/>
              <w:numPr>
                <w:ilvl w:val="0"/>
                <w:numId w:val="0"/>
              </w:numPr>
              <w:jc w:val="left"/>
              <w:rPr>
                <w:rFonts w:hint="default"/>
                <w:lang w:val="en-US" w:eastAsia="zh-CN"/>
              </w:rPr>
            </w:pPr>
            <w:r>
              <w:rPr>
                <w:rFonts w:hint="eastAsia" w:ascii="微软雅黑" w:hAnsi="微软雅黑" w:eastAsia="微软雅黑" w:cs="微软雅黑"/>
                <w:color w:val="000000"/>
                <w:kern w:val="0"/>
                <w:sz w:val="20"/>
                <w:szCs w:val="20"/>
                <w:lang w:val="en-US" w:eastAsia="zh-CN"/>
              </w:rPr>
              <w:t>7、停电故障，临时供电设备未能及时供电或者供电时间不满足要求的，每次扣5000元；</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Cs w:val="21"/>
                <w:lang w:val="en-US" w:eastAsia="zh-CN"/>
              </w:rPr>
            </w:pPr>
          </w:p>
        </w:tc>
      </w:tr>
      <w:tr>
        <w:tblPrEx>
          <w:tblLayout w:type="fixed"/>
          <w:tblCellMar>
            <w:top w:w="0" w:type="dxa"/>
            <w:left w:w="108" w:type="dxa"/>
            <w:bottom w:w="0" w:type="dxa"/>
            <w:right w:w="108" w:type="dxa"/>
          </w:tblCellMar>
        </w:tblPrEx>
        <w:trPr>
          <w:trHeight w:val="1708"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lang w:val="en-US" w:eastAsia="zh-CN"/>
              </w:rPr>
              <w:t>4</w:t>
            </w:r>
          </w:p>
        </w:tc>
        <w:tc>
          <w:tcPr>
            <w:tcW w:w="555" w:type="dxa"/>
            <w:tcBorders>
              <w:top w:val="nil"/>
              <w:left w:val="nil"/>
              <w:bottom w:val="single" w:color="auto" w:sz="4" w:space="0"/>
              <w:right w:val="single" w:color="auto" w:sz="4" w:space="0"/>
            </w:tcBorders>
            <w:shd w:val="clear" w:color="auto" w:fill="auto"/>
            <w:noWrap/>
            <w:textDirection w:val="tbRlV"/>
            <w:vAlign w:val="center"/>
          </w:tcPr>
          <w:p>
            <w:pPr>
              <w:widowControl/>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安全生产</w:t>
            </w:r>
          </w:p>
        </w:tc>
        <w:tc>
          <w:tcPr>
            <w:tcW w:w="5595"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1、维护单位应制定健全的安全管理制度和安全生产责任制。安全管理制度至少应包括员工安全教育、安全检查、车辆安全管理、工器具的安全管理、安全防护用品的管理、安全操作规程、安全事故的处理等内容。</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2、维护单位应建立有效的安全管控体系，且控制措施到位完善</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3、维护单位应编制有效合理的应急预案，并有计划的定期组织演练</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4、维护单位应有计划的进行设施隐患排查，并及时上报及整改</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5、无安全责任事故发生</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p>
        </w:tc>
        <w:tc>
          <w:tcPr>
            <w:tcW w:w="4590" w:type="dxa"/>
            <w:gridSpan w:val="3"/>
            <w:tcBorders>
              <w:top w:val="nil"/>
              <w:left w:val="nil"/>
              <w:bottom w:val="single" w:color="auto" w:sz="4" w:space="0"/>
              <w:right w:val="single" w:color="auto" w:sz="4" w:space="0"/>
            </w:tcBorders>
            <w:shd w:val="clear" w:color="auto" w:fill="auto"/>
            <w:vAlign w:val="center"/>
          </w:tcPr>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1、安全管理制度不健全的，每缺一项扣5000元</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2、未按安全管控体系有效实行的扣10000元。</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3、应急预案未组织定期演练的扣10000元。</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4、未按计划的组织实施安全隐患排查扣10000元</w:t>
            </w:r>
            <w:r>
              <w:rPr>
                <w:rFonts w:hint="eastAsia" w:ascii="微软雅黑" w:hAnsi="微软雅黑" w:eastAsia="微软雅黑" w:cs="微软雅黑"/>
                <w:color w:val="000000"/>
                <w:kern w:val="0"/>
                <w:sz w:val="20"/>
                <w:szCs w:val="20"/>
                <w:lang w:val="en-US" w:eastAsia="zh-CN"/>
              </w:rPr>
              <w:br w:type="textWrapping"/>
            </w:r>
            <w:r>
              <w:rPr>
                <w:rFonts w:hint="eastAsia" w:ascii="微软雅黑" w:hAnsi="微软雅黑" w:eastAsia="微软雅黑" w:cs="微软雅黑"/>
                <w:color w:val="000000"/>
                <w:kern w:val="0"/>
                <w:sz w:val="20"/>
                <w:szCs w:val="20"/>
                <w:lang w:val="en-US" w:eastAsia="zh-CN"/>
              </w:rPr>
              <w:t>5、对安全检查中存在的问题未按时整改，每次扣1500元。</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6、发生安全事故应立即告知江阴澄辉照明科技发展有限公司，并在事故发生后24小时内书面上报事故说明，未告知或上报每次扣10000元；15天内应形成事故分析报告，未上报每次扣5000元。</w:t>
            </w:r>
            <w:r>
              <w:rPr>
                <w:rFonts w:hint="eastAsia" w:ascii="微软雅黑" w:hAnsi="微软雅黑" w:eastAsia="微软雅黑" w:cs="微软雅黑"/>
                <w:color w:val="000000"/>
                <w:kern w:val="0"/>
                <w:sz w:val="20"/>
                <w:szCs w:val="20"/>
                <w:lang w:val="en-US" w:eastAsia="zh-CN"/>
              </w:rPr>
              <w:br w:type="textWrapping"/>
            </w:r>
            <w:r>
              <w:rPr>
                <w:rFonts w:hint="eastAsia" w:ascii="微软雅黑" w:hAnsi="微软雅黑" w:eastAsia="微软雅黑" w:cs="微软雅黑"/>
                <w:color w:val="000000"/>
                <w:kern w:val="0"/>
                <w:sz w:val="20"/>
                <w:szCs w:val="20"/>
                <w:lang w:val="en-US" w:eastAsia="zh-CN"/>
              </w:rPr>
              <w:t>7、发生一般安全事故未造成人身伤害，经认定为全责或主责的，扣50000元；同责的扣30000元；次责的扣10000元。</w:t>
            </w:r>
            <w:r>
              <w:rPr>
                <w:rFonts w:hint="eastAsia" w:ascii="微软雅黑" w:hAnsi="微软雅黑" w:eastAsia="微软雅黑" w:cs="微软雅黑"/>
                <w:color w:val="000000"/>
                <w:kern w:val="0"/>
                <w:sz w:val="20"/>
                <w:szCs w:val="20"/>
                <w:lang w:val="en-US" w:eastAsia="zh-CN"/>
              </w:rPr>
              <w:br w:type="textWrapping"/>
            </w:r>
            <w:r>
              <w:rPr>
                <w:rFonts w:hint="eastAsia" w:ascii="微软雅黑" w:hAnsi="微软雅黑" w:eastAsia="微软雅黑" w:cs="微软雅黑"/>
                <w:color w:val="000000"/>
                <w:kern w:val="0"/>
                <w:sz w:val="20"/>
                <w:szCs w:val="20"/>
                <w:lang w:val="en-US" w:eastAsia="zh-CN"/>
              </w:rPr>
              <w:t>8、发生安全事故涉及人身伤害，或造成5万元以上财产损失，或造成恶劣影响，经认定为全责或主责的扣100000元；同责的扣50000元；次责的扣30000元。</w:t>
            </w:r>
          </w:p>
          <w:p>
            <w:pPr>
              <w:widowControl/>
              <w:numPr>
                <w:ilvl w:val="0"/>
                <w:numId w:val="0"/>
              </w:numPr>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9、发生死亡安全责任事故，扣150000元。</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Cs w:val="21"/>
                <w:lang w:val="en-US" w:eastAsia="zh-CN"/>
              </w:rPr>
            </w:pPr>
          </w:p>
        </w:tc>
      </w:tr>
      <w:tr>
        <w:tblPrEx>
          <w:tblLayout w:type="fixed"/>
          <w:tblCellMar>
            <w:top w:w="0" w:type="dxa"/>
            <w:left w:w="108" w:type="dxa"/>
            <w:bottom w:w="0" w:type="dxa"/>
            <w:right w:w="108" w:type="dxa"/>
          </w:tblCellMar>
        </w:tblPrEx>
        <w:trPr>
          <w:trHeight w:val="1118"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lang w:val="en-US" w:eastAsia="zh-CN"/>
              </w:rPr>
              <w:t>5</w:t>
            </w:r>
          </w:p>
        </w:tc>
        <w:tc>
          <w:tcPr>
            <w:tcW w:w="5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台帐</w:t>
            </w:r>
          </w:p>
        </w:tc>
        <w:tc>
          <w:tcPr>
            <w:tcW w:w="55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按照规定格式要求填写，真实、完整、及时。</w:t>
            </w:r>
          </w:p>
        </w:tc>
        <w:tc>
          <w:tcPr>
            <w:tcW w:w="459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1、各类维护台帐不完整，每发现一处扣</w:t>
            </w:r>
            <w:r>
              <w:rPr>
                <w:rFonts w:hint="eastAsia" w:ascii="微软雅黑" w:hAnsi="微软雅黑" w:eastAsia="微软雅黑" w:cs="微软雅黑"/>
                <w:color w:val="000000"/>
                <w:kern w:val="0"/>
                <w:sz w:val="20"/>
                <w:szCs w:val="20"/>
                <w:lang w:val="en-US" w:eastAsia="zh-CN"/>
              </w:rPr>
              <w:t>500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2、各类维护台帐记录不真实的，每发现一处扣</w:t>
            </w:r>
            <w:r>
              <w:rPr>
                <w:rFonts w:hint="eastAsia" w:ascii="微软雅黑" w:hAnsi="微软雅黑" w:eastAsia="微软雅黑" w:cs="微软雅黑"/>
                <w:color w:val="000000"/>
                <w:kern w:val="0"/>
                <w:sz w:val="20"/>
                <w:szCs w:val="20"/>
                <w:lang w:val="en-US" w:eastAsia="zh-CN"/>
              </w:rPr>
              <w:t>500</w:t>
            </w:r>
            <w:r>
              <w:rPr>
                <w:rFonts w:hint="eastAsia" w:ascii="微软雅黑" w:hAnsi="微软雅黑" w:eastAsia="微软雅黑" w:cs="微软雅黑"/>
                <w:color w:val="000000"/>
                <w:kern w:val="0"/>
                <w:sz w:val="20"/>
                <w:szCs w:val="20"/>
              </w:rPr>
              <w:t>元。</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3、各类维护台帐未按时上交或未按时填写的，每延期一天扣</w:t>
            </w:r>
            <w:r>
              <w:rPr>
                <w:rFonts w:hint="eastAsia" w:ascii="微软雅黑" w:hAnsi="微软雅黑" w:eastAsia="微软雅黑" w:cs="微软雅黑"/>
                <w:color w:val="000000"/>
                <w:kern w:val="0"/>
                <w:sz w:val="20"/>
                <w:szCs w:val="20"/>
                <w:lang w:val="en-US" w:eastAsia="zh-CN"/>
              </w:rPr>
              <w:t>100</w:t>
            </w:r>
            <w:r>
              <w:rPr>
                <w:rFonts w:hint="eastAsia" w:ascii="微软雅黑" w:hAnsi="微软雅黑" w:eastAsia="微软雅黑" w:cs="微软雅黑"/>
                <w:color w:val="000000"/>
                <w:kern w:val="0"/>
                <w:sz w:val="20"/>
                <w:szCs w:val="20"/>
              </w:rPr>
              <w:t>元。</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Cs w:val="21"/>
                <w:lang w:val="en-US" w:eastAsia="zh-CN"/>
              </w:rPr>
            </w:pPr>
          </w:p>
        </w:tc>
      </w:tr>
      <w:tr>
        <w:tblPrEx>
          <w:tblLayout w:type="fixed"/>
          <w:tblCellMar>
            <w:top w:w="0" w:type="dxa"/>
            <w:left w:w="108" w:type="dxa"/>
            <w:bottom w:w="0" w:type="dxa"/>
            <w:right w:w="108" w:type="dxa"/>
          </w:tblCellMar>
        </w:tblPrEx>
        <w:trPr>
          <w:trHeight w:val="1118"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lang w:val="en-US" w:eastAsia="zh-CN"/>
              </w:rPr>
              <w:t>6</w:t>
            </w:r>
          </w:p>
        </w:tc>
        <w:tc>
          <w:tcPr>
            <w:tcW w:w="5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计划任务</w:t>
            </w:r>
          </w:p>
        </w:tc>
        <w:tc>
          <w:tcPr>
            <w:tcW w:w="55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维护单位应制定详实的日常维护计划和专项计划。日常维护计划和专项计划至少包括年度维修计划、月度维修计划、日常巡查计划、日常维修计划、应急抢修计划、值班计划、年度大修计划、安全教育计划、安全隐患排查整改计划、应急预案演练计划等内容。计划应具有全面性，针对性和可操作性。</w:t>
            </w:r>
          </w:p>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2、维护单位应严格执行日常维护计划。</w:t>
            </w:r>
          </w:p>
        </w:tc>
        <w:tc>
          <w:tcPr>
            <w:tcW w:w="459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1、维护计划不全面的缺一项扣</w:t>
            </w:r>
            <w:r>
              <w:rPr>
                <w:rFonts w:hint="eastAsia" w:ascii="微软雅黑" w:hAnsi="微软雅黑" w:eastAsia="微软雅黑" w:cs="微软雅黑"/>
                <w:color w:val="000000"/>
                <w:kern w:val="0"/>
                <w:sz w:val="20"/>
                <w:szCs w:val="20"/>
                <w:lang w:val="en-US" w:eastAsia="zh-CN"/>
              </w:rPr>
              <w:t>1000</w:t>
            </w:r>
            <w:r>
              <w:rPr>
                <w:rFonts w:hint="eastAsia" w:ascii="微软雅黑" w:hAnsi="微软雅黑" w:eastAsia="微软雅黑" w:cs="微软雅黑"/>
                <w:color w:val="000000"/>
                <w:kern w:val="0"/>
                <w:sz w:val="20"/>
                <w:szCs w:val="20"/>
              </w:rPr>
              <w:t>元。</w:t>
            </w:r>
          </w:p>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2、维护计划缺乏针对性可操作性扣</w:t>
            </w:r>
            <w:r>
              <w:rPr>
                <w:rFonts w:hint="eastAsia" w:ascii="微软雅黑" w:hAnsi="微软雅黑" w:eastAsia="微软雅黑" w:cs="微软雅黑"/>
                <w:color w:val="000000"/>
                <w:kern w:val="0"/>
                <w:sz w:val="20"/>
                <w:szCs w:val="20"/>
                <w:lang w:val="en-US" w:eastAsia="zh-CN"/>
              </w:rPr>
              <w:t>1000</w:t>
            </w:r>
            <w:r>
              <w:rPr>
                <w:rFonts w:hint="eastAsia" w:ascii="微软雅黑" w:hAnsi="微软雅黑" w:eastAsia="微软雅黑" w:cs="微软雅黑"/>
                <w:color w:val="000000"/>
                <w:kern w:val="0"/>
                <w:sz w:val="20"/>
                <w:szCs w:val="20"/>
              </w:rPr>
              <w:t>元。</w:t>
            </w:r>
          </w:p>
          <w:p>
            <w:pPr>
              <w:widowControl/>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3、维护单位未严格按计划执行每次扣</w:t>
            </w:r>
            <w:r>
              <w:rPr>
                <w:rFonts w:hint="eastAsia" w:ascii="微软雅黑" w:hAnsi="微软雅黑" w:eastAsia="微软雅黑" w:cs="微软雅黑"/>
                <w:color w:val="000000"/>
                <w:kern w:val="0"/>
                <w:sz w:val="20"/>
                <w:szCs w:val="20"/>
                <w:lang w:val="en-US" w:eastAsia="zh-CN"/>
              </w:rPr>
              <w:t>5000</w:t>
            </w:r>
            <w:r>
              <w:rPr>
                <w:rFonts w:hint="eastAsia" w:ascii="微软雅黑" w:hAnsi="微软雅黑" w:eastAsia="微软雅黑" w:cs="微软雅黑"/>
                <w:color w:val="000000"/>
                <w:kern w:val="0"/>
                <w:sz w:val="20"/>
                <w:szCs w:val="20"/>
              </w:rPr>
              <w:t>元。</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Cs w:val="21"/>
                <w:lang w:val="en-US" w:eastAsia="zh-CN"/>
              </w:rPr>
            </w:pPr>
          </w:p>
        </w:tc>
      </w:tr>
      <w:tr>
        <w:tblPrEx>
          <w:tblLayout w:type="fixed"/>
          <w:tblCellMar>
            <w:top w:w="0" w:type="dxa"/>
            <w:left w:w="108" w:type="dxa"/>
            <w:bottom w:w="0" w:type="dxa"/>
            <w:right w:w="108" w:type="dxa"/>
          </w:tblCellMar>
        </w:tblPrEx>
        <w:trPr>
          <w:trHeight w:val="3640"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10</w:t>
            </w:r>
          </w:p>
        </w:tc>
        <w:tc>
          <w:tcPr>
            <w:tcW w:w="555" w:type="dxa"/>
            <w:tcBorders>
              <w:top w:val="nil"/>
              <w:left w:val="nil"/>
              <w:bottom w:val="single" w:color="auto" w:sz="4" w:space="0"/>
              <w:right w:val="single" w:color="auto" w:sz="4" w:space="0"/>
            </w:tcBorders>
            <w:shd w:val="clear" w:color="auto" w:fill="auto"/>
            <w:noWrap/>
            <w:textDirection w:val="tbRlV"/>
            <w:vAlign w:val="center"/>
          </w:tcPr>
          <w:p>
            <w:pPr>
              <w:widowControl/>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其他</w:t>
            </w:r>
          </w:p>
        </w:tc>
        <w:tc>
          <w:tcPr>
            <w:tcW w:w="559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rPr>
              <w:t>1、因偷盗或车损等非正常损坏的，需及时与江阴澄辉照明科技发展有限公司联系，并立即组织修补。</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2、维护单位不得擅自改变</w:t>
            </w:r>
            <w:r>
              <w:rPr>
                <w:rFonts w:hint="eastAsia" w:ascii="微软雅黑" w:hAnsi="微软雅黑" w:eastAsia="微软雅黑" w:cs="微软雅黑"/>
                <w:color w:val="000000"/>
                <w:kern w:val="0"/>
                <w:sz w:val="20"/>
                <w:szCs w:val="20"/>
                <w:lang w:eastAsia="zh-CN"/>
              </w:rPr>
              <w:t>通信设施</w:t>
            </w:r>
            <w:r>
              <w:rPr>
                <w:rFonts w:hint="eastAsia" w:ascii="微软雅黑" w:hAnsi="微软雅黑" w:eastAsia="微软雅黑" w:cs="微软雅黑"/>
                <w:color w:val="000000"/>
                <w:kern w:val="0"/>
                <w:sz w:val="20"/>
                <w:szCs w:val="20"/>
              </w:rPr>
              <w:t>的现状，因特殊原因需要拆除现有</w:t>
            </w:r>
            <w:r>
              <w:rPr>
                <w:rFonts w:hint="eastAsia" w:ascii="微软雅黑" w:hAnsi="微软雅黑" w:eastAsia="微软雅黑" w:cs="微软雅黑"/>
                <w:color w:val="000000"/>
                <w:kern w:val="0"/>
                <w:sz w:val="20"/>
                <w:szCs w:val="20"/>
                <w:lang w:eastAsia="zh-CN"/>
              </w:rPr>
              <w:t>通信设施</w:t>
            </w:r>
            <w:r>
              <w:rPr>
                <w:rFonts w:hint="eastAsia" w:ascii="微软雅黑" w:hAnsi="微软雅黑" w:eastAsia="微软雅黑" w:cs="微软雅黑"/>
                <w:color w:val="000000"/>
                <w:kern w:val="0"/>
                <w:sz w:val="20"/>
                <w:szCs w:val="20"/>
              </w:rPr>
              <w:t>、变更现有供电线路、变更设计电器、</w:t>
            </w:r>
            <w:r>
              <w:rPr>
                <w:rFonts w:hint="eastAsia" w:ascii="微软雅黑" w:hAnsi="微软雅黑" w:eastAsia="微软雅黑" w:cs="微软雅黑"/>
                <w:color w:val="000000"/>
                <w:kern w:val="0"/>
                <w:sz w:val="20"/>
                <w:szCs w:val="20"/>
                <w:lang w:val="en-US" w:eastAsia="zh-CN"/>
              </w:rPr>
              <w:t>设备</w:t>
            </w:r>
            <w:r>
              <w:rPr>
                <w:rFonts w:hint="eastAsia" w:ascii="微软雅黑" w:hAnsi="微软雅黑" w:eastAsia="微软雅黑" w:cs="微软雅黑"/>
                <w:color w:val="000000"/>
                <w:kern w:val="0"/>
                <w:sz w:val="20"/>
                <w:szCs w:val="20"/>
              </w:rPr>
              <w:t>及规格品牌等均应事先报告江阴澄辉照明科技发展有限公司，由江阴澄辉照明科技发展有限公司向</w:t>
            </w:r>
            <w:r>
              <w:rPr>
                <w:rFonts w:hint="eastAsia" w:ascii="微软雅黑" w:hAnsi="微软雅黑" w:eastAsia="微软雅黑" w:cs="微软雅黑"/>
                <w:color w:val="000000"/>
                <w:kern w:val="0"/>
                <w:sz w:val="20"/>
                <w:szCs w:val="20"/>
                <w:lang w:val="en-US" w:eastAsia="zh-CN"/>
              </w:rPr>
              <w:t>客户运营商报备</w:t>
            </w:r>
            <w:r>
              <w:rPr>
                <w:rFonts w:hint="eastAsia" w:ascii="微软雅黑" w:hAnsi="微软雅黑" w:eastAsia="微软雅黑" w:cs="微软雅黑"/>
                <w:color w:val="000000"/>
                <w:kern w:val="0"/>
                <w:sz w:val="20"/>
                <w:szCs w:val="20"/>
              </w:rPr>
              <w:t>并经同意后方可实施。</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3、维护单位不得在</w:t>
            </w:r>
            <w:r>
              <w:rPr>
                <w:rFonts w:hint="eastAsia" w:ascii="微软雅黑" w:hAnsi="微软雅黑" w:eastAsia="微软雅黑" w:cs="微软雅黑"/>
                <w:color w:val="000000"/>
                <w:kern w:val="0"/>
                <w:sz w:val="20"/>
                <w:szCs w:val="20"/>
                <w:lang w:eastAsia="zh-CN"/>
              </w:rPr>
              <w:t>通信设施</w:t>
            </w:r>
            <w:r>
              <w:rPr>
                <w:rFonts w:hint="eastAsia" w:ascii="微软雅黑" w:hAnsi="微软雅黑" w:eastAsia="微软雅黑" w:cs="微软雅黑"/>
                <w:color w:val="000000"/>
                <w:kern w:val="0"/>
                <w:sz w:val="20"/>
                <w:szCs w:val="20"/>
              </w:rPr>
              <w:t>上私拉乱接其他</w:t>
            </w:r>
            <w:r>
              <w:rPr>
                <w:rFonts w:hint="eastAsia" w:ascii="微软雅黑" w:hAnsi="微软雅黑" w:eastAsia="微软雅黑" w:cs="微软雅黑"/>
                <w:color w:val="000000"/>
                <w:kern w:val="0"/>
                <w:sz w:val="20"/>
                <w:szCs w:val="20"/>
                <w:lang w:eastAsia="zh-CN"/>
              </w:rPr>
              <w:t>设施</w:t>
            </w:r>
            <w:r>
              <w:rPr>
                <w:rFonts w:hint="eastAsia" w:ascii="微软雅黑" w:hAnsi="微软雅黑" w:eastAsia="微软雅黑" w:cs="微软雅黑"/>
                <w:color w:val="000000"/>
                <w:kern w:val="0"/>
                <w:sz w:val="20"/>
                <w:szCs w:val="20"/>
              </w:rPr>
              <w:t>。</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4、维护单位应注意发现下列情况并及时上报、配合处理：（1）擅自拆除、迁移</w:t>
            </w:r>
            <w:r>
              <w:rPr>
                <w:rFonts w:hint="eastAsia" w:ascii="微软雅黑" w:hAnsi="微软雅黑" w:eastAsia="微软雅黑" w:cs="微软雅黑"/>
                <w:color w:val="000000"/>
                <w:kern w:val="0"/>
                <w:sz w:val="20"/>
                <w:szCs w:val="20"/>
                <w:lang w:eastAsia="zh-CN"/>
              </w:rPr>
              <w:t>通信设施；</w:t>
            </w:r>
            <w:r>
              <w:rPr>
                <w:rFonts w:hint="eastAsia" w:ascii="微软雅黑" w:hAnsi="微软雅黑" w:eastAsia="微软雅黑" w:cs="微软雅黑"/>
                <w:color w:val="000000"/>
                <w:kern w:val="0"/>
                <w:sz w:val="20"/>
                <w:szCs w:val="20"/>
              </w:rPr>
              <w:t>（</w:t>
            </w:r>
            <w:r>
              <w:rPr>
                <w:rFonts w:hint="eastAsia" w:ascii="微软雅黑" w:hAnsi="微软雅黑" w:eastAsia="微软雅黑" w:cs="微软雅黑"/>
                <w:color w:val="000000"/>
                <w:kern w:val="0"/>
                <w:sz w:val="20"/>
                <w:szCs w:val="20"/>
                <w:lang w:val="en-US" w:eastAsia="zh-CN"/>
              </w:rPr>
              <w:t>2</w:t>
            </w:r>
            <w:r>
              <w:rPr>
                <w:rFonts w:hint="eastAsia" w:ascii="微软雅黑" w:hAnsi="微软雅黑" w:eastAsia="微软雅黑" w:cs="微软雅黑"/>
                <w:color w:val="000000"/>
                <w:kern w:val="0"/>
                <w:sz w:val="20"/>
                <w:szCs w:val="20"/>
              </w:rPr>
              <w:t>）巡查发现私自接用</w:t>
            </w:r>
            <w:r>
              <w:rPr>
                <w:rFonts w:hint="eastAsia" w:ascii="微软雅黑" w:hAnsi="微软雅黑" w:eastAsia="微软雅黑" w:cs="微软雅黑"/>
                <w:color w:val="000000"/>
                <w:kern w:val="0"/>
                <w:sz w:val="20"/>
                <w:szCs w:val="20"/>
                <w:lang w:val="en-US" w:eastAsia="zh-CN"/>
              </w:rPr>
              <w:t>通信设施</w:t>
            </w:r>
            <w:r>
              <w:rPr>
                <w:rFonts w:hint="eastAsia" w:ascii="微软雅黑" w:hAnsi="微软雅黑" w:eastAsia="微软雅黑" w:cs="微软雅黑"/>
                <w:color w:val="000000"/>
                <w:kern w:val="0"/>
                <w:sz w:val="20"/>
                <w:szCs w:val="20"/>
              </w:rPr>
              <w:t>电源。</w:t>
            </w:r>
            <w:r>
              <w:rPr>
                <w:rFonts w:hint="eastAsia" w:ascii="微软雅黑" w:hAnsi="微软雅黑" w:eastAsia="微软雅黑" w:cs="微软雅黑"/>
                <w:color w:val="000000"/>
                <w:kern w:val="0"/>
                <w:sz w:val="20"/>
                <w:szCs w:val="20"/>
                <w:lang w:val="en-US" w:eastAsia="zh-CN"/>
              </w:rPr>
              <w:t>在</w:t>
            </w:r>
            <w:r>
              <w:rPr>
                <w:rFonts w:hint="eastAsia" w:ascii="微软雅黑" w:hAnsi="微软雅黑" w:eastAsia="微软雅黑" w:cs="微软雅黑"/>
                <w:color w:val="000000"/>
                <w:kern w:val="0"/>
                <w:sz w:val="20"/>
                <w:szCs w:val="20"/>
                <w:lang w:eastAsia="zh-CN"/>
              </w:rPr>
              <w:t>通信</w:t>
            </w:r>
            <w:r>
              <w:rPr>
                <w:rFonts w:hint="eastAsia" w:ascii="微软雅黑" w:hAnsi="微软雅黑" w:eastAsia="微软雅黑" w:cs="微软雅黑"/>
                <w:color w:val="000000"/>
                <w:kern w:val="0"/>
                <w:sz w:val="20"/>
                <w:szCs w:val="20"/>
              </w:rPr>
              <w:t>杆</w:t>
            </w:r>
            <w:r>
              <w:rPr>
                <w:rFonts w:hint="eastAsia" w:ascii="微软雅黑" w:hAnsi="微软雅黑" w:eastAsia="微软雅黑" w:cs="微软雅黑"/>
                <w:color w:val="000000"/>
                <w:kern w:val="0"/>
                <w:sz w:val="20"/>
                <w:szCs w:val="20"/>
                <w:lang w:eastAsia="zh-CN"/>
              </w:rPr>
              <w:t>塔</w:t>
            </w:r>
            <w:r>
              <w:rPr>
                <w:rFonts w:hint="eastAsia" w:ascii="微软雅黑" w:hAnsi="微软雅黑" w:eastAsia="微软雅黑" w:cs="微软雅黑"/>
                <w:color w:val="000000"/>
                <w:kern w:val="0"/>
                <w:sz w:val="20"/>
                <w:szCs w:val="20"/>
                <w:lang w:val="en-US" w:eastAsia="zh-CN"/>
              </w:rPr>
              <w:t>上架设其他设备等违章行为；</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5、维护单位需遵守文明施工相关规定，不得擅自开挖绿地及道路，确需开挖的应办理相关审批手续</w:t>
            </w:r>
            <w:r>
              <w:rPr>
                <w:rFonts w:hint="eastAsia" w:ascii="微软雅黑" w:hAnsi="微软雅黑" w:eastAsia="微软雅黑" w:cs="微软雅黑"/>
                <w:color w:val="000000"/>
                <w:kern w:val="0"/>
                <w:sz w:val="20"/>
                <w:szCs w:val="20"/>
                <w:lang w:eastAsia="zh-CN"/>
              </w:rPr>
              <w:t>；</w:t>
            </w:r>
          </w:p>
          <w:p>
            <w:pPr>
              <w:widowControl/>
              <w:jc w:val="left"/>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lang w:val="en-US" w:eastAsia="zh-CN"/>
              </w:rPr>
              <w:t>6</w:t>
            </w:r>
            <w:r>
              <w:rPr>
                <w:rFonts w:hint="eastAsia" w:ascii="微软雅黑" w:hAnsi="微软雅黑" w:eastAsia="微软雅黑" w:cs="微软雅黑"/>
                <w:color w:val="000000"/>
                <w:kern w:val="0"/>
                <w:sz w:val="20"/>
                <w:szCs w:val="20"/>
              </w:rPr>
              <w:t>、维护单位用于</w:t>
            </w:r>
            <w:r>
              <w:rPr>
                <w:rFonts w:hint="eastAsia" w:ascii="微软雅黑" w:hAnsi="微软雅黑" w:eastAsia="微软雅黑" w:cs="微软雅黑"/>
                <w:color w:val="000000"/>
                <w:kern w:val="0"/>
                <w:sz w:val="20"/>
                <w:szCs w:val="20"/>
                <w:lang w:eastAsia="zh-CN"/>
              </w:rPr>
              <w:t>基站</w:t>
            </w:r>
            <w:r>
              <w:rPr>
                <w:rFonts w:hint="eastAsia" w:ascii="微软雅黑" w:hAnsi="微软雅黑" w:eastAsia="微软雅黑" w:cs="微软雅黑"/>
                <w:color w:val="000000"/>
                <w:kern w:val="0"/>
                <w:sz w:val="20"/>
                <w:szCs w:val="20"/>
              </w:rPr>
              <w:t>维护的车辆必须安装GPS，并与江阴澄辉照明科技发展有限公司的监控平台联网</w:t>
            </w:r>
            <w:r>
              <w:rPr>
                <w:rFonts w:hint="eastAsia" w:ascii="微软雅黑" w:hAnsi="微软雅黑" w:eastAsia="微软雅黑" w:cs="微软雅黑"/>
                <w:color w:val="000000"/>
                <w:kern w:val="0"/>
                <w:sz w:val="20"/>
                <w:szCs w:val="20"/>
                <w:lang w:eastAsia="zh-CN"/>
              </w:rPr>
              <w:t>；</w:t>
            </w:r>
          </w:p>
          <w:p>
            <w:pPr>
              <w:widowControl/>
              <w:jc w:val="left"/>
              <w:rPr>
                <w:rFonts w:hint="eastAsia" w:ascii="微软雅黑" w:hAnsi="微软雅黑" w:eastAsia="微软雅黑" w:cs="微软雅黑"/>
                <w:color w:val="000000"/>
                <w:kern w:val="0"/>
                <w:sz w:val="20"/>
                <w:szCs w:val="20"/>
              </w:rPr>
            </w:pPr>
          </w:p>
        </w:tc>
        <w:tc>
          <w:tcPr>
            <w:tcW w:w="459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1、发生非正常损坏未及时组织修复，每处扣500元；</w:t>
            </w:r>
            <w:r>
              <w:rPr>
                <w:rFonts w:hint="eastAsia" w:ascii="微软雅黑" w:hAnsi="微软雅黑" w:eastAsia="微软雅黑" w:cs="微软雅黑"/>
                <w:color w:val="000000"/>
                <w:kern w:val="0"/>
                <w:sz w:val="20"/>
                <w:szCs w:val="20"/>
                <w:lang w:val="en-US" w:eastAsia="zh-CN"/>
              </w:rPr>
              <w:br w:type="textWrapping"/>
            </w:r>
            <w:r>
              <w:rPr>
                <w:rFonts w:hint="eastAsia" w:ascii="微软雅黑" w:hAnsi="微软雅黑" w:eastAsia="微软雅黑" w:cs="微软雅黑"/>
                <w:color w:val="000000"/>
                <w:kern w:val="0"/>
                <w:sz w:val="20"/>
                <w:szCs w:val="20"/>
                <w:lang w:val="en-US" w:eastAsia="zh-CN"/>
              </w:rPr>
              <w:t>2、擅自改变通信设施现状的，每处扣1000元；</w:t>
            </w:r>
            <w:r>
              <w:rPr>
                <w:rFonts w:hint="eastAsia" w:ascii="微软雅黑" w:hAnsi="微软雅黑" w:eastAsia="微软雅黑" w:cs="微软雅黑"/>
                <w:color w:val="000000"/>
                <w:kern w:val="0"/>
                <w:sz w:val="20"/>
                <w:szCs w:val="20"/>
                <w:lang w:val="en-US" w:eastAsia="zh-CN"/>
              </w:rPr>
              <w:br w:type="textWrapping"/>
            </w:r>
            <w:r>
              <w:rPr>
                <w:rFonts w:hint="eastAsia" w:ascii="微软雅黑" w:hAnsi="微软雅黑" w:eastAsia="微软雅黑" w:cs="微软雅黑"/>
                <w:color w:val="000000"/>
                <w:kern w:val="0"/>
                <w:sz w:val="20"/>
                <w:szCs w:val="20"/>
                <w:lang w:val="en-US" w:eastAsia="zh-CN"/>
              </w:rPr>
              <w:t>3、擅自转供其他用电通信设施的，发现一处扣3000元；</w:t>
            </w:r>
            <w:r>
              <w:rPr>
                <w:rFonts w:hint="eastAsia" w:ascii="微软雅黑" w:hAnsi="微软雅黑" w:eastAsia="微软雅黑" w:cs="微软雅黑"/>
                <w:color w:val="000000"/>
                <w:kern w:val="0"/>
                <w:sz w:val="20"/>
                <w:szCs w:val="20"/>
                <w:lang w:val="en-US" w:eastAsia="zh-CN"/>
              </w:rPr>
              <w:br w:type="textWrapping"/>
            </w:r>
            <w:r>
              <w:rPr>
                <w:rFonts w:hint="eastAsia" w:ascii="微软雅黑" w:hAnsi="微软雅黑" w:eastAsia="微软雅黑" w:cs="微软雅黑"/>
                <w:color w:val="000000"/>
                <w:kern w:val="0"/>
                <w:sz w:val="20"/>
                <w:szCs w:val="20"/>
                <w:lang w:val="en-US" w:eastAsia="zh-CN"/>
              </w:rPr>
              <w:t>4、未能及时发现擅自拆除、迁移通信设施、在</w:t>
            </w:r>
            <w:r>
              <w:rPr>
                <w:rFonts w:hint="eastAsia" w:ascii="微软雅黑" w:hAnsi="微软雅黑" w:eastAsia="微软雅黑" w:cs="微软雅黑"/>
                <w:color w:val="000000"/>
                <w:kern w:val="0"/>
                <w:sz w:val="20"/>
                <w:szCs w:val="20"/>
                <w:lang w:eastAsia="zh-CN"/>
              </w:rPr>
              <w:t>通信</w:t>
            </w:r>
            <w:r>
              <w:rPr>
                <w:rFonts w:hint="eastAsia" w:ascii="微软雅黑" w:hAnsi="微软雅黑" w:eastAsia="微软雅黑" w:cs="微软雅黑"/>
                <w:color w:val="000000"/>
                <w:kern w:val="0"/>
                <w:sz w:val="20"/>
                <w:szCs w:val="20"/>
              </w:rPr>
              <w:t>杆</w:t>
            </w:r>
            <w:r>
              <w:rPr>
                <w:rFonts w:hint="eastAsia" w:ascii="微软雅黑" w:hAnsi="微软雅黑" w:eastAsia="微软雅黑" w:cs="微软雅黑"/>
                <w:color w:val="000000"/>
                <w:kern w:val="0"/>
                <w:sz w:val="20"/>
                <w:szCs w:val="20"/>
                <w:lang w:eastAsia="zh-CN"/>
              </w:rPr>
              <w:t>塔</w:t>
            </w:r>
            <w:r>
              <w:rPr>
                <w:rFonts w:hint="eastAsia" w:ascii="微软雅黑" w:hAnsi="微软雅黑" w:eastAsia="微软雅黑" w:cs="微软雅黑"/>
                <w:color w:val="000000"/>
                <w:kern w:val="0"/>
                <w:sz w:val="20"/>
                <w:szCs w:val="20"/>
                <w:lang w:val="en-US" w:eastAsia="zh-CN"/>
              </w:rPr>
              <w:t>上架设其他设备等违章行为、私自接用通信设施电源等危害通信设施行为的，每次扣500元；</w:t>
            </w:r>
            <w:r>
              <w:rPr>
                <w:rFonts w:hint="eastAsia" w:ascii="微软雅黑" w:hAnsi="微软雅黑" w:eastAsia="微软雅黑" w:cs="微软雅黑"/>
                <w:color w:val="000000"/>
                <w:kern w:val="0"/>
                <w:sz w:val="20"/>
                <w:szCs w:val="20"/>
                <w:lang w:val="en-US" w:eastAsia="zh-CN"/>
              </w:rPr>
              <w:br w:type="textWrapping"/>
            </w:r>
            <w:r>
              <w:rPr>
                <w:rFonts w:hint="eastAsia" w:ascii="微软雅黑" w:hAnsi="微软雅黑" w:eastAsia="微软雅黑" w:cs="微软雅黑"/>
                <w:color w:val="000000"/>
                <w:kern w:val="0"/>
                <w:sz w:val="20"/>
                <w:szCs w:val="20"/>
                <w:lang w:val="en-US" w:eastAsia="zh-CN"/>
              </w:rPr>
              <w:t>5、未遵守文明施工相关规定，每次扣1000元；</w:t>
            </w:r>
          </w:p>
          <w:p>
            <w:pPr>
              <w:widowControl/>
              <w:jc w:val="left"/>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6、维护单位用于基站维护的车辆未安装GPS，并未与江阴澄辉照明科技发展有限公司的监控平台联网的，每次扣500元；</w:t>
            </w:r>
          </w:p>
          <w:p>
            <w:pPr>
              <w:widowControl/>
              <w:jc w:val="left"/>
              <w:rPr>
                <w:rFonts w:hint="eastAsia" w:ascii="微软雅黑" w:hAnsi="微软雅黑" w:eastAsia="微软雅黑" w:cs="微软雅黑"/>
                <w:color w:val="000000"/>
                <w:kern w:val="0"/>
                <w:sz w:val="20"/>
                <w:szCs w:val="20"/>
                <w:lang w:val="en-US" w:eastAsia="zh-CN"/>
              </w:rPr>
            </w:pP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r>
        <w:tblPrEx>
          <w:tblLayout w:type="fixed"/>
          <w:tblCellMar>
            <w:top w:w="0" w:type="dxa"/>
            <w:left w:w="108" w:type="dxa"/>
            <w:bottom w:w="0" w:type="dxa"/>
            <w:right w:w="108" w:type="dxa"/>
          </w:tblCellMar>
        </w:tblPrEx>
        <w:trPr>
          <w:trHeight w:val="1417" w:hRule="exac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11</w:t>
            </w:r>
          </w:p>
        </w:tc>
        <w:tc>
          <w:tcPr>
            <w:tcW w:w="10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b/>
                <w:bCs/>
                <w:color w:val="000000"/>
                <w:kern w:val="0"/>
                <w:sz w:val="32"/>
                <w:szCs w:val="32"/>
                <w:lang w:eastAsia="zh-CN"/>
              </w:rPr>
              <w:t>总</w:t>
            </w:r>
            <w:r>
              <w:rPr>
                <w:rFonts w:hint="eastAsia" w:ascii="微软雅黑" w:hAnsi="微软雅黑" w:eastAsia="微软雅黑" w:cs="微软雅黑"/>
                <w:b/>
                <w:bCs/>
                <w:color w:val="000000"/>
                <w:kern w:val="0"/>
                <w:sz w:val="32"/>
                <w:szCs w:val="32"/>
                <w:lang w:val="en-US" w:eastAsia="zh-CN"/>
              </w:rPr>
              <w:t xml:space="preserve">  </w:t>
            </w:r>
            <w:r>
              <w:rPr>
                <w:rFonts w:hint="eastAsia" w:ascii="微软雅黑" w:hAnsi="微软雅黑" w:eastAsia="微软雅黑" w:cs="微软雅黑"/>
                <w:b/>
                <w:bCs/>
                <w:color w:val="000000"/>
                <w:kern w:val="0"/>
                <w:sz w:val="32"/>
                <w:szCs w:val="32"/>
                <w:lang w:eastAsia="zh-CN"/>
              </w:rPr>
              <w:t>扣</w:t>
            </w:r>
            <w:r>
              <w:rPr>
                <w:rFonts w:hint="eastAsia" w:ascii="微软雅黑" w:hAnsi="微软雅黑" w:eastAsia="微软雅黑" w:cs="微软雅黑"/>
                <w:b/>
                <w:bCs/>
                <w:color w:val="000000"/>
                <w:kern w:val="0"/>
                <w:sz w:val="32"/>
                <w:szCs w:val="32"/>
                <w:lang w:val="en-US" w:eastAsia="zh-CN"/>
              </w:rPr>
              <w:t xml:space="preserve">  </w:t>
            </w:r>
            <w:r>
              <w:rPr>
                <w:rFonts w:hint="eastAsia" w:ascii="微软雅黑" w:hAnsi="微软雅黑" w:eastAsia="微软雅黑" w:cs="微软雅黑"/>
                <w:b/>
                <w:bCs/>
                <w:color w:val="000000"/>
                <w:kern w:val="0"/>
                <w:sz w:val="32"/>
                <w:szCs w:val="32"/>
                <w:lang w:eastAsia="zh-CN"/>
              </w:rPr>
              <w:t>款</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color w:val="000000"/>
                <w:kern w:val="0"/>
                <w:sz w:val="32"/>
                <w:szCs w:val="32"/>
                <w:lang w:val="en-US" w:eastAsia="zh-CN"/>
              </w:rPr>
            </w:pPr>
            <w:r>
              <w:rPr>
                <w:rFonts w:hint="eastAsia" w:ascii="微软雅黑" w:hAnsi="微软雅黑" w:eastAsia="微软雅黑" w:cs="微软雅黑"/>
                <w:b/>
                <w:bCs/>
                <w:color w:val="000000"/>
                <w:kern w:val="0"/>
                <w:sz w:val="32"/>
                <w:szCs w:val="32"/>
                <w:lang w:val="en-US" w:eastAsia="zh-CN"/>
              </w:rPr>
              <w:t>元</w:t>
            </w:r>
          </w:p>
        </w:tc>
      </w:tr>
      <w:tr>
        <w:tblPrEx>
          <w:tblLayout w:type="fixed"/>
          <w:tblCellMar>
            <w:top w:w="0" w:type="dxa"/>
            <w:left w:w="108" w:type="dxa"/>
            <w:bottom w:w="0" w:type="dxa"/>
            <w:right w:w="108" w:type="dxa"/>
          </w:tblCellMar>
        </w:tblPrEx>
        <w:trPr>
          <w:trHeight w:val="1417" w:hRule="exact"/>
        </w:trPr>
        <w:tc>
          <w:tcPr>
            <w:tcW w:w="351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Cs w:val="21"/>
                <w:lang w:eastAsia="zh-CN"/>
              </w:rPr>
            </w:pPr>
            <w:r>
              <w:rPr>
                <w:rFonts w:hint="eastAsia" w:ascii="微软雅黑" w:hAnsi="微软雅黑" w:eastAsia="微软雅黑" w:cs="微软雅黑"/>
                <w:color w:val="000000"/>
                <w:kern w:val="0"/>
                <w:szCs w:val="21"/>
                <w:lang w:eastAsia="zh-CN"/>
              </w:rPr>
              <w:t>考核单位签字</w:t>
            </w:r>
          </w:p>
        </w:tc>
        <w:tc>
          <w:tcPr>
            <w:tcW w:w="351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Cs w:val="21"/>
              </w:rPr>
            </w:pPr>
          </w:p>
        </w:tc>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Cs w:val="21"/>
                <w:lang w:eastAsia="zh-CN"/>
              </w:rPr>
            </w:pPr>
            <w:r>
              <w:rPr>
                <w:rFonts w:hint="eastAsia" w:ascii="微软雅黑" w:hAnsi="微软雅黑" w:eastAsia="微软雅黑" w:cs="微软雅黑"/>
                <w:color w:val="000000"/>
                <w:kern w:val="0"/>
                <w:szCs w:val="21"/>
                <w:lang w:eastAsia="zh-CN"/>
              </w:rPr>
              <w:t>质保或维护单位签字</w:t>
            </w:r>
          </w:p>
        </w:tc>
        <w:tc>
          <w:tcPr>
            <w:tcW w:w="344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color w:val="000000"/>
                <w:kern w:val="0"/>
                <w:szCs w:val="21"/>
              </w:rPr>
            </w:pPr>
          </w:p>
        </w:tc>
      </w:tr>
      <w:tr>
        <w:tblPrEx>
          <w:tblLayout w:type="fixed"/>
          <w:tblCellMar>
            <w:top w:w="0" w:type="dxa"/>
            <w:left w:w="108" w:type="dxa"/>
            <w:bottom w:w="0" w:type="dxa"/>
            <w:right w:w="108" w:type="dxa"/>
          </w:tblCellMar>
        </w:tblPrEx>
        <w:trPr>
          <w:trHeight w:val="563" w:hRule="atLeast"/>
        </w:trPr>
        <w:tc>
          <w:tcPr>
            <w:tcW w:w="13990" w:type="dxa"/>
            <w:gridSpan w:val="8"/>
            <w:tcBorders>
              <w:top w:val="nil"/>
              <w:left w:val="nil"/>
              <w:bottom w:val="nil"/>
              <w:right w:val="nil"/>
            </w:tcBorders>
            <w:shd w:val="clear" w:color="auto" w:fill="auto"/>
            <w:noWrap/>
            <w:vAlign w:val="center"/>
          </w:tcPr>
          <w:p>
            <w:pPr>
              <w:widowControl/>
              <w:jc w:val="left"/>
              <w:rPr>
                <w:rFonts w:hint="eastAsia"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注：上述考核内容，若在第一次考核中发现的问题，第二次考核仍未整改到位，则加倍扣钱，以此类推。</w:t>
            </w:r>
          </w:p>
        </w:tc>
      </w:tr>
    </w:tbl>
    <w:p>
      <w:pPr>
        <w:rPr>
          <w:rFonts w:hint="eastAsia" w:ascii="仿宋_GB2312" w:hAnsi="仿宋_GB2312" w:eastAsia="仿宋_GB2312" w:cs="仿宋_GB2312"/>
        </w:rPr>
      </w:pPr>
    </w:p>
    <w:sectPr>
      <w:footerReference r:id="rId6" w:type="first"/>
      <w:footerReference r:id="rId5" w:type="default"/>
      <w:pgSz w:w="16838" w:h="11906" w:orient="landscape"/>
      <w:pgMar w:top="1440" w:right="1803" w:bottom="1440" w:left="1803" w:header="851" w:footer="992" w:gutter="0"/>
      <w:pgNumType w:fmt="decimal"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val="en-US" w:eastAsia="zh-CN"/>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8"/>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16844"/>
    <w:multiLevelType w:val="singleLevel"/>
    <w:tmpl w:val="C2816844"/>
    <w:lvl w:ilvl="0" w:tentative="0">
      <w:start w:val="1"/>
      <w:numFmt w:val="decimal"/>
      <w:suff w:val="nothing"/>
      <w:lvlText w:val="%1、"/>
      <w:lvlJc w:val="left"/>
    </w:lvl>
  </w:abstractNum>
  <w:abstractNum w:abstractNumId="1">
    <w:nsid w:val="F6A59CAF"/>
    <w:multiLevelType w:val="singleLevel"/>
    <w:tmpl w:val="F6A59CA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86"/>
    <w:rsid w:val="000157A4"/>
    <w:rsid w:val="00024264"/>
    <w:rsid w:val="00024CE0"/>
    <w:rsid w:val="000318D4"/>
    <w:rsid w:val="00032D56"/>
    <w:rsid w:val="00040ECB"/>
    <w:rsid w:val="00047111"/>
    <w:rsid w:val="00051800"/>
    <w:rsid w:val="000654C6"/>
    <w:rsid w:val="00085605"/>
    <w:rsid w:val="000900C2"/>
    <w:rsid w:val="00091611"/>
    <w:rsid w:val="00091A51"/>
    <w:rsid w:val="00093389"/>
    <w:rsid w:val="00096B7A"/>
    <w:rsid w:val="000A02D2"/>
    <w:rsid w:val="000A275D"/>
    <w:rsid w:val="000B7D30"/>
    <w:rsid w:val="000C291D"/>
    <w:rsid w:val="000C7570"/>
    <w:rsid w:val="000D09B4"/>
    <w:rsid w:val="000D1882"/>
    <w:rsid w:val="000D47B8"/>
    <w:rsid w:val="000F4A1B"/>
    <w:rsid w:val="00110FC4"/>
    <w:rsid w:val="001251FF"/>
    <w:rsid w:val="00134A64"/>
    <w:rsid w:val="00137455"/>
    <w:rsid w:val="00141578"/>
    <w:rsid w:val="00154266"/>
    <w:rsid w:val="00156113"/>
    <w:rsid w:val="00156560"/>
    <w:rsid w:val="001642EF"/>
    <w:rsid w:val="0016621A"/>
    <w:rsid w:val="00175B3A"/>
    <w:rsid w:val="001814A8"/>
    <w:rsid w:val="001846E1"/>
    <w:rsid w:val="00187B4C"/>
    <w:rsid w:val="00190991"/>
    <w:rsid w:val="00190CF1"/>
    <w:rsid w:val="001B12A8"/>
    <w:rsid w:val="001B1466"/>
    <w:rsid w:val="001B1D05"/>
    <w:rsid w:val="001B7766"/>
    <w:rsid w:val="001C7FBA"/>
    <w:rsid w:val="001E2A75"/>
    <w:rsid w:val="0020069E"/>
    <w:rsid w:val="00205378"/>
    <w:rsid w:val="00206C27"/>
    <w:rsid w:val="0020726E"/>
    <w:rsid w:val="002163B3"/>
    <w:rsid w:val="002171A8"/>
    <w:rsid w:val="00220E78"/>
    <w:rsid w:val="002332E7"/>
    <w:rsid w:val="00236205"/>
    <w:rsid w:val="002372F3"/>
    <w:rsid w:val="00244BD1"/>
    <w:rsid w:val="00250BB4"/>
    <w:rsid w:val="002549E8"/>
    <w:rsid w:val="00256111"/>
    <w:rsid w:val="002563B7"/>
    <w:rsid w:val="0026539B"/>
    <w:rsid w:val="00267773"/>
    <w:rsid w:val="0027399E"/>
    <w:rsid w:val="00285AE5"/>
    <w:rsid w:val="0029232F"/>
    <w:rsid w:val="002941D9"/>
    <w:rsid w:val="002A44F3"/>
    <w:rsid w:val="002A6BE4"/>
    <w:rsid w:val="002B496D"/>
    <w:rsid w:val="002C0BAE"/>
    <w:rsid w:val="002C59DC"/>
    <w:rsid w:val="002D1BAC"/>
    <w:rsid w:val="002D1DB3"/>
    <w:rsid w:val="002D271B"/>
    <w:rsid w:val="002D2BC7"/>
    <w:rsid w:val="002D6C9A"/>
    <w:rsid w:val="002E5524"/>
    <w:rsid w:val="002E70FF"/>
    <w:rsid w:val="002F2927"/>
    <w:rsid w:val="00302676"/>
    <w:rsid w:val="00314B83"/>
    <w:rsid w:val="0031621C"/>
    <w:rsid w:val="0031707D"/>
    <w:rsid w:val="00320934"/>
    <w:rsid w:val="00335CA9"/>
    <w:rsid w:val="003520DE"/>
    <w:rsid w:val="0035342B"/>
    <w:rsid w:val="00353D9F"/>
    <w:rsid w:val="00384445"/>
    <w:rsid w:val="0038538B"/>
    <w:rsid w:val="00392847"/>
    <w:rsid w:val="003A0195"/>
    <w:rsid w:val="003C343D"/>
    <w:rsid w:val="003C4BF0"/>
    <w:rsid w:val="003C70F8"/>
    <w:rsid w:val="003D1701"/>
    <w:rsid w:val="003D27EE"/>
    <w:rsid w:val="003D5CD7"/>
    <w:rsid w:val="003F680D"/>
    <w:rsid w:val="00400CCA"/>
    <w:rsid w:val="00401D52"/>
    <w:rsid w:val="00402B20"/>
    <w:rsid w:val="00406395"/>
    <w:rsid w:val="00406565"/>
    <w:rsid w:val="00423573"/>
    <w:rsid w:val="004331D3"/>
    <w:rsid w:val="00440023"/>
    <w:rsid w:val="004465A6"/>
    <w:rsid w:val="004529B7"/>
    <w:rsid w:val="004578EC"/>
    <w:rsid w:val="00457DE3"/>
    <w:rsid w:val="0047792A"/>
    <w:rsid w:val="00484C5F"/>
    <w:rsid w:val="00485DCF"/>
    <w:rsid w:val="004948ED"/>
    <w:rsid w:val="004B0402"/>
    <w:rsid w:val="004B22B1"/>
    <w:rsid w:val="004C0797"/>
    <w:rsid w:val="004C1F3C"/>
    <w:rsid w:val="004C71AD"/>
    <w:rsid w:val="004C7865"/>
    <w:rsid w:val="004D11DE"/>
    <w:rsid w:val="004D7244"/>
    <w:rsid w:val="004E06E8"/>
    <w:rsid w:val="004E3B0A"/>
    <w:rsid w:val="004E546C"/>
    <w:rsid w:val="004F33E9"/>
    <w:rsid w:val="00501367"/>
    <w:rsid w:val="005205C5"/>
    <w:rsid w:val="00544587"/>
    <w:rsid w:val="005446C0"/>
    <w:rsid w:val="005505A4"/>
    <w:rsid w:val="00553F54"/>
    <w:rsid w:val="0055715F"/>
    <w:rsid w:val="00572892"/>
    <w:rsid w:val="005775D9"/>
    <w:rsid w:val="00577E10"/>
    <w:rsid w:val="00582C3A"/>
    <w:rsid w:val="005849F8"/>
    <w:rsid w:val="0059494D"/>
    <w:rsid w:val="00596163"/>
    <w:rsid w:val="00597FCA"/>
    <w:rsid w:val="005A2ACF"/>
    <w:rsid w:val="005B0A8B"/>
    <w:rsid w:val="005B4F42"/>
    <w:rsid w:val="005B7E7E"/>
    <w:rsid w:val="005C15F7"/>
    <w:rsid w:val="005C23AA"/>
    <w:rsid w:val="005D12DA"/>
    <w:rsid w:val="005F12AD"/>
    <w:rsid w:val="005F1B78"/>
    <w:rsid w:val="005F7577"/>
    <w:rsid w:val="0060371F"/>
    <w:rsid w:val="00606652"/>
    <w:rsid w:val="00606B8E"/>
    <w:rsid w:val="006132E0"/>
    <w:rsid w:val="00615D9E"/>
    <w:rsid w:val="006306F6"/>
    <w:rsid w:val="006318CB"/>
    <w:rsid w:val="00651A47"/>
    <w:rsid w:val="00654E16"/>
    <w:rsid w:val="00660E36"/>
    <w:rsid w:val="0066557B"/>
    <w:rsid w:val="00667E4D"/>
    <w:rsid w:val="00671652"/>
    <w:rsid w:val="006719E2"/>
    <w:rsid w:val="0067780F"/>
    <w:rsid w:val="006A2D38"/>
    <w:rsid w:val="006A3AD8"/>
    <w:rsid w:val="006B10B0"/>
    <w:rsid w:val="006B6710"/>
    <w:rsid w:val="006D0DC6"/>
    <w:rsid w:val="006E45E4"/>
    <w:rsid w:val="006E7905"/>
    <w:rsid w:val="006F51C8"/>
    <w:rsid w:val="00701EB4"/>
    <w:rsid w:val="00714EE2"/>
    <w:rsid w:val="00716B40"/>
    <w:rsid w:val="00723173"/>
    <w:rsid w:val="00755388"/>
    <w:rsid w:val="00761C34"/>
    <w:rsid w:val="00762512"/>
    <w:rsid w:val="00772602"/>
    <w:rsid w:val="0078142B"/>
    <w:rsid w:val="007869AE"/>
    <w:rsid w:val="00791043"/>
    <w:rsid w:val="00791F04"/>
    <w:rsid w:val="00792411"/>
    <w:rsid w:val="007935AB"/>
    <w:rsid w:val="00795394"/>
    <w:rsid w:val="0079763D"/>
    <w:rsid w:val="007A2D59"/>
    <w:rsid w:val="007A6255"/>
    <w:rsid w:val="007B3C9F"/>
    <w:rsid w:val="007B5F32"/>
    <w:rsid w:val="007C1386"/>
    <w:rsid w:val="007C4E2C"/>
    <w:rsid w:val="007D055A"/>
    <w:rsid w:val="007D52D7"/>
    <w:rsid w:val="007E2187"/>
    <w:rsid w:val="007E5AFB"/>
    <w:rsid w:val="007F2A4B"/>
    <w:rsid w:val="007F42AA"/>
    <w:rsid w:val="007F65F3"/>
    <w:rsid w:val="008003C4"/>
    <w:rsid w:val="00814255"/>
    <w:rsid w:val="008333DC"/>
    <w:rsid w:val="00841FFA"/>
    <w:rsid w:val="00852B07"/>
    <w:rsid w:val="00857A53"/>
    <w:rsid w:val="00861065"/>
    <w:rsid w:val="00862481"/>
    <w:rsid w:val="00864489"/>
    <w:rsid w:val="00872386"/>
    <w:rsid w:val="00874540"/>
    <w:rsid w:val="00880F3E"/>
    <w:rsid w:val="0088342B"/>
    <w:rsid w:val="00890C35"/>
    <w:rsid w:val="00892F8F"/>
    <w:rsid w:val="008939F4"/>
    <w:rsid w:val="008A6F57"/>
    <w:rsid w:val="008B2B4C"/>
    <w:rsid w:val="008C1A08"/>
    <w:rsid w:val="008C298E"/>
    <w:rsid w:val="008C2F2D"/>
    <w:rsid w:val="008C6880"/>
    <w:rsid w:val="008D06C9"/>
    <w:rsid w:val="008D0F25"/>
    <w:rsid w:val="008D229A"/>
    <w:rsid w:val="008E3F50"/>
    <w:rsid w:val="009132AF"/>
    <w:rsid w:val="009258C7"/>
    <w:rsid w:val="009267AD"/>
    <w:rsid w:val="009359CC"/>
    <w:rsid w:val="0095149D"/>
    <w:rsid w:val="00955250"/>
    <w:rsid w:val="009565D1"/>
    <w:rsid w:val="00960838"/>
    <w:rsid w:val="00966E15"/>
    <w:rsid w:val="00973700"/>
    <w:rsid w:val="009744D8"/>
    <w:rsid w:val="00976B4D"/>
    <w:rsid w:val="00985FCC"/>
    <w:rsid w:val="00997F8C"/>
    <w:rsid w:val="009A070F"/>
    <w:rsid w:val="009B00ED"/>
    <w:rsid w:val="009B5218"/>
    <w:rsid w:val="009C25E1"/>
    <w:rsid w:val="009C4893"/>
    <w:rsid w:val="009C7560"/>
    <w:rsid w:val="00A02C7E"/>
    <w:rsid w:val="00A04F2B"/>
    <w:rsid w:val="00A0510A"/>
    <w:rsid w:val="00A2628B"/>
    <w:rsid w:val="00A27380"/>
    <w:rsid w:val="00A30772"/>
    <w:rsid w:val="00A34998"/>
    <w:rsid w:val="00A502D0"/>
    <w:rsid w:val="00A55A46"/>
    <w:rsid w:val="00A6282F"/>
    <w:rsid w:val="00A64059"/>
    <w:rsid w:val="00A73DA8"/>
    <w:rsid w:val="00A75227"/>
    <w:rsid w:val="00A76029"/>
    <w:rsid w:val="00A8075D"/>
    <w:rsid w:val="00A8593E"/>
    <w:rsid w:val="00A949AC"/>
    <w:rsid w:val="00AC09D5"/>
    <w:rsid w:val="00AC79D6"/>
    <w:rsid w:val="00AE2B15"/>
    <w:rsid w:val="00AE4995"/>
    <w:rsid w:val="00AF2064"/>
    <w:rsid w:val="00AF2498"/>
    <w:rsid w:val="00AF66D3"/>
    <w:rsid w:val="00B112E2"/>
    <w:rsid w:val="00B162DD"/>
    <w:rsid w:val="00B21E82"/>
    <w:rsid w:val="00B24670"/>
    <w:rsid w:val="00B318F2"/>
    <w:rsid w:val="00B36CEE"/>
    <w:rsid w:val="00B460A4"/>
    <w:rsid w:val="00B50E3A"/>
    <w:rsid w:val="00B53EF7"/>
    <w:rsid w:val="00B60B95"/>
    <w:rsid w:val="00B61C64"/>
    <w:rsid w:val="00B63564"/>
    <w:rsid w:val="00B63CCA"/>
    <w:rsid w:val="00B67CBC"/>
    <w:rsid w:val="00B74064"/>
    <w:rsid w:val="00B92865"/>
    <w:rsid w:val="00B94DBC"/>
    <w:rsid w:val="00BA1319"/>
    <w:rsid w:val="00BA45F3"/>
    <w:rsid w:val="00BB18E8"/>
    <w:rsid w:val="00BB3F27"/>
    <w:rsid w:val="00BC6352"/>
    <w:rsid w:val="00BD605A"/>
    <w:rsid w:val="00BF2ED7"/>
    <w:rsid w:val="00BF56CF"/>
    <w:rsid w:val="00C01814"/>
    <w:rsid w:val="00C1009B"/>
    <w:rsid w:val="00C259D0"/>
    <w:rsid w:val="00C362BC"/>
    <w:rsid w:val="00C375F2"/>
    <w:rsid w:val="00C57579"/>
    <w:rsid w:val="00C57BDC"/>
    <w:rsid w:val="00C66DBF"/>
    <w:rsid w:val="00C66E7A"/>
    <w:rsid w:val="00C70EAB"/>
    <w:rsid w:val="00C77A25"/>
    <w:rsid w:val="00C80B87"/>
    <w:rsid w:val="00C82026"/>
    <w:rsid w:val="00C90A0F"/>
    <w:rsid w:val="00C962F0"/>
    <w:rsid w:val="00CA4003"/>
    <w:rsid w:val="00CA4EAB"/>
    <w:rsid w:val="00CA60A8"/>
    <w:rsid w:val="00CA723B"/>
    <w:rsid w:val="00CB5FB0"/>
    <w:rsid w:val="00CC0233"/>
    <w:rsid w:val="00CD1B22"/>
    <w:rsid w:val="00CE094B"/>
    <w:rsid w:val="00CF3004"/>
    <w:rsid w:val="00CF594B"/>
    <w:rsid w:val="00D26181"/>
    <w:rsid w:val="00D3695D"/>
    <w:rsid w:val="00D378D1"/>
    <w:rsid w:val="00D46D6A"/>
    <w:rsid w:val="00D46F11"/>
    <w:rsid w:val="00D60134"/>
    <w:rsid w:val="00D75A17"/>
    <w:rsid w:val="00D84C59"/>
    <w:rsid w:val="00D87E77"/>
    <w:rsid w:val="00D9518B"/>
    <w:rsid w:val="00D95F95"/>
    <w:rsid w:val="00D96B14"/>
    <w:rsid w:val="00DB0157"/>
    <w:rsid w:val="00DB1016"/>
    <w:rsid w:val="00DC4665"/>
    <w:rsid w:val="00DC55F5"/>
    <w:rsid w:val="00DE3033"/>
    <w:rsid w:val="00E02245"/>
    <w:rsid w:val="00E0300B"/>
    <w:rsid w:val="00E05CE9"/>
    <w:rsid w:val="00E12BA5"/>
    <w:rsid w:val="00E25168"/>
    <w:rsid w:val="00E311B9"/>
    <w:rsid w:val="00E337FD"/>
    <w:rsid w:val="00E36170"/>
    <w:rsid w:val="00E61722"/>
    <w:rsid w:val="00E61E5C"/>
    <w:rsid w:val="00E6469F"/>
    <w:rsid w:val="00E65950"/>
    <w:rsid w:val="00E73B97"/>
    <w:rsid w:val="00E73D33"/>
    <w:rsid w:val="00E82F24"/>
    <w:rsid w:val="00E9165C"/>
    <w:rsid w:val="00E97CC6"/>
    <w:rsid w:val="00EA0FE7"/>
    <w:rsid w:val="00EA1899"/>
    <w:rsid w:val="00EB18CF"/>
    <w:rsid w:val="00EB2D99"/>
    <w:rsid w:val="00EC3355"/>
    <w:rsid w:val="00ED4C10"/>
    <w:rsid w:val="00EE02A1"/>
    <w:rsid w:val="00EE047A"/>
    <w:rsid w:val="00EE05DE"/>
    <w:rsid w:val="00EE0BE8"/>
    <w:rsid w:val="00EE5B5A"/>
    <w:rsid w:val="00EE727F"/>
    <w:rsid w:val="00EF04D9"/>
    <w:rsid w:val="00EF77AE"/>
    <w:rsid w:val="00F002C9"/>
    <w:rsid w:val="00F02749"/>
    <w:rsid w:val="00F15785"/>
    <w:rsid w:val="00F16F08"/>
    <w:rsid w:val="00F203AF"/>
    <w:rsid w:val="00F25C20"/>
    <w:rsid w:val="00F31417"/>
    <w:rsid w:val="00F32715"/>
    <w:rsid w:val="00F376AB"/>
    <w:rsid w:val="00F4131D"/>
    <w:rsid w:val="00F46912"/>
    <w:rsid w:val="00F5151B"/>
    <w:rsid w:val="00F51E15"/>
    <w:rsid w:val="00F568CB"/>
    <w:rsid w:val="00F802F7"/>
    <w:rsid w:val="00FA6F68"/>
    <w:rsid w:val="00FB6033"/>
    <w:rsid w:val="00FB68A6"/>
    <w:rsid w:val="00FC1135"/>
    <w:rsid w:val="00FC48F1"/>
    <w:rsid w:val="00FD6FA5"/>
    <w:rsid w:val="00FE20B4"/>
    <w:rsid w:val="00FE5C08"/>
    <w:rsid w:val="00FF0943"/>
    <w:rsid w:val="00FF1199"/>
    <w:rsid w:val="00FF5193"/>
    <w:rsid w:val="00FF6903"/>
    <w:rsid w:val="0167369E"/>
    <w:rsid w:val="0A4D20D8"/>
    <w:rsid w:val="0ADB2A65"/>
    <w:rsid w:val="0BFC1905"/>
    <w:rsid w:val="113A7019"/>
    <w:rsid w:val="11AA0D90"/>
    <w:rsid w:val="122252F3"/>
    <w:rsid w:val="130F54DC"/>
    <w:rsid w:val="15CE2208"/>
    <w:rsid w:val="16A72A8B"/>
    <w:rsid w:val="171076DF"/>
    <w:rsid w:val="1EC15C9C"/>
    <w:rsid w:val="20BD5114"/>
    <w:rsid w:val="210C2247"/>
    <w:rsid w:val="22D30B42"/>
    <w:rsid w:val="233E691B"/>
    <w:rsid w:val="241656EB"/>
    <w:rsid w:val="268E6AD2"/>
    <w:rsid w:val="26CF3A57"/>
    <w:rsid w:val="313B26E8"/>
    <w:rsid w:val="31A51732"/>
    <w:rsid w:val="31E10439"/>
    <w:rsid w:val="31EA3DD2"/>
    <w:rsid w:val="334F3174"/>
    <w:rsid w:val="341D6879"/>
    <w:rsid w:val="34221D74"/>
    <w:rsid w:val="35335E26"/>
    <w:rsid w:val="354E1BF6"/>
    <w:rsid w:val="3B0B397B"/>
    <w:rsid w:val="42CF1920"/>
    <w:rsid w:val="43C50F14"/>
    <w:rsid w:val="469449A5"/>
    <w:rsid w:val="46FD4D28"/>
    <w:rsid w:val="4F67092E"/>
    <w:rsid w:val="5189283E"/>
    <w:rsid w:val="52BD73D8"/>
    <w:rsid w:val="57B427FE"/>
    <w:rsid w:val="5BB61366"/>
    <w:rsid w:val="5CE66DB9"/>
    <w:rsid w:val="65540FED"/>
    <w:rsid w:val="689A35E4"/>
    <w:rsid w:val="6B8075EA"/>
    <w:rsid w:val="6E1A26D8"/>
    <w:rsid w:val="7284003C"/>
    <w:rsid w:val="72D13C51"/>
    <w:rsid w:val="75791D8F"/>
    <w:rsid w:val="775E0ED5"/>
    <w:rsid w:val="77D20FEE"/>
    <w:rsid w:val="78E46693"/>
    <w:rsid w:val="78FD4CC7"/>
    <w:rsid w:val="7B433470"/>
    <w:rsid w:val="7C3E794F"/>
    <w:rsid w:val="7EAE388B"/>
    <w:rsid w:val="7F10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6" w:lineRule="auto"/>
      <w:outlineLvl w:val="0"/>
    </w:pPr>
    <w:rPr>
      <w:b/>
      <w:bCs/>
      <w:kern w:val="44"/>
      <w:sz w:val="44"/>
      <w:szCs w:val="44"/>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annotation subject"/>
    <w:basedOn w:val="5"/>
    <w:next w:val="5"/>
    <w:link w:val="26"/>
    <w:semiHidden/>
    <w:unhideWhenUsed/>
    <w:qFormat/>
    <w:uiPriority w:val="99"/>
    <w:rPr>
      <w:b/>
      <w:bCs/>
    </w:rPr>
  </w:style>
  <w:style w:type="paragraph" w:styleId="5">
    <w:name w:val="annotation text"/>
    <w:basedOn w:val="1"/>
    <w:link w:val="25"/>
    <w:semiHidden/>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link w:val="22"/>
    <w:qFormat/>
    <w:uiPriority w:val="0"/>
    <w:pPr>
      <w:spacing w:before="240" w:after="60"/>
      <w:jc w:val="center"/>
      <w:outlineLvl w:val="0"/>
    </w:pPr>
    <w:rPr>
      <w:rFonts w:ascii="Cambria" w:hAnsi="Cambria"/>
      <w:b/>
      <w:bCs/>
      <w:sz w:val="32"/>
      <w:szCs w:val="32"/>
    </w:rPr>
  </w:style>
  <w:style w:type="character" w:styleId="13">
    <w:name w:val="annotation reference"/>
    <w:basedOn w:val="12"/>
    <w:semiHidden/>
    <w:unhideWhenUsed/>
    <w:qFormat/>
    <w:uiPriority w:val="99"/>
    <w:rPr>
      <w:sz w:val="21"/>
      <w:szCs w:val="21"/>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semiHidden/>
    <w:qFormat/>
    <w:uiPriority w:val="99"/>
    <w:rPr>
      <w:sz w:val="18"/>
      <w:szCs w:val="18"/>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日期 Char"/>
    <w:basedOn w:val="12"/>
    <w:link w:val="6"/>
    <w:semiHidden/>
    <w:qFormat/>
    <w:uiPriority w:val="99"/>
    <w:rPr>
      <w:rFonts w:ascii="Times New Roman" w:hAnsi="Times New Roman"/>
      <w:kern w:val="2"/>
      <w:sz w:val="21"/>
      <w:szCs w:val="24"/>
    </w:rPr>
  </w:style>
  <w:style w:type="character" w:customStyle="1" w:styleId="20">
    <w:name w:val="标题 1 Char"/>
    <w:basedOn w:val="12"/>
    <w:link w:val="3"/>
    <w:qFormat/>
    <w:uiPriority w:val="0"/>
    <w:rPr>
      <w:rFonts w:ascii="Times New Roman" w:hAnsi="Times New Roman"/>
      <w:b/>
      <w:bCs/>
      <w:kern w:val="44"/>
      <w:sz w:val="44"/>
      <w:szCs w:val="4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标题 Char"/>
    <w:basedOn w:val="12"/>
    <w:link w:val="11"/>
    <w:qFormat/>
    <w:uiPriority w:val="0"/>
    <w:rPr>
      <w:rFonts w:ascii="Cambria" w:hAnsi="Cambria"/>
      <w:b/>
      <w:bCs/>
      <w:kern w:val="2"/>
      <w:sz w:val="32"/>
      <w:szCs w:val="32"/>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批注框文本 Char"/>
    <w:basedOn w:val="12"/>
    <w:link w:val="7"/>
    <w:semiHidden/>
    <w:qFormat/>
    <w:uiPriority w:val="99"/>
    <w:rPr>
      <w:rFonts w:ascii="Times New Roman" w:hAnsi="Times New Roman"/>
      <w:kern w:val="2"/>
      <w:sz w:val="18"/>
      <w:szCs w:val="18"/>
    </w:rPr>
  </w:style>
  <w:style w:type="character" w:customStyle="1" w:styleId="25">
    <w:name w:val="批注文字 Char"/>
    <w:basedOn w:val="12"/>
    <w:link w:val="5"/>
    <w:semiHidden/>
    <w:qFormat/>
    <w:uiPriority w:val="99"/>
    <w:rPr>
      <w:rFonts w:ascii="Times New Roman" w:hAnsi="Times New Roman"/>
      <w:kern w:val="2"/>
      <w:sz w:val="21"/>
      <w:szCs w:val="24"/>
    </w:rPr>
  </w:style>
  <w:style w:type="character" w:customStyle="1" w:styleId="26">
    <w:name w:val="批注主题 Char"/>
    <w:basedOn w:val="25"/>
    <w:link w:val="4"/>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E45B2-D442-465F-AD97-2023A8B536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543</Words>
  <Characters>3100</Characters>
  <Lines>25</Lines>
  <Paragraphs>7</Paragraphs>
  <TotalTime>1</TotalTime>
  <ScaleCrop>false</ScaleCrop>
  <LinksUpToDate>false</LinksUpToDate>
  <CharactersWithSpaces>3636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2019-01-02T07:49:00Z</dcterms:created>
  <dc:creator>程熠</dc:creator>
  <cp:lastModifiedBy>Lenovo</cp:lastModifiedBy>
  <cp:lastPrinted>2020-05-25T05:04:00Z</cp:lastPrinted>
  <dcterms:modified xsi:type="dcterms:W3CDTF">2020-07-01T08:36:25Z</dcterms:modified>
  <dc:title>江阴市照明管理处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