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2019</w:t>
      </w:r>
      <w:r>
        <w:rPr>
          <w:rFonts w:hint="eastAsia" w:ascii="方正小标宋_GBK" w:eastAsia="方正小标宋_GBK"/>
          <w:sz w:val="44"/>
          <w:szCs w:val="44"/>
        </w:rPr>
        <w:t>年度体彩公益金资助项目宣传公告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-</w:t>
      </w:r>
      <w:r>
        <w:rPr>
          <w:rFonts w:hint="eastAsia" w:ascii="方正小标宋_GBK" w:eastAsia="方正小标宋_GBK"/>
          <w:sz w:val="36"/>
          <w:szCs w:val="36"/>
        </w:rPr>
        <w:t>学校体育设施向社会开放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项目实施单位公益金宣传计划和实施方案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宣传计划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年初根据省县级体育督查办法要求，结合本市实际，申请落实体育彩票公益金使用范围和额度，制定使用内容，根据资金管理办法，合理规范使用体彩公益金。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实施方案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制定《江阴市学校体育设施向社会开放管理办法》，做好日常管理相关工作，根据管理办法要求，年初统一采购落实保险实施单位，安全有序组织开展学校开放工作，年终进行抽查考评，确定优秀、合格开放学校并向社会公示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公益金资助项目信息公布情况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项目名称：学校体育设施向社会开放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项目单位：江阴市文体广电和旅游局竞技体育科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资金额度：</w:t>
      </w:r>
      <w:r>
        <w:rPr>
          <w:rFonts w:ascii="方正仿宋_GBK" w:eastAsia="方正仿宋_GBK"/>
          <w:b/>
          <w:sz w:val="32"/>
          <w:szCs w:val="32"/>
        </w:rPr>
        <w:t>110</w:t>
      </w:r>
      <w:r>
        <w:rPr>
          <w:rFonts w:hint="eastAsia" w:ascii="方正仿宋_GBK" w:eastAsia="方正仿宋_GBK"/>
          <w:b/>
          <w:sz w:val="32"/>
          <w:szCs w:val="32"/>
        </w:rPr>
        <w:t>万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项目联系人：周华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项目时间：</w:t>
      </w:r>
      <w:r>
        <w:rPr>
          <w:rFonts w:ascii="方正仿宋_GBK" w:eastAsia="方正仿宋_GBK"/>
          <w:b/>
          <w:sz w:val="32"/>
          <w:szCs w:val="32"/>
        </w:rPr>
        <w:t>4</w:t>
      </w:r>
      <w:r>
        <w:rPr>
          <w:rFonts w:hint="eastAsia" w:ascii="方正仿宋_GBK" w:eastAsia="方正仿宋_GBK"/>
          <w:b/>
          <w:sz w:val="32"/>
          <w:szCs w:val="32"/>
        </w:rPr>
        <w:t>月</w:t>
      </w:r>
      <w:r>
        <w:rPr>
          <w:rFonts w:ascii="方正仿宋_GBK" w:eastAsia="方正仿宋_GBK"/>
          <w:b/>
          <w:sz w:val="32"/>
          <w:szCs w:val="32"/>
        </w:rPr>
        <w:t>-12</w:t>
      </w:r>
      <w:r>
        <w:rPr>
          <w:rFonts w:hint="eastAsia" w:ascii="方正仿宋_GBK" w:eastAsia="方正仿宋_GBK"/>
          <w:b/>
          <w:sz w:val="32"/>
          <w:szCs w:val="32"/>
        </w:rPr>
        <w:t>月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公益金使用效果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全年做好学校体育设施向社会开放各项事宜，进一步完善学校体育设施向社会开放工作，组织进行学校保险的采购工作，指导学校建立相应的管理制度，并做好定期和不定期的检查。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>
      <w:pPr>
        <w:ind w:firstLine="420" w:firstLineChars="200"/>
        <w:rPr>
          <w:rFonts w:ascii="方正仿宋_GBK" w:eastAsia="方正仿宋_GBK"/>
          <w:b/>
          <w:sz w:val="32"/>
          <w:szCs w:val="32"/>
        </w:rPr>
      </w:pPr>
      <w:r>
        <w:pict>
          <v:shape id="图片 1" o:spid="_x0000_s1026" o:spt="75" type="#_x0000_t75" style="position:absolute;left:0pt;margin-left:14.45pt;margin-top:49.75pt;height:282.1pt;width:210.3pt;mso-wrap-distance-left:9pt;mso-wrap-distance-right:9pt;z-index:-251658240;mso-width-relative:page;mso-height-relative:page;" filled="f" o:preferrelative="t" stroked="f" coordsize="21600,21600" wrapcoords="-77 0 -77 21543 21600 21543 21600 0 -77 0">
            <v:path/>
            <v:fill on="f" focussize="0,0"/>
            <v:stroke on="f" joinstyle="miter"/>
            <v:imagedata r:id="rId6" o:title=""/>
            <o:lock v:ext="edit" aspectratio="t"/>
            <w10:wrap type="tight"/>
          </v:shape>
        </w:pict>
      </w:r>
      <w:r>
        <w:pict>
          <v:shape id="图片 4" o:spid="_x0000_s1027" o:spt="75" type="#_x0000_t75" style="position:absolute;left:0pt;margin-left:220.6pt;margin-top:34.7pt;height:277.95pt;width:210.3pt;mso-wrap-distance-left:9pt;mso-wrap-distance-right:9pt;z-index:-251659264;mso-width-relative:page;mso-height-relative:page;" filled="f" o:preferrelative="t" stroked="f" coordsize="21600,21600" wrapcoords="-77 0 -77 21542 21600 21542 21600 0 -77 0">
            <v:path/>
            <v:fill on="f" focussize="0,0"/>
            <v:stroke on="f" joinstyle="miter"/>
            <v:imagedata r:id="rId7" cropbottom="3085f" o:title=""/>
            <o:lock v:ext="edit" aspectratio="t"/>
            <w10:wrap type="tight"/>
          </v:shape>
        </w:pic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b/>
          <w:sz w:val="32"/>
          <w:szCs w:val="32"/>
        </w:rPr>
        <w:t>图片及影像资料等信息</w:t>
      </w:r>
    </w:p>
    <w:p>
      <w:pPr>
        <w:ind w:firstLine="643" w:firstLineChars="200"/>
        <w:jc w:val="left"/>
        <w:rPr>
          <w:rFonts w:ascii="方正仿宋_GBK" w:eastAsia="方正仿宋_GBK"/>
          <w:b/>
          <w:sz w:val="32"/>
          <w:szCs w:val="32"/>
        </w:rPr>
      </w:pPr>
    </w:p>
    <w:p>
      <w:pPr>
        <w:ind w:firstLine="643" w:firstLineChars="200"/>
        <w:jc w:val="left"/>
        <w:rPr>
          <w:rFonts w:ascii="方正仿宋_GBK" w:eastAsia="方正仿宋_GBK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三、体育彩票公益金资助项目宣传工作开展情况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2019</w:t>
      </w:r>
      <w:r>
        <w:rPr>
          <w:rFonts w:hint="eastAsia" w:ascii="方正仿宋_GBK" w:eastAsia="方正仿宋_GBK"/>
          <w:sz w:val="32"/>
          <w:szCs w:val="32"/>
        </w:rPr>
        <w:t>年，学校体育设施向社会开放经费共计支出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万元，主要用于保险费用和考评奖励费用支出，通过项目开展，采取考核、验收、评比工作，加大督促力度，为市民参加体育锻炼提供优质服务。继续保持全市开放率达</w:t>
      </w:r>
      <w:r>
        <w:rPr>
          <w:rFonts w:ascii="方正仿宋_GBK" w:eastAsia="方正仿宋_GBK"/>
          <w:sz w:val="32"/>
          <w:szCs w:val="32"/>
        </w:rPr>
        <w:t>97.8%</w:t>
      </w:r>
      <w:r>
        <w:rPr>
          <w:rFonts w:hint="eastAsia" w:ascii="方正仿宋_GBK" w:eastAsia="方正仿宋_GBK"/>
          <w:sz w:val="32"/>
          <w:szCs w:val="32"/>
        </w:rPr>
        <w:t>以上。</w:t>
      </w:r>
    </w:p>
    <w:p>
      <w:pPr>
        <w:rPr>
          <w:rFonts w:ascii="方正仿宋_GBK" w:eastAsia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8E9"/>
    <w:multiLevelType w:val="multilevel"/>
    <w:tmpl w:val="1E1B28E9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1">
    <w:nsid w:val="56C50888"/>
    <w:multiLevelType w:val="multilevel"/>
    <w:tmpl w:val="56C50888"/>
    <w:lvl w:ilvl="0" w:tentative="0">
      <w:start w:val="1"/>
      <w:numFmt w:val="decimal"/>
      <w:lvlText w:val="%1、"/>
      <w:lvlJc w:val="left"/>
      <w:pPr>
        <w:ind w:left="1429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2">
    <w:nsid w:val="6BDC2605"/>
    <w:multiLevelType w:val="multilevel"/>
    <w:tmpl w:val="6BDC2605"/>
    <w:lvl w:ilvl="0" w:tentative="0">
      <w:start w:val="1"/>
      <w:numFmt w:val="decimal"/>
      <w:lvlText w:val="%1、"/>
      <w:lvlJc w:val="left"/>
      <w:pPr>
        <w:ind w:left="1429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E3"/>
    <w:rsid w:val="00107A2A"/>
    <w:rsid w:val="0013473E"/>
    <w:rsid w:val="00232E1B"/>
    <w:rsid w:val="002F3BE2"/>
    <w:rsid w:val="00302882"/>
    <w:rsid w:val="00366040"/>
    <w:rsid w:val="00377C5D"/>
    <w:rsid w:val="00690F14"/>
    <w:rsid w:val="006961DD"/>
    <w:rsid w:val="008A7202"/>
    <w:rsid w:val="009B6BAC"/>
    <w:rsid w:val="00A0665E"/>
    <w:rsid w:val="00A417CA"/>
    <w:rsid w:val="00A512A2"/>
    <w:rsid w:val="00A95CEE"/>
    <w:rsid w:val="00AB20A2"/>
    <w:rsid w:val="00AE18D4"/>
    <w:rsid w:val="00B0020B"/>
    <w:rsid w:val="00B3274D"/>
    <w:rsid w:val="00C92910"/>
    <w:rsid w:val="00D93848"/>
    <w:rsid w:val="00DA501F"/>
    <w:rsid w:val="00DB2BE2"/>
    <w:rsid w:val="00EF3A1F"/>
    <w:rsid w:val="00F83AE3"/>
    <w:rsid w:val="1AC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000</Company>
  <Pages>3</Pages>
  <Words>84</Words>
  <Characters>480</Characters>
  <Lines>0</Lines>
  <Paragraphs>0</Paragraphs>
  <TotalTime>20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2020-06-16T01:58:00Z</dcterms:created>
  <dc:creator>Windows 用户</dc:creator>
  <cp:lastModifiedBy>赵抗震</cp:lastModifiedBy>
  <dcterms:modified xsi:type="dcterms:W3CDTF">2020-06-16T03:52:22Z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